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Evacuation Risk and Cost Framework (ERCF): A Research Report on a Decision-Support Tool for Estimating the Human and Financial Cost of Civilian Evacuation in Armed Conflict</w:t>
      </w:r>
    </w:p>
    <w:p>
      <w:r>
        <w:rPr>
          <w:b/>
        </w:rPr>
        <w:t>Reviewer role:</w:t>
      </w:r>
      <w:r>
        <w:t xml:space="preserve"> External referee, reviewing as a research report / working paper for a policy, humanitarian, and IHL readership (the audience the paper itself names in its Foreword), held to the standard of an academic working paper from a university research center.</w:t>
      </w:r>
    </w:p>
    <w:p>
      <w:r>
        <w:rPr>
          <w:b/>
        </w:rPr>
        <w:t>Recommendation:</w:t>
      </w:r>
      <w:r>
        <w:t xml:space="preserve"> Major revisions</w:t>
      </w:r>
    </w:p>
    <w:p>
      <w:r>
        <w:rPr>
          <w:b/>
        </w:rPr>
        <w:t>Date:</w:t>
      </w:r>
      <w:r>
        <w:t xml:space="preserve"> 22 July 2026</w:t>
      </w:r>
    </w:p>
    <w:p>
      <w:r>
        <w:rPr>
          <w:b/>
        </w:rPr>
        <w:t>Overall assessment.</w:t>
      </w:r>
      <w:r>
        <w:t xml:space="preserve"> This is a substantial, unusually honest piece of work that assembles scattered operational standards into a single runnable calculation and tags every parameter with the strength of the evidence behind it. Its candor is exemplary and its structural insight — keeping cost separate from mortality, and description separate from recommendation — is real. What stands between it and acceptance is not the honesty about weak evidence, which the paper handles well, but four things the paper does </w:t>
      </w:r>
      <w:r>
        <w:rPr>
          <w:i/>
        </w:rPr>
        <w:t>not</w:t>
      </w:r>
      <w:r>
        <w:t xml:space="preserve"> currently resolve: an internal contradiction in the direction of a core input (D3), a flagship worked example whose numbers do not reconcile with the tool's own stated parameters, the absence of any uncertainty band around the point estimates the tool is built to produce, and validation statistics presented in an order that invites over-reading. All are fixable, several without new data collection.</w:t>
      </w:r>
    </w:p>
    <w:p>
      <w:pPr>
        <w:pStyle w:val="Heading2"/>
      </w:pPr>
      <w:r>
        <w:t>Summary of the submission</w:t>
      </w:r>
    </w:p>
    <w:p>
      <w:r>
        <w:t>ERCF is a decision-support prototype that takes a humanitarian planner's assessment of a besieged-city situation — seven judgment-based scores (D1–D7), a population figure, a distance, and a few operational inputs — and returns three things: an itemised cost to evacuate the population, an itemised daily cost to assist it in place, and the break-even day on which the second overtakes the first (§1.1–1.4). The seven scores are combined by fixed weights into a composite that selects one of five risk levels (§4.8, §5.1), and the level in turn selects the cost, loss, and mortality rates used downstream (§5.3). A separate mortality model estimates deaths and injuries for a population that stays, fitted against sixteen historical conflicts drawn from a corpus of thirty-one (§9, §10). The report's central claims are that (a) no existing public tool integrates these operational standards with a historical calibration dataset and an IHL frame (§2.2); (b) the tool's principal safeguard is that every number is tagged validated / estimated / unvalidated so it cannot be trusted more than it deserves (§2.4); and (c) the design is ethically disciplined — cost and mortality are never combined, and labels describe rather than instruct (§14, §19.2). The report is admirably forthcoming about maturity, devoting whole sections to internal inconsistencies (§15), unbuilt features (§16), and limitations (§17). Taken as a working-paper account of a research prototype, the contribution is genuine: it turns intuition ("this resembles Mosul") into something checkable, and it surfaces assumptions a colleague can contest.</w:t>
      </w:r>
    </w:p>
    <w:p>
      <w:pPr>
        <w:pStyle w:val="Heading2"/>
      </w:pPr>
      <w:r>
        <w:t>Major issues</w:t>
      </w:r>
    </w:p>
    <w:p>
      <w:r>
        <w:rPr>
          <w:b/>
        </w:rPr>
        <w:t>1. The direction of the D3 (Authorization) scale contradicts itself across the paper — and the contradiction touches feasibility, loss rates, confinement, and transport warnings.</w:t>
      </w:r>
    </w:p>
    <w:p>
      <w:r>
        <w:rPr>
          <w:i/>
        </w:rPr>
        <w:t>Location:</w:t>
      </w:r>
      <w:r>
        <w:t xml:space="preserve"> §4.3 vs §5.4, §7.2, §8.4, §9.3, §9.4.</w:t>
      </w:r>
    </w:p>
    <w:p>
      <w:r>
        <w:t xml:space="preserve">§4.3 states the convention explicitly and even flags it for the reader: "a high D3 score means authorization is a serious problem, that is, that consent is absent or unreliable." The Feasibility sub-index in §5.4 is built consistently with this — it inverts D3 as </w:t>
      </w:r>
      <w:r>
        <w:rPr>
          <w:rFonts w:ascii="Courier New" w:hAnsi="Courier New"/>
        </w:rPr>
        <w:t>6 − D3</w:t>
      </w:r>
      <w:r>
        <w:t xml:space="preserve">, so that absent consent (high D3) yields low feasibility. But four downstream passages treat the opposite: §7.2 says "A low D3, meaning consent is absent, adds further to the loss rate"; §8.4 warns on "air transport with a D3 of 2.0 or below, which means airspace authorization is missing"; §9.4 defines a siege as "a D3 of 2 or below"; and the confinement multiplier in §9.3, </w:t>
      </w:r>
      <w:r>
        <w:rPr>
          <w:rFonts w:ascii="Courier New" w:hAnsi="Courier New"/>
        </w:rPr>
        <w:t>(5 − D3) × D4 / 5</w:t>
      </w:r>
      <w:r>
        <w:t xml:space="preserve">, only rises (mortality up) when D3 is </w:t>
      </w:r>
      <w:r>
        <w:rPr>
          <w:i/>
        </w:rPr>
        <w:t>low</w:t>
      </w:r>
      <w:r>
        <w:t xml:space="preserve">, which the text glosses as "when consent for movement is absent." Under §4.3, consent-absent is D3 </w:t>
      </w:r>
      <w:r>
        <w:rPr>
          <w:i/>
        </w:rPr>
        <w:t>high</w:t>
      </w:r>
      <w:r>
        <w:t xml:space="preserve">; under §7.2/§8.4/§9.3/§9.4 it is D3 </w:t>
      </w:r>
      <w:r>
        <w:rPr>
          <w:i/>
        </w:rPr>
        <w:t>low</w:t>
      </w:r>
      <w:r>
        <w:t>. Both cannot be right.</w:t>
      </w:r>
    </w:p>
    <w:p>
      <w:r>
        <w:rPr>
          <w:i/>
        </w:rPr>
        <w:t>Why it matters:</w:t>
      </w:r>
      <w:r>
        <w:t xml:space="preserve"> D3 is one of seven load-bearing inputs; it feeds the composite weight, the feasibility index, the loss rate, the confinement multiplier, and the transport-consistency checks. If the sign is inconsistent only in the prose, the documentation misdescribes a core input and no reader can trust the account of how the tool behaves. If the sign is inconsistent in the </w:t>
      </w:r>
      <w:r>
        <w:rPr>
          <w:i/>
        </w:rPr>
        <w:t>code</w:t>
      </w:r>
      <w:r>
        <w:t xml:space="preserve"> — e.g., Feasibility computed as </w:t>
      </w:r>
      <w:r>
        <w:rPr>
          <w:rFonts w:ascii="Courier New" w:hAnsi="Courier New"/>
        </w:rPr>
        <w:t>6 − D3</w:t>
      </w:r>
      <w:r>
        <w:t xml:space="preserve"> while the confinement multiplier assumes low-D3-is-bad — then some outputs are computed backwards, which would dwarf every other issue here. Notably, the paper's own self-review in §15 did not catch this.</w:t>
      </w:r>
    </w:p>
    <w:p>
      <w:r>
        <w:rPr>
          <w:i/>
        </w:rPr>
        <w:t>Path forward:</w:t>
      </w:r>
      <w:r>
        <w:t xml:space="preserve"> Establish the single intended convention in the code, then make all prose conform. State the convention once, in one place, with a worked mini-example ("D3 = 5 means consent fully denied → feasibility low → confinement high"), and audit every use of D3 (§5.4, §7.2, §8.4, §9.3, §9.4, and the D3 weighting rationale in §4.8) against it. Report in the revision which passages were the erroneous ones.</w:t>
      </w:r>
    </w:p>
    <w:p>
      <w:r>
        <w:rPr>
          <w:b/>
        </w:rPr>
        <w:t>2. The tool's flagship output — the break-even day — rests on its least-evidenced parameters and is delivered as a single number with no uncertainty band.</w:t>
      </w:r>
    </w:p>
    <w:p>
      <w:r>
        <w:rPr>
          <w:i/>
        </w:rPr>
        <w:t>Location:</w:t>
      </w:r>
      <w:r>
        <w:t xml:space="preserve"> §1.4, §7.1–7.2, §8.2, §16.3, §17.6.</w:t>
      </w:r>
    </w:p>
    <w:p>
      <w:r>
        <w:t xml:space="preserve">The break-even is billed as "the distinctive output" (§1.4) and "the calculation the tool is built around" (§8.1). It is a ratio: one-time evacuation cost divided by the </w:t>
      </w:r>
      <w:r>
        <w:rPr>
          <w:i/>
        </w:rPr>
        <w:t>daily difference</w:t>
      </w:r>
      <w:r>
        <w:t xml:space="preserve"> between staying and post-evacuation assistance (§8.2). The evacuation side (Section 6) is the paper's best-evidenced component. But the daily-difference side is dominated by the in-zone access multiplier and the supply loss rates, which the paper itself identifies as "the most consequential cost multipliers … the least evidenced" (§17.6): the Level 4 access multiplier is "directionally plausible but unconfirmed" (§7.1) and the Level 2–4 loss rates (up to 50%) have "no published equivalent that the author could find" (§7.2). So the headline number's denominator is exactly where the evidence is weakest, and §16.3 concedes every cost figure is "a single number" with "no range." This sits in tension with §1.5's reassurance that "the financial estimates are considerably more reliable than the mortality ones" — true of the evacuation side, but the break-even is driven by the </w:t>
      </w:r>
      <w:r>
        <w:rPr>
          <w:i/>
        </w:rPr>
        <w:t>staying</w:t>
      </w:r>
      <w:r>
        <w:t xml:space="preserve"> side, which is not.</w:t>
      </w:r>
    </w:p>
    <w:p>
      <w:r>
        <w:rPr>
          <w:i/>
        </w:rPr>
        <w:t>Why it matters:</w:t>
      </w:r>
      <w:r>
        <w:t xml:space="preserve"> A single break-even day (e.g., "160 days," §8.2) presented to a funding appeal reads as precise. A ±1 step in the unvalidated access multiplier can move it by tens of percent, and the reader is given no way to see that. For a tool whose entire value proposition is transparency about confidence (§2.4), presenting the flagship output </w:t>
      </w:r>
      <w:r>
        <w:rPr>
          <w:i/>
        </w:rPr>
        <w:t>without</w:t>
      </w:r>
      <w:r>
        <w:t xml:space="preserve"> its confidence is the one place the discipline lapses.</w:t>
      </w:r>
    </w:p>
    <w:p>
      <w:r>
        <w:rPr>
          <w:i/>
        </w:rPr>
        <w:t>Path forward:</w:t>
      </w:r>
      <w:r>
        <w:t xml:space="preserve"> Propagate parameter uncertainty into the outputs and report cost and break-even as ranges, not points. The author already has the technique in hand — the companion RICS module "propagate[s] uncertainty into the cost estimate by widening each parameter into a band according to how well evidenced it is" (§16.4). Port that to ERCF's headline figures, or at minimum publish a one-way sensitivity table showing how the break-even day moves as the access multiplier and loss rates sweep their plausible ranges. Re-word §1.5 to distinguish the well-evidenced evacuation side from the weakly-evidenced staying side.</w:t>
      </w:r>
    </w:p>
    <w:p>
      <w:r>
        <w:rPr>
          <w:b/>
        </w:rPr>
        <w:t>3. The worked example in §6.6 does not reconcile with the tool's own stated parameters.</w:t>
      </w:r>
    </w:p>
    <w:p>
      <w:r>
        <w:rPr>
          <w:i/>
        </w:rPr>
        <w:t>Location:</w:t>
      </w:r>
      <w:r>
        <w:t xml:space="preserve"> §6.6, against §6.1 and §6.2.</w:t>
      </w:r>
    </w:p>
    <w:p>
      <w:r>
        <w:t>The report presents §6.6 as authoritative ("A worked example, taken from the code"). For 10,000 people, 20% vulnerable (2,000 vulnerable), at Level 2, three of its figures are inconsistent with the parameters defined two pages earlier:</w:t>
      </w:r>
    </w:p>
    <w:p>
      <w:pPr>
        <w:pStyle w:val="ListBullet"/>
      </w:pPr>
      <w:r>
        <w:rPr>
          <w:b/>
        </w:rPr>
        <w:t>Ambulances:</w:t>
      </w:r>
      <w:r>
        <w:t xml:space="preserve"> §6.1 gives the current ratio as one per 150 vulnerable, revised down from an earlier one per 40. With 100 medical buses (= 2,000 ÷ 20, implying a D2 factor of 1.0), the current ratio yields ≈13 ambulances. §6.6 reports </w:t>
      </w:r>
      <w:r>
        <w:rPr>
          <w:b/>
        </w:rPr>
        <w:t>50</w:t>
      </w:r>
      <w:r>
        <w:t xml:space="preserve"> — which is exactly 2,000 ÷ 40, the </w:t>
      </w:r>
      <w:r>
        <w:rPr>
          <w:i/>
        </w:rPr>
        <w:t>pre-revision</w:t>
      </w:r>
      <w:r>
        <w:t xml:space="preserve"> ratio the paper says was abandoned.</w:t>
      </w:r>
    </w:p>
    <w:p>
      <w:pPr>
        <w:pStyle w:val="ListBullet"/>
      </w:pPr>
      <w:r>
        <w:rPr>
          <w:b/>
        </w:rPr>
        <w:t>Medical staff:</w:t>
      </w:r>
      <w:r>
        <w:t xml:space="preserve"> §6.2 gives one per 250 (the corrected Sphere figure), "corrected upward" from an earlier one per 500. That yields 40. §6.6 reports </w:t>
      </w:r>
      <w:r>
        <w:rPr>
          <w:b/>
        </w:rPr>
        <w:t>20</w:t>
      </w:r>
      <w:r>
        <w:t xml:space="preserve"> — which is 10,000 ÷ 500, the </w:t>
      </w:r>
      <w:r>
        <w:rPr>
          <w:i/>
        </w:rPr>
        <w:t>pre-correction</w:t>
      </w:r>
      <w:r>
        <w:t xml:space="preserve"> ratio.</w:t>
      </w:r>
    </w:p>
    <w:p>
      <w:pPr>
        <w:pStyle w:val="ListBullet"/>
      </w:pPr>
      <w:r>
        <w:rPr>
          <w:b/>
        </w:rPr>
        <w:t>Drivers:</w:t>
      </w:r>
      <w:r>
        <w:t xml:space="preserve"> §6.6 computes 310 drivers at \$50 = \$15,500, but the personnel subtotal of \$34,000 equals security (\$15,000) + medical staff (\$4,000) + paramedics (\$15,000) exactly, with drivers in neither that line nor the buses-only transport line (\$92,500). \$15,500 of driver cost thus appears to be </w:t>
      </w:r>
      <w:r>
        <w:rPr>
          <w:b/>
        </w:rPr>
        <w:t>omitted from the \$558,775 subtotal</w:t>
      </w:r>
      <w:r>
        <w:t>. (Separately, \$92,500 for transport matches neither the old-ratio bus total of \$107,000 nor a new-ratio total of \$81,100, so the transport line does not cleanly reconcile either — please verify.)</w:t>
      </w:r>
    </w:p>
    <w:p>
      <w:r>
        <w:rPr>
          <w:i/>
        </w:rPr>
        <w:t>Why it matters:</w:t>
      </w:r>
      <w:r>
        <w:t xml:space="preserve"> The worked example is the single most checkable artifact in the paper and the one a skeptical reader will recompute first. If it embeds pre-revision ratios, a reader either concludes the code is stale (contradicting the maturity claims of §16.1) or that the documentation is stale — and in either case loses confidence in every downstream total, including the \$643,000 headline and the "\$64 per person" figure. I hold medium-high confidence on the two ratio findings (the arithmetic is exact) and flag the driver/transport reconciliation for the author to confirm in case a step (terrain multiplier, driver categorisation) is not described in the prose.</w:t>
      </w:r>
    </w:p>
    <w:p>
      <w:r>
        <w:rPr>
          <w:i/>
        </w:rPr>
        <w:t>Path forward:</w:t>
      </w:r>
      <w:r>
        <w:t xml:space="preserve"> Regenerate §6.6 directly from the current code and reconcile every line, or state explicitly which released version produced it. Add a per-line breakdown (count × unit × multiplier = line total) so the example is self-checking, and confirm whether driver cost belongs in "personnel" or has genuinely been dropped.</w:t>
      </w:r>
    </w:p>
    <w:p>
      <w:r>
        <w:rPr>
          <w:b/>
        </w:rPr>
        <w:t>4. The mortality-model validation is reported in an order that invites over-reading, and the cross-validation figure does not measure what its name implies.</w:t>
      </w:r>
    </w:p>
    <w:p>
      <w:r>
        <w:rPr>
          <w:i/>
        </w:rPr>
        <w:t>Location:</w:t>
      </w:r>
      <w:r>
        <w:t xml:space="preserve"> §10.4, §10.6, §10.7.</w:t>
      </w:r>
    </w:p>
    <w:p>
      <w:r>
        <w:t xml:space="preserve">Three disclosures, each individually honest, combine to a misleading headline if a reader stops early. (a) §10.6 leads with "an R-squared of 0.855" and only then notes that just "44 per cent[] fall within a factor of two of the recorded figure" — two facts the paper itself concedes "sit oddly together." A reader who takes R² = 0.855 as the accuracy of the model will badly overestimate it; the model resolves order of magnitude, not magnitude (§17.4). (b) §10.7 admits the reported "leave-one-out R-squared of 0.807" is </w:t>
      </w:r>
      <w:r>
        <w:rPr>
          <w:i/>
        </w:rPr>
        <w:t>not</w:t>
      </w:r>
      <w:r>
        <w:t xml:space="preserve"> refit-based cross-validation — it fits a line through predicted-vs-recorded points and predicts the held-out point from that line, measuring the stability of an already-fitted relationship rather than out-of-sample generalisation, "which is what the term usually implies." Calling it leave-one-out R² is a genuine mislabel. (c) §10.4 removes two "challenge cases" from the fit "to preserve the version 7 metrics," so the headline R² is computed on a set with the two hardest cases deliberately excluded — fitting adjacent to the metric being reported.</w:t>
      </w:r>
    </w:p>
    <w:p>
      <w:r>
        <w:rPr>
          <w:i/>
        </w:rPr>
        <w:t>Why it matters:</w:t>
      </w:r>
      <w:r>
        <w:t xml:space="preserve"> Validation numbers are exactly what a referee and a downstream user will quote out of context. Presented as "R² = 0.855, LOO R² = 0.807," the model looks far more predictive than the paper's own caveats support.</w:t>
      </w:r>
    </w:p>
    <w:p>
      <w:r>
        <w:rPr>
          <w:i/>
        </w:rPr>
        <w:t>Path forward:</w:t>
      </w:r>
      <w:r>
        <w:t xml:space="preserve"> Report the factor-of-two hit rate (44%, 7/16) </w:t>
      </w:r>
      <w:r>
        <w:rPr>
          <w:i/>
        </w:rPr>
        <w:t>in the same breath</w:t>
      </w:r>
      <w:r>
        <w:t xml:space="preserve"> as R², every time, and lead with it. Rename the 0.807 figure to what it is (e.g., "hold-one-out stability of the predicted–recorded relationship") and, if feasible, add a genuine refit-based leave-one-out to show parameter generalisation. Report headline accuracy both with and without the two challenge cases so the reader sees the effect of the exclusion. A predicted-vs-recorded scatter (log–log, cases labelled, factor-of-two band drawn) would make all of this legible at a glance.</w:t>
      </w:r>
    </w:p>
    <w:p>
      <w:r>
        <w:rPr>
          <w:b/>
        </w:rPr>
        <w:t>5. For an academic paper, the literature is named but not cited or synthesised, and key external claims are unverifiable as written.</w:t>
      </w:r>
    </w:p>
    <w:p>
      <w:r>
        <w:rPr>
          <w:i/>
        </w:rPr>
        <w:t>Location:</w:t>
      </w:r>
      <w:r>
        <w:t xml:space="preserve"> §2.3, §7.1, §7.3, §7.4, §11 throughout; no References section anywhere.</w:t>
      </w:r>
    </w:p>
    <w:p>
      <w:r>
        <w:t xml:space="preserve">The report leans on specific external claims — IFRC's 2021 methodology paper on conflict per-capita costs (§2.3), a WFP Sudan per-tonne premium of ~1.23× (§2.3), OCHA Gaza ceasefire looting under 2% (§7.2), the UNHAS rate of \$2.08/passenger-km (§7.3), peer-reviewed per-surgical-case costs (§7.4), UNICEF SOWC 2023 and UN WPP 2022 (§11.6) — but gives no bibliography, page references, or links, so none can be checked. The sourcing is also engaged operationally rather than critically: sources are used to justify a number, but the five C's of synthesis are largely absent — there is little </w:t>
      </w:r>
      <w:r>
        <w:rPr>
          <w:i/>
        </w:rPr>
        <w:t>comparing</w:t>
      </w:r>
      <w:r>
        <w:t xml:space="preserve"> of sources that agree, </w:t>
      </w:r>
      <w:r>
        <w:rPr>
          <w:i/>
        </w:rPr>
        <w:t>contrasting</w:t>
      </w:r>
      <w:r>
        <w:t xml:space="preserve"> of those that conflict (the \$2–23/m³ water range in §6.4 is a live conflict the model sets aside), or </w:t>
      </w:r>
      <w:r>
        <w:rPr>
          <w:i/>
        </w:rPr>
        <w:t>critiquing</w:t>
      </w:r>
      <w:r>
        <w:t xml:space="preserve"> of source quality beyond the validated/estimated tag.</w:t>
      </w:r>
    </w:p>
    <w:p>
      <w:r>
        <w:rPr>
          <w:i/>
        </w:rPr>
        <w:t>Why it matters:</w:t>
      </w:r>
      <w:r>
        <w:t xml:space="preserve"> A working paper from a research center is held to verifiability. As it stands a reader cannot confirm the load-bearing empirical anchors, and the honest "no published multiplier exists" finding of §2.3 — potentially the paper's most citable original contribution — is itself uncitable without the search documented.</w:t>
      </w:r>
    </w:p>
    <w:p>
      <w:r>
        <w:rPr>
          <w:i/>
        </w:rPr>
        <w:t>Path forward:</w:t>
      </w:r>
      <w:r>
        <w:t xml:space="preserve"> Add a References section with full citations for every external figure, and a short methods note on the literature search behind §2.3 (databases, terms, date). Where sources conflict (water cost, injury-to-death ratio in §9.7), state the range and the choice explicitly rather than adopting a single value silently.</w:t>
      </w:r>
    </w:p>
    <w:p>
      <w:pPr>
        <w:pStyle w:val="Heading2"/>
      </w:pPr>
      <w:r>
        <w:t>Minor issues</w:t>
      </w:r>
    </w:p>
    <w:p>
      <w:pPr>
        <w:pStyle w:val="ListBullet"/>
      </w:pPr>
      <w:r>
        <w:rPr>
          <w:b/>
        </w:rPr>
        <w:t>m1.</w:t>
      </w:r>
      <w:r>
        <w:t xml:space="preserve"> §9.2 — the Level 4 base death rate (1.000) is lower than Level 2 (3.625) and Level 3 (1.805). The explanation (base rates multiplied by later factors; different conflict shapes) is sound, but the raw table invites "this is backwards." Show an </w:t>
      </w:r>
      <w:r>
        <w:rPr>
          <w:i/>
        </w:rPr>
        <w:t>effective</w:t>
      </w:r>
      <w:r>
        <w:t xml:space="preserve"> rate for a canonical case at each level alongside the base rate so the ordering is not read naked.</w:t>
      </w:r>
    </w:p>
    <w:p>
      <w:pPr>
        <w:pStyle w:val="ListBullet"/>
      </w:pPr>
      <w:r>
        <w:rPr>
          <w:b/>
        </w:rPr>
        <w:t>m2.</w:t>
      </w:r>
      <w:r>
        <w:t xml:space="preserve"> §6.5 — the terrain multiplier's upper bound of 4.0 is derived from a WFP figure the paper concedes "mixes terrain, access and security together," yet access (the §7.1 multiplier) and logistics (the D4 penalty in §6.5) are </w:t>
      </w:r>
      <w:r>
        <w:rPr>
          <w:i/>
        </w:rPr>
        <w:t>also</w:t>
      </w:r>
      <w:r>
        <w:t xml:space="preserve"> applied separately. Flag and check for double-counting.</w:t>
      </w:r>
    </w:p>
    <w:p>
      <w:pPr>
        <w:pStyle w:val="ListBullet"/>
      </w:pPr>
      <w:r>
        <w:rPr>
          <w:b/>
        </w:rPr>
        <w:t>m3.</w:t>
      </w:r>
      <w:r>
        <w:t xml:space="preserve"> §6.2 — the staff rates assume national/MSF-level deployment and "full United Nations international professional staff … would cost three to six times more," an assumption the author notes "is not stated in the interface and should be flagged." Surface it in the UI; the break-even is sensitive to it.</w:t>
      </w:r>
    </w:p>
    <w:p>
      <w:pPr>
        <w:pStyle w:val="ListBullet"/>
      </w:pPr>
      <w:r>
        <w:rPr>
          <w:b/>
        </w:rPr>
        <w:t>m4.</w:t>
      </w:r>
      <w:r>
        <w:t xml:space="preserve"> §6.4 — water is priced at \$0.05/L while cited 2026 field evidence gives \$2–23/m³ (= \$0.002–0.023/L), i.e., the model sits </w:t>
      </w:r>
      <w:r>
        <w:rPr>
          <w:i/>
        </w:rPr>
        <w:t>above</w:t>
      </w:r>
      <w:r>
        <w:t xml:space="preserve"> observed costs. "Conservative" here means over-costing water; say so and note the direction.</w:t>
      </w:r>
    </w:p>
    <w:p>
      <w:pPr>
        <w:pStyle w:val="ListBullet"/>
      </w:pPr>
      <w:r>
        <w:rPr>
          <w:b/>
        </w:rPr>
        <w:t>m5.</w:t>
      </w:r>
      <w:r>
        <w:t xml:space="preserve"> §9.3 — the confinement multiplier's stepwise jumps (0.5, 1, 2, 4, 8) create an eightfold lever with discontinuities the author already lists as a limitation. A smooth function would remove cliff effects at band boundaries.</w:t>
      </w:r>
    </w:p>
    <w:p>
      <w:pPr>
        <w:pStyle w:val="ListBullet"/>
      </w:pPr>
      <w:r>
        <w:rPr>
          <w:b/>
        </w:rPr>
        <w:t>m6.</w:t>
      </w:r>
      <w:r>
        <w:t xml:space="preserve"> §16.4 — RICS is described in enough depth to raise the question of whether it belongs in </w:t>
      </w:r>
      <w:r>
        <w:rPr>
          <w:i/>
        </w:rPr>
        <w:t>this</w:t>
      </w:r>
      <w:r>
        <w:t xml:space="preserve"> paper at all; either fold its uncertainty-propagation lesson into ERCF (see Major 2) or spin it out. As written it reads as scope creep in a report that "treats ERCF on its own terms" (§16.5).</w:t>
      </w:r>
    </w:p>
    <w:p>
      <w:pPr>
        <w:pStyle w:val="ListBullet"/>
      </w:pPr>
      <w:r>
        <w:rPr>
          <w:b/>
        </w:rPr>
        <w:t>m7.</w:t>
      </w:r>
      <w:r>
        <w:t xml:space="preserve"> Structure — the report has no abstract and uses technical-documentation numbering (1.1, 2.3, …) with continuous prose. For an academic venue, add a ~200-word abstract and consider whether Sections 11–13 (data sources, IHL primer) are better as appendices, so the argument (contribution → method → validation → limits) reads more directly.</w:t>
      </w:r>
    </w:p>
    <w:p>
      <w:pPr>
        <w:pStyle w:val="ListBullet"/>
      </w:pPr>
      <w:r>
        <w:rPr>
          <w:b/>
        </w:rPr>
        <w:t>m8.</w:t>
      </w:r>
      <w:r>
        <w:t xml:space="preserve"> §15 is excellent but incomplete — it catches acronym drift, stale comments, the corpus date range, a hardcoded file path, and the Mali code, yet misses the D3 sign contradiction (Major 1) and the §6.6 reconciliation (Major 3). Note in the revision that the self-review is not exhaustive.</w:t>
      </w:r>
    </w:p>
    <w:p>
      <w:pPr>
        <w:pStyle w:val="Heading2"/>
      </w:pPr>
      <w:r>
        <w:t>Things the report gets right</w:t>
      </w:r>
    </w:p>
    <w:p>
      <w:pPr>
        <w:pStyle w:val="ListBullet"/>
      </w:pPr>
      <w:r>
        <w:rPr>
          <w:b/>
        </w:rPr>
        <w:t>The confidence tagging is the real innovation and it is applied consistently</w:t>
      </w:r>
      <w:r>
        <w:t xml:space="preserve"> (§2.4, and throughout §6–§9). Marking each number validated / estimated / unvalidated, in the interface rather than buried, is a genuine methodological contribution to a domain that usually launders intuition into authority.</w:t>
      </w:r>
    </w:p>
    <w:p>
      <w:pPr>
        <w:pStyle w:val="ListBullet"/>
      </w:pPr>
      <w:r>
        <w:rPr>
          <w:b/>
        </w:rPr>
        <w:t>Section 15 is a model of intellectual honesty.</w:t>
      </w:r>
      <w:r>
        <w:t xml:space="preserve"> A report that hunts its own code for discrepancies against its documentation, and publishes them, earns trust it can spend elsewhere. Most papers would bury these.</w:t>
      </w:r>
    </w:p>
    <w:p>
      <w:pPr>
        <w:pStyle w:val="ListBullet"/>
      </w:pPr>
      <w:r>
        <w:rPr>
          <w:b/>
        </w:rPr>
        <w:t>The cost/mortality and description/recommendation separations are principled, not cosmetic</w:t>
      </w:r>
      <w:r>
        <w:t xml:space="preserve"> (§14.2, §19.2). "No cost-per-life-saved figure anywhere in the codebase" is the right design decision and it is defended structurally, tied correctly to the necessity test of Article 49 (§13.3).</w:t>
      </w:r>
    </w:p>
    <w:p>
      <w:pPr>
        <w:pStyle w:val="ListBullet"/>
      </w:pPr>
      <w:r>
        <w:rPr>
          <w:b/>
        </w:rPr>
        <w:t>The §2.3 finding — that no published active-conflict cost multiplier appears to exist — is a real contribution stated as both a weakness and a first attempt.</w:t>
      </w:r>
      <w:r>
        <w:t xml:space="preserve"> That framing is exactly right.</w:t>
      </w:r>
    </w:p>
    <w:p>
      <w:pPr>
        <w:pStyle w:val="ListBullet"/>
      </w:pPr>
      <w:r>
        <w:rPr>
          <w:b/>
        </w:rPr>
        <w:t>The downward revisions are evidence of a working research instrument</w:t>
      </w:r>
      <w:r>
        <w:t xml:space="preserve"> (§7.1 access multipliers 8→4; §6.1 ambulance ratio 1/40→1/150; §19.1). Lowering your own numbers when the evidence won't support them is the behavior the paper claims for itself, and the paper shows the receipts.</w:t>
      </w:r>
    </w:p>
    <w:p>
      <w:pPr>
        <w:pStyle w:val="ListBullet"/>
      </w:pPr>
      <w:r>
        <w:rPr>
          <w:b/>
        </w:rPr>
        <w:t>The exclusion criteria (§10.3) and the Srebrenica-motivated urgency floor and hard trigger (§5.2, §7.3) show the edge cases were thought about</w:t>
      </w:r>
      <w:r>
        <w:t>, not papered over. The four-cell severity/feasibility matrix (§5.5) is a clean way to stop a dangerous-but-immovable situation from averaging out to "moderate."</w:t>
      </w:r>
    </w:p>
    <w:p>
      <w:pPr>
        <w:pStyle w:val="Heading2"/>
      </w:pPr>
      <w:r>
        <w:t>Verdict</w:t>
      </w:r>
    </w:p>
    <w:p>
      <w:r>
        <w:rPr>
          <w:b/>
        </w:rPr>
        <w:t>Major revisions.</w:t>
      </w:r>
      <w:r>
        <w:t xml:space="preserve"> The contribution is real and the honesty is exemplary; this is not a reject. But three of the four blocking issues concern </w:t>
      </w:r>
      <w:r>
        <w:rPr>
          <w:i/>
        </w:rPr>
        <w:t>correctness and trust in the numbers</w:t>
      </w:r>
      <w:r>
        <w:t>, not just presentation, and one of them (the D3 sign, Major 1) may indicate a live bug rather than only a documentation slip.</w:t>
      </w:r>
    </w:p>
    <w:p>
      <w:r>
        <w:rPr>
          <w:b/>
        </w:rPr>
        <w:t>The single highest-value revision:</w:t>
      </w:r>
      <w:r>
        <w:t xml:space="preserve"> resolve the D3-direction contradiction (Major 1) by fixing the convention in code and making every section conform — because until a reader can trust that a core input is not wired backwards, no downstream figure (feasibility, loss rate, confinement, the break-even) can be relied upon, and no amount of transparency about </w:t>
      </w:r>
      <w:r>
        <w:rPr>
          <w:i/>
        </w:rPr>
        <w:t>parameter</w:t>
      </w:r>
      <w:r>
        <w:t xml:space="preserve"> confidence compensates for uncertainty about </w:t>
      </w:r>
      <w:r>
        <w:rPr>
          <w:i/>
        </w:rPr>
        <w:t>sign</w:t>
      </w:r>
      <w:r>
        <w:t>. Once correctness is secured, the close-second revision is to put uncertainty bands on the headline outputs (Major 2), using the propagation technique the author has already built into RICS.</w:t>
      </w:r>
    </w:p>
    <w:p>
      <w:r>
        <w:rPr>
          <w:i/>
        </w:rPr>
        <w:t>Note on citations: this review locates every finding by the paper's own section numbers; because I point the author to no external literature I could independently verify, no References section is appended, in keeping with the injunction not to supply unverifiable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