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HASTE: High-speed Assessment and Satellite Tracking for Emergencies (Rapid Post-Disaster Building Damage Assessment)</w:t>
      </w:r>
    </w:p>
    <w:p>
      <w:r>
        <w:rPr>
          <w:b/>
        </w:rPr>
        <w:t>Reviewed as:</w:t>
      </w:r>
      <w:r>
        <w:t xml:space="preserve"> Referee for a plain-language research report / technical explainer prepared under the Ethical Tech CoLab (NYU Center for Global Affairs). The bar applied is that of a strong explainer venue: the software design is Microsoft's and out of scope; what is under review is the report's exposition, framing, and intellectual honesty.</w:t>
      </w:r>
    </w:p>
    <w:p>
      <w:r>
        <w:rPr>
          <w:b/>
        </w:rPr>
        <w:t>Reviewer role:</w:t>
      </w:r>
      <w:r>
        <w:t xml:space="preserve"> External peer reviewer</w:t>
      </w:r>
    </w:p>
    <w:p>
      <w:r>
        <w:rPr>
          <w:b/>
        </w:rPr>
        <w:t>Recommendation:</w:t>
      </w:r>
      <w:r>
        <w:t xml:space="preserve"> Minor revisions</w:t>
      </w:r>
    </w:p>
    <w:p>
      <w:r>
        <w:rPr>
          <w:b/>
        </w:rPr>
        <w:t>Date:</w:t>
      </w:r>
      <w:r>
        <w:t xml:space="preserve"> 22 July 2026</w:t>
      </w:r>
    </w:p>
    <w:p>
      <w:pPr>
        <w:pStyle w:val="Heading2"/>
      </w:pPr>
      <w:r>
        <w:t>Summary of the submission</w:t>
      </w:r>
    </w:p>
    <w:p>
      <w:r>
        <w:t>This report is a non-technical exposition of HASTE, an open-source rapid post-disaster building damage-assessment platform built by the Microsoft AI for Good Lab and reviewed here in the CoLab's fork. The report's stated purpose is to explain, for a humanitarian and research audience, what the platform does, what every one of its adjustable and hardcoded settings means, and what it cannot be trusted to do.</w:t>
      </w:r>
    </w:p>
    <w:p>
      <w:r>
        <w:t>The genuine contribution is threefold. First, it renders a genuinely complex machine-learning pipeline (embeddings, in-browser logistic regression, U-Net segmentation, finite-population survey estimation) into ordinary language without dumbing it down, which is hard and rarely done well. Second, §05 ("The Variables, Explained Simply") is an unusually complete and disciplined parameter-by-parameter account that would let a non-programmer understand the levers that actually move the answer. Third, and most valuably, the report does not stop at the vendor's own documentation: it reads the source code and surfaces concrete failure modes the developers did not advertise (the epochs inconsistency, positional class fragility, the binary-column-versus-threshold discrepancy, the absence of a genuinely held-out validation set in the trained-model route). That is real reviewing labour applied on the reader's behalf, and it is what lifts this above a marketing summary. The framing throughout — that HASTE reallocates labour toward scarce human judgment rather than automating it away — is coherent and honestly argued.</w:t>
      </w:r>
    </w:p>
    <w:p>
      <w:pPr>
        <w:pStyle w:val="Heading2"/>
      </w:pPr>
      <w:r>
        <w:t>Major issues</w:t>
      </w:r>
    </w:p>
    <w:p>
      <w:r>
        <w:rPr>
          <w:b/>
        </w:rPr>
        <w:t>1. The single most important quantitative metric is never defined. [§08 and the hero stat band]</w:t>
      </w:r>
      <w:r>
        <w:t xml:space="preserve"> The headline evidence for the fast route is a "discrimination score" of 0.84 from one per cent of labels against 0.88 fully supervised, and this number is elevated into the four-figure stat band at the top of the report. Yet the report never says what a "discrimination score" is. A scanning reader — the exact audience the report targets — cannot tell whether 0.84 is an AUROC, an accuracy, an F1, or something else, nor what scale it lives on or what counts as good. Because this is the load-bearing number for the platform's central practical claim, leaving it undefined undercuts the report's own standard of clarity. </w:t>
      </w:r>
      <w:r>
        <w:rPr>
          <w:i/>
        </w:rPr>
        <w:t>Why it matters:</w:t>
      </w:r>
      <w:r>
        <w:t xml:space="preserve"> the report elsewhere is scrupulous about defining precision, recall, damage fraction, and the confidence interval; the one metric promoted to the masthead is the one left unexplained. </w:t>
      </w:r>
      <w:r>
        <w:rPr>
          <w:i/>
        </w:rPr>
        <w:t>Path forward:</w:t>
      </w:r>
      <w:r>
        <w:t xml:space="preserve"> name the metric (state explicitly if it is area under the ROC curve), give it one plain-language sentence ("the probability that the model ranks a randomly chosen damaged building above a randomly chosen intact one"), and state its range and chance baseline so 0.84 is legible.</w:t>
      </w:r>
    </w:p>
    <w:p>
      <w:r>
        <w:rPr>
          <w:b/>
        </w:rPr>
        <w:t>2. §08 is titled "Evidence of Performance" but mixes validated accuracy with mere deployment counts, and the stat band spins the one number that is below baseline. [§08; stats array; thesis]</w:t>
      </w:r>
      <w:r>
        <w:t xml:space="preserve"> The section presents "thirty-one field deployments," a Maui assessment "identifying roughly 1,700 damaged buildings," and Türkiye cities assessed within three days as if they were performance evidence, when most carry no accuracy figures at all — they are evidence of </w:t>
      </w:r>
      <w:r>
        <w:rPr>
          <w:i/>
        </w:rPr>
        <w:t>use</w:t>
      </w:r>
      <w:r>
        <w:t xml:space="preserve">, not of </w:t>
      </w:r>
      <w:r>
        <w:rPr>
          <w:i/>
        </w:rPr>
        <w:t>correctness</w:t>
      </w:r>
      <w:r>
        <w:t xml:space="preserve">. Separately, the report's own table shows the 1-per-cent-label discrimination score (0.84) is </w:t>
      </w:r>
      <w:r>
        <w:rPr>
          <w:i/>
        </w:rPr>
        <w:t>below</w:t>
      </w:r>
      <w:r>
        <w:t xml:space="preserve"> the fully supervised baseline (0.88); it only overtakes it at 10 per cent labels (0.91). The stat band and the surrounding prose ("a handful of labels ... can match a conventionally trained model") frame 0.84-vs-0.88 as near-parity, which is a favourable reading of a number that is actually a modest deficit. </w:t>
      </w:r>
      <w:r>
        <w:rPr>
          <w:i/>
        </w:rPr>
        <w:t>Why it matters:</w:t>
      </w:r>
      <w:r>
        <w:t xml:space="preserve"> an explainer that is otherwise rigorous about the measured-versus-concluded gap should not itself blur usage with validation or round a deficit up to "match." </w:t>
      </w:r>
      <w:r>
        <w:rPr>
          <w:i/>
        </w:rPr>
        <w:t>Path forward:</w:t>
      </w:r>
      <w:r>
        <w:t xml:space="preserve"> split §08 into "Validated accuracy" (xBD; the Rolling Fork and Melissa precision/recall figures) and "Deployment record" (the counts and dates, clearly labelled as adoption not accuracy); and adjust the stat-band gloss so it states plainly that near-baseline performance is reached at roughly 10 per cent of labels, with 1 per cent trading some accuracy for speed.</w:t>
      </w:r>
    </w:p>
    <w:p>
      <w:r>
        <w:rPr>
          <w:b/>
        </w:rPr>
        <w:t>3. The "gap" is framed against only two comparators, omitting the machine-learning damage-assessment literature the report itself relies on. [§02, "The gap"]</w:t>
      </w:r>
      <w:r>
        <w:t xml:space="preserve"> The prior art engaged is Copernicus EMS Rapid Mapping and manual aerial surveys. But the report benchmarks HASTE on xBD — the dataset created for the xView2 building-damage challenge, which spawned a substantial body of automated damage-classification work. That literature is the nearest neighbour to HASTE and is absent from the positioning, so the gap ("nothing delivers inside seventy-two hours") reads as manufactured by omitting the field HASTE actually sits in. </w:t>
      </w:r>
      <w:r>
        <w:rPr>
          <w:i/>
        </w:rPr>
        <w:t>Why it matters:</w:t>
      </w:r>
      <w:r>
        <w:t xml:space="preserve"> positioning a tool only against slow official products makes it look more novel than it is; the interesting and honest claim is not "nothing existed" but "existing ML approaches assumed a global pretrained model, and HASTE trades that for a disposable per-event model an analyst can fit without code." </w:t>
      </w:r>
      <w:r>
        <w:rPr>
          <w:i/>
        </w:rPr>
        <w:t>Path forward:</w:t>
      </w:r>
      <w:r>
        <w:t xml:space="preserve"> add two or three sentences in §02 acknowledging the xView2/xBD line of work as the real comparator and stating precisely what HASTE does differently (per-event, no-code, human-labelled), rather than implying an empty field.</w:t>
      </w:r>
    </w:p>
    <w:p>
      <w:r>
        <w:rPr>
          <w:b/>
        </w:rPr>
        <w:t>4. The report never states its own strongest structural limitation: every performance claim is self-reported by the developer. [§08, §13, and Limitations §10]</w:t>
      </w:r>
      <w:r>
        <w:t xml:space="preserve"> The report is admirably honest about HASTE's </w:t>
      </w:r>
      <w:r>
        <w:rPr>
          <w:i/>
        </w:rPr>
        <w:t>technical</w:t>
      </w:r>
      <w:r>
        <w:t xml:space="preserve"> limits, but it does not name the epistemic one that a skeptical referee would seize on first — namely that the xBD results, the deployment record, and the field precision/recall figures all originate from the Microsoft paper and repository, and none has been independently reproduced or externally validated in this report. The recurring hedge "according to the research paper published alongside the platform" gestures at this but never states it as a limitation the reader should weigh. </w:t>
      </w:r>
      <w:r>
        <w:rPr>
          <w:i/>
        </w:rPr>
        <w:t>Why it matters:</w:t>
      </w:r>
      <w:r>
        <w:t xml:space="preserve"> the report's credibility rests on its honesty, and the one caveat missing from an otherwise thorough limitations section is the provenance of the evidence itself. </w:t>
      </w:r>
      <w:r>
        <w:rPr>
          <w:i/>
        </w:rPr>
        <w:t>Path forward:</w:t>
      </w:r>
      <w:r>
        <w:t xml:space="preserve"> add a single explicit sentence — in §08 or as a bullet in §10 — noting that all reported performance figures are developer-supplied and were not independently reproduced for this report, so they should be read as the developer's own account rather than as third-party verification.</w:t>
      </w:r>
    </w:p>
    <w:p>
      <w:pPr>
        <w:pStyle w:val="Heading2"/>
      </w:pPr>
      <w:r>
        <w:t>Minor issues</w:t>
      </w:r>
    </w:p>
    <w:p>
      <w:pPr>
        <w:pStyle w:val="ListBullet"/>
      </w:pPr>
      <w:r>
        <w:rPr>
          <w:b/>
        </w:rPr>
        <w:t>m1. [Citations; §08]</w:t>
      </w:r>
      <w:r>
        <w:t xml:space="preserve"> The arXiv identifier </w:t>
      </w:r>
      <w:r>
        <w:rPr>
          <w:rFonts w:ascii="Courier New" w:hAnsi="Courier New"/>
        </w:rPr>
        <w:t>arXiv:2607.11838</w:t>
      </w:r>
      <w:r>
        <w:t xml:space="preserve"> should be confirmed to resolve to the stated paper. The number parses as a July 2026 submission, which is plausible but current-to-the-week; verify the link is live and the title matches. </w:t>
      </w:r>
      <w:r>
        <w:rPr>
          <w:b/>
        </w:rPr>
        <w:t>[Verification Required]</w:t>
      </w:r>
    </w:p>
    <w:p>
      <w:pPr>
        <w:pStyle w:val="ListBullet"/>
      </w:pPr>
      <w:r>
        <w:rPr>
          <w:b/>
        </w:rPr>
        <w:t>m2. [§08 table]</w:t>
      </w:r>
      <w:r>
        <w:t xml:space="preserve"> The performance table attributes 0.84 and 0.91 to the "Strongest embedding" without naming whether that is MOSAIKS or DINOv2. Since §05 presents MOSAIKS as the lightweight default, the reader cannot tell whether the headline result was achieved with the default they would actually run. State which embedding produced the reported scores.</w:t>
      </w:r>
    </w:p>
    <w:p>
      <w:pPr>
        <w:pStyle w:val="ListBullet"/>
      </w:pPr>
      <w:r>
        <w:rPr>
          <w:b/>
        </w:rPr>
        <w:t>m3. [§01 vs §08]</w:t>
      </w:r>
      <w:r>
        <w:t xml:space="preserve"> "More than thirty disaster responses" (Executive Summary) and "thirty-one field deployments" (§08) use different nouns for what appears to be the same count. If a response and a deployment differ, define the difference; if not, use one term.</w:t>
      </w:r>
    </w:p>
    <w:p>
      <w:pPr>
        <w:pStyle w:val="ListBullet"/>
      </w:pPr>
      <w:r>
        <w:rPr>
          <w:b/>
        </w:rPr>
        <w:t>m4. [Thesis and stat band]</w:t>
      </w:r>
      <w:r>
        <w:t xml:space="preserve"> The "seventy-two hours" figure appears in the thesis but §00 and §02 speak only of "the first days" and "hours to days." The specific 72-hour window is asserted, never grounded in a source. Either cite the basis for 72 hours or align the thesis with the softer "first days" language used elsewhere.</w:t>
      </w:r>
    </w:p>
    <w:p>
      <w:pPr>
        <w:pStyle w:val="ListBullet"/>
      </w:pPr>
      <w:r>
        <w:rPr>
          <w:b/>
        </w:rPr>
        <w:t>m5. [§05]</w:t>
      </w:r>
      <w:r>
        <w:t xml:space="preserve"> This section is the declared "heart" of the report but runs ~25 labelled entries with no internal grouping. Consider clustering them (imagery preparation / trained-model route / fast route / final estimate) with sub-labels so a reader can navigate rather than read straight through.</w:t>
      </w:r>
    </w:p>
    <w:p>
      <w:pPr>
        <w:pStyle w:val="ListBullet"/>
      </w:pPr>
      <w:r>
        <w:rPr>
          <w:b/>
        </w:rPr>
        <w:t>m6. [Stat band, "0.1 damage threshold"]</w:t>
      </w:r>
      <w:r>
        <w:t xml:space="preserve"> To a reader scanning only the stat band, "0.1 damage threshold ... set low on purpose" is opaque without the §05 explanation that it means one-tenth of a building's visible pixels. A four-word gloss ("one tenth of visible area") would make the stat self-contained.</w:t>
      </w:r>
    </w:p>
    <w:p>
      <w:pPr>
        <w:pStyle w:val="ListBullet"/>
      </w:pPr>
      <w:r>
        <w:rPr>
          <w:b/>
        </w:rPr>
        <w:t>m7. [§04]</w:t>
      </w:r>
      <w:r>
        <w:t xml:space="preserve"> The claim that Overture "covers roughly 2.3 billion buildings worldwide" is stated without citation; if retained as a concrete figure, attribute it.</w:t>
      </w:r>
    </w:p>
    <w:p>
      <w:pPr>
        <w:pStyle w:val="Heading2"/>
      </w:pPr>
      <w:r>
        <w:t>Things the report gets right</w:t>
      </w:r>
    </w:p>
    <w:p>
      <w:r>
        <w:t>Protect these; they are what make the report worth reading.</w:t>
      </w:r>
    </w:p>
    <w:p>
      <w:pPr>
        <w:pStyle w:val="ListBullet"/>
      </w:pPr>
      <w:r>
        <w:rPr>
          <w:b/>
        </w:rPr>
        <w:t>The code-level limitations (§10 and §05).</w:t>
      </w:r>
      <w:r>
        <w:t xml:space="preserve"> Reading the source and adding failure modes the vendor did not document — the epochs disagreement between worked example (10), web form (3), server fallback (1) and hardcoded minimum (10); the positional-class fragility whereby reordering classes silently computes damage from the wrong category; the row-position matching that would misattribute damage if the building list is reordered; and the absence of a genuinely held-out validation set in the trained-model route — is exactly the independent scrutiny a reader cannot perform themselves. This is the report's signature strength.</w:t>
      </w:r>
    </w:p>
    <w:p>
      <w:pPr>
        <w:pStyle w:val="ListBullet"/>
      </w:pPr>
      <w:r>
        <w:rPr>
          <w:b/>
        </w:rPr>
        <w:t>The "wrinkle" in §05.</w:t>
      </w:r>
      <w:r>
        <w:t xml:space="preserve"> Flagging that the binary damaged column (any damaged pixel) and the threshold-based assessment (tenth-part) will yield different accuracy figures in the two reports, and that nothing in the documentation warns of it, is a precise, high-value catch.</w:t>
      </w:r>
    </w:p>
    <w:p>
      <w:pPr>
        <w:pStyle w:val="ListBullet"/>
      </w:pPr>
      <w:r>
        <w:rPr>
          <w:b/>
        </w:rPr>
        <w:t>Honesty about who gets left out (§05, §10).</w:t>
      </w:r>
      <w:r>
        <w:t xml:space="preserve"> The report repeatedly and without euphemism connects the 50-square-metre minimum footprint and the weakness of building outlines in the Global South and informal settlements to the fact that these are the populations most exposed to disaster. That equity caveat is stated as a structural fact, not buried.</w:t>
      </w:r>
    </w:p>
    <w:p>
      <w:pPr>
        <w:pStyle w:val="ListBullet"/>
      </w:pPr>
      <w:r>
        <w:rPr>
          <w:b/>
        </w:rPr>
        <w:t>Precision versus recall (§06).</w:t>
      </w:r>
      <w:r>
        <w:t xml:space="preserve"> Refusing to average precision and recall into one figure, and explaining that the two errors carry different humanitarian costs, is both correct and well taught.</w:t>
      </w:r>
    </w:p>
    <w:p>
      <w:pPr>
        <w:pStyle w:val="ListBullet"/>
      </w:pPr>
      <w:r>
        <w:rPr>
          <w:b/>
        </w:rPr>
        <w:t>The confidence-interval caveat (§05, §10).</w:t>
      </w:r>
      <w:r>
        <w:t xml:space="preserve"> Stating plainly that the 95 per cent interval quantifies sampling error only — not mislabelling, misalignment, or systematic model bias — is the kind of honesty that prevents a fast estimate from being mistaken for a survey.</w:t>
      </w:r>
    </w:p>
    <w:p>
      <w:pPr>
        <w:pStyle w:val="ListBullet"/>
      </w:pPr>
      <w:r>
        <w:rPr>
          <w:b/>
        </w:rPr>
        <w:t>Clean attribution.</w:t>
      </w:r>
      <w:r>
        <w:t xml:space="preserve"> The software-versus-report distinction (software is Microsoft's; only the plain-language report is the CoLab's) is stated up front and maintained throughout.</w:t>
      </w:r>
    </w:p>
    <w:p>
      <w:pPr>
        <w:pStyle w:val="Heading2"/>
      </w:pPr>
      <w:r>
        <w:t>Verdict</w:t>
      </w:r>
    </w:p>
    <w:p>
      <w:r>
        <w:t>Minor revisions. This is a strong, unusually honest technical explainer whose reviewing of the underlying code puts it well above a vendor summary; nothing here threatens its core contribution. The single highest-value revision is to fix the evidence layer: define the "discrimination score" that anchors the headline claim (Major 1), and separate validated accuracy from deployment counts in §08 so the report stops presenting adoption as performance and stops glossing a below-baseline number as parity (Major 2). Those two changes, plus one sentence acknowledging that all performance evidence is developer-reported (Major 4), would bring the report's evidentiary discipline up to the standard its exposition already meets.</w:t>
      </w:r>
    </w:p>
    <w:p>
      <w:pPr>
        <w:pStyle w:val="Heading2"/>
      </w:pPr>
      <w:r>
        <w:t>References</w:t>
      </w:r>
    </w:p>
    <w:p>
      <w:pPr>
        <w:pStyle w:val="ListNumber"/>
      </w:pPr>
      <w:r>
        <w:t xml:space="preserve">Microsoft AI for Good Lab. </w:t>
      </w:r>
      <w:r>
        <w:rPr>
          <w:i/>
        </w:rPr>
        <w:t>HASTE: A Platform for Rapid Post-Disaster Building Damage Assessment.</w:t>
      </w:r>
      <w:r>
        <w:t xml:space="preserve"> arXiv:2607.11838. https://arxiv.org/abs/2607.11838 </w:t>
      </w:r>
      <w:r>
        <w:rPr>
          <w:b/>
        </w:rPr>
        <w:t>[Verification Required]</w:t>
      </w:r>
    </w:p>
    <w:p>
      <w:pPr>
        <w:pStyle w:val="ListNumber"/>
      </w:pPr>
      <w:r>
        <w:t xml:space="preserve">Microsoft AI for Good Lab. </w:t>
      </w:r>
      <w:r>
        <w:rPr>
          <w:i/>
        </w:rPr>
        <w:t>HASTE</w:t>
      </w:r>
      <w:r>
        <w:t>, open-source platform released under the MIT Licence. https://github.com/microsoft/haste</w:t>
      </w:r>
    </w:p>
    <w:p>
      <w:pPr>
        <w:pStyle w:val="ListNumber"/>
      </w:pPr>
      <w:r>
        <w:t xml:space="preserve">Gupta, R., et al. "Creating xBD: A Dataset for Assessing Building Damage from Satellite Imagery." </w:t>
      </w:r>
      <w:r>
        <w:rPr>
          <w:i/>
        </w:rPr>
        <w:t>CVPR Workshops</w:t>
      </w:r>
      <w:r>
        <w:t>, 2019. (xView2 / xBD challenge — the nearest comparator literature referenced in Major 3.)</w:t>
      </w:r>
    </w:p>
    <w:p>
      <w:pPr>
        <w:pStyle w:val="ListNumber"/>
      </w:pPr>
      <w:r>
        <w:t xml:space="preserve">Rolf, E., et al. "A generalizable and accessible approach to machine learning with global satellite imagery" (MOSAIKS). </w:t>
      </w:r>
      <w:r>
        <w:rPr>
          <w:i/>
        </w:rPr>
        <w:t>Nature Communications</w:t>
      </w:r>
      <w:r>
        <w:t>, 2021.</w:t>
      </w:r>
    </w:p>
    <w:p>
      <w:pPr>
        <w:pStyle w:val="ListNumber"/>
      </w:pPr>
      <w:r>
        <w:t>Oquab, M., et al. "DINOv2: Learning Robust Visual Features without Supervision." Meta AI, 2023.</w:t>
      </w:r>
    </w:p>
    <w:p>
      <w:pPr>
        <w:pStyle w:val="ListNumber"/>
      </w:pPr>
      <w:r>
        <w:t>Overture Maps Foundation. Buildings theme. https://overturemaps.org</w:t>
      </w:r>
    </w:p>
    <w:p>
      <w:r>
        <w:rPr>
          <w:i/>
        </w:rPr>
        <w:t>Note on delivery: python-docx cannot emit native Word footnotes, so citations are collected here as a numbered References section and referred to inline, per the skill's Claude Code delivery convention.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