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2231" w14:textId="77777777" w:rsidR="00F31169" w:rsidRPr="00F31169" w:rsidRDefault="00F31169" w:rsidP="00F3116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31169">
        <w:rPr>
          <w:rFonts w:ascii="Arial" w:hAnsi="Arial" w:cs="Arial"/>
          <w:b/>
          <w:bCs/>
          <w:sz w:val="32"/>
          <w:szCs w:val="32"/>
        </w:rPr>
        <w:t>Resumen Anexo VII: Métricas de Equidad y Mínimos Autoimpuestos</w:t>
      </w:r>
    </w:p>
    <w:p w14:paraId="60218B6A" w14:textId="77777777" w:rsidR="00F31169" w:rsidRPr="00F31169" w:rsidRDefault="00F31169" w:rsidP="00F31169">
      <w:pPr>
        <w:rPr>
          <w:rFonts w:ascii="Arial" w:hAnsi="Arial" w:cs="Arial"/>
        </w:rPr>
      </w:pPr>
      <w:proofErr w:type="spellStart"/>
      <w:r w:rsidRPr="00F31169">
        <w:rPr>
          <w:rFonts w:ascii="Arial" w:hAnsi="Arial" w:cs="Arial"/>
        </w:rPr>
        <w:t>ReJust</w:t>
      </w:r>
      <w:proofErr w:type="spellEnd"/>
      <w:r w:rsidRPr="00F31169">
        <w:rPr>
          <w:rFonts w:ascii="Arial" w:hAnsi="Arial" w:cs="Arial"/>
        </w:rPr>
        <w:t xml:space="preserve"> establece estrictos compromisos de diseño para garantizar la equidad y seguridad del sistema, divididos en métricas medibles y líneas rojas arquitectónicas:</w:t>
      </w:r>
    </w:p>
    <w:p w14:paraId="01EE44A4" w14:textId="77777777" w:rsidR="00F31169" w:rsidRPr="00F31169" w:rsidRDefault="00F31169" w:rsidP="00F31169">
      <w:pPr>
        <w:rPr>
          <w:rFonts w:ascii="Arial" w:hAnsi="Arial" w:cs="Arial"/>
          <w:b/>
          <w:bCs/>
        </w:rPr>
      </w:pPr>
      <w:r w:rsidRPr="00F31169">
        <w:rPr>
          <w:rFonts w:ascii="Arial" w:hAnsi="Arial" w:cs="Arial"/>
          <w:b/>
          <w:bCs/>
        </w:rPr>
        <w:t>1. Métricas de Equidad (</w:t>
      </w:r>
      <w:proofErr w:type="spellStart"/>
      <w:r w:rsidRPr="00F31169">
        <w:rPr>
          <w:rFonts w:ascii="Arial" w:hAnsi="Arial" w:cs="Arial"/>
          <w:b/>
          <w:bCs/>
        </w:rPr>
        <w:t>Fairness</w:t>
      </w:r>
      <w:proofErr w:type="spellEnd"/>
      <w:r w:rsidRPr="00F31169">
        <w:rPr>
          <w:rFonts w:ascii="Arial" w:hAnsi="Arial" w:cs="Arial"/>
          <w:b/>
          <w:bCs/>
        </w:rPr>
        <w:t>)</w:t>
      </w:r>
    </w:p>
    <w:p w14:paraId="59F5A73B" w14:textId="7B922972" w:rsidR="00F31169" w:rsidRPr="00F31169" w:rsidRDefault="00F31169" w:rsidP="00F31169">
      <w:pPr>
        <w:rPr>
          <w:rFonts w:ascii="Arial" w:hAnsi="Arial" w:cs="Arial"/>
        </w:rPr>
      </w:pPr>
      <w:r w:rsidRPr="00F31169">
        <w:rPr>
          <w:rFonts w:ascii="Arial" w:hAnsi="Arial" w:cs="Arial"/>
        </w:rPr>
        <w:t>Para evitar impactos dispares, exigimos que las mediciones se basen en muestras estadísticas válidas (mínimo 500 casos por grupo). Bajo esta premisa, fijamos los siguientes umbrales máximos de tolerancia:</w:t>
      </w:r>
      <w:r w:rsidRPr="00F31169">
        <w:rPr>
          <w:rFonts w:ascii="Arial" w:hAnsi="Arial" w:cs="Arial"/>
        </w:rPr>
        <w:t xml:space="preserve"> 1. </w:t>
      </w:r>
      <w:r w:rsidRPr="00F31169">
        <w:rPr>
          <w:rFonts w:ascii="Arial" w:hAnsi="Arial" w:cs="Arial"/>
        </w:rPr>
        <w:t>Diferencia máxima del 3% en la tasa de omisión de pruebas favorables entre distintos grupos sociodemográficos.</w:t>
      </w:r>
      <w:r w:rsidRPr="00F31169">
        <w:rPr>
          <w:rFonts w:ascii="Arial" w:hAnsi="Arial" w:cs="Arial"/>
        </w:rPr>
        <w:t xml:space="preserve"> 2.</w:t>
      </w:r>
      <w:r w:rsidRPr="00F31169">
        <w:rPr>
          <w:rFonts w:ascii="Arial" w:hAnsi="Arial" w:cs="Arial"/>
        </w:rPr>
        <w:t xml:space="preserve"> Degradación máxima del 3% en la recuperación de información al procesar documentos traducidos.</w:t>
      </w:r>
      <w:r w:rsidRPr="00F31169">
        <w:rPr>
          <w:rFonts w:ascii="Arial" w:hAnsi="Arial" w:cs="Arial"/>
        </w:rPr>
        <w:t xml:space="preserve"> 3.</w:t>
      </w:r>
      <w:r w:rsidRPr="00F31169">
        <w:rPr>
          <w:rFonts w:ascii="Arial" w:hAnsi="Arial" w:cs="Arial"/>
        </w:rPr>
        <w:t xml:space="preserve"> Diferencial máximo del 5% en la recuperación audiovisual de personas con movilidad reducida frente al resto</w:t>
      </w:r>
      <w:r w:rsidRPr="00F31169">
        <w:rPr>
          <w:rFonts w:ascii="Arial" w:hAnsi="Arial" w:cs="Arial"/>
        </w:rPr>
        <w:t>. 4.</w:t>
      </w:r>
      <w:r w:rsidRPr="00F31169">
        <w:rPr>
          <w:rFonts w:ascii="Arial" w:hAnsi="Arial" w:cs="Arial"/>
        </w:rPr>
        <w:t xml:space="preserve"> Tolerancia del 0% de variación algorítmica en pruebas contrafactuales (modificando atributos sensibles como la nacionalidad, el resultado debe ser idéntico).</w:t>
      </w:r>
    </w:p>
    <w:p w14:paraId="401D6557" w14:textId="77777777" w:rsidR="00F31169" w:rsidRPr="00F31169" w:rsidRDefault="00F31169" w:rsidP="00F31169">
      <w:pPr>
        <w:rPr>
          <w:rFonts w:ascii="Arial" w:hAnsi="Arial" w:cs="Arial"/>
          <w:b/>
          <w:bCs/>
        </w:rPr>
      </w:pPr>
      <w:r w:rsidRPr="00F31169">
        <w:rPr>
          <w:rFonts w:ascii="Arial" w:hAnsi="Arial" w:cs="Arial"/>
          <w:b/>
          <w:bCs/>
        </w:rPr>
        <w:t>2. Mínimos Autoimpuestos (Líneas rojas)</w:t>
      </w:r>
    </w:p>
    <w:p w14:paraId="7E37697C" w14:textId="613AD88F" w:rsidR="00F31169" w:rsidRPr="00F31169" w:rsidRDefault="00F31169" w:rsidP="00F31169">
      <w:pPr>
        <w:rPr>
          <w:rFonts w:ascii="Arial" w:hAnsi="Arial" w:cs="Arial"/>
        </w:rPr>
      </w:pPr>
      <w:r w:rsidRPr="00F31169">
        <w:rPr>
          <w:rFonts w:ascii="Arial" w:hAnsi="Arial" w:cs="Arial"/>
        </w:rPr>
        <w:t>Son reglas inquebrantables que bloquean el sistema si no se cumplen:</w:t>
      </w:r>
      <w:r w:rsidRPr="00F31169">
        <w:rPr>
          <w:rFonts w:ascii="Arial" w:hAnsi="Arial" w:cs="Arial"/>
        </w:rPr>
        <w:t>1.</w:t>
      </w:r>
      <w:r w:rsidRPr="00F31169">
        <w:rPr>
          <w:rFonts w:ascii="Arial" w:hAnsi="Arial" w:cs="Arial"/>
        </w:rPr>
        <w:t xml:space="preserve"> </w:t>
      </w:r>
      <w:proofErr w:type="spellStart"/>
      <w:r w:rsidRPr="00F31169">
        <w:rPr>
          <w:rFonts w:ascii="Arial" w:hAnsi="Arial" w:cs="Arial"/>
        </w:rPr>
        <w:t>Anti-regresión</w:t>
      </w:r>
      <w:proofErr w:type="spellEnd"/>
      <w:r w:rsidRPr="00F31169">
        <w:rPr>
          <w:rFonts w:ascii="Arial" w:hAnsi="Arial" w:cs="Arial"/>
        </w:rPr>
        <w:t>: No se despliega ninguna actualización que falle un caso límite superado por la versión anterior.</w:t>
      </w:r>
      <w:r w:rsidRPr="00F31169">
        <w:rPr>
          <w:rFonts w:ascii="Arial" w:hAnsi="Arial" w:cs="Arial"/>
        </w:rPr>
        <w:t xml:space="preserve"> 2. </w:t>
      </w:r>
      <w:r w:rsidRPr="00F31169">
        <w:rPr>
          <w:rFonts w:ascii="Arial" w:hAnsi="Arial" w:cs="Arial"/>
        </w:rPr>
        <w:t>Verificación normativa: Exigimos un 100% de coincidencia de las citas con el BOE/CENDOJ; lo no verificado se descarta.</w:t>
      </w:r>
      <w:r w:rsidRPr="00F31169">
        <w:rPr>
          <w:rFonts w:ascii="Arial" w:hAnsi="Arial" w:cs="Arial"/>
        </w:rPr>
        <w:t xml:space="preserve"> 3. </w:t>
      </w:r>
      <w:r w:rsidRPr="00F31169">
        <w:rPr>
          <w:rFonts w:ascii="Arial" w:hAnsi="Arial" w:cs="Arial"/>
        </w:rPr>
        <w:t>Abstención: El modelo se abstiene de emitir síntesis (trasladando la duda al juez) si hay informes contradictorios, faltan pruebas o la confianza baja del 90%.</w:t>
      </w:r>
      <w:r w:rsidRPr="00F31169">
        <w:rPr>
          <w:rFonts w:ascii="Arial" w:hAnsi="Arial" w:cs="Arial"/>
        </w:rPr>
        <w:t xml:space="preserve">        4. </w:t>
      </w:r>
      <w:r w:rsidRPr="00F31169">
        <w:rPr>
          <w:rFonts w:ascii="Arial" w:hAnsi="Arial" w:cs="Arial"/>
        </w:rPr>
        <w:t xml:space="preserve">Kill Switch ético: </w:t>
      </w:r>
      <w:proofErr w:type="spellStart"/>
      <w:r w:rsidRPr="00F31169">
        <w:rPr>
          <w:rFonts w:ascii="Arial" w:hAnsi="Arial" w:cs="Arial"/>
        </w:rPr>
        <w:t>ReJust</w:t>
      </w:r>
      <w:proofErr w:type="spellEnd"/>
      <w:r w:rsidRPr="00F31169">
        <w:rPr>
          <w:rFonts w:ascii="Arial" w:hAnsi="Arial" w:cs="Arial"/>
        </w:rPr>
        <w:t xml:space="preserve"> se retirará si no logra superar las garantías procesales y de equidad que ofrecería una inversión equivalente en personal humano.</w:t>
      </w:r>
    </w:p>
    <w:p w14:paraId="6FEE6C03" w14:textId="77777777" w:rsidR="000D0DDB" w:rsidRPr="00F31169" w:rsidRDefault="000D0DDB" w:rsidP="00F31169"/>
    <w:sectPr w:rsidR="000D0DDB" w:rsidRPr="00F31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29"/>
    <w:rsid w:val="00094C33"/>
    <w:rsid w:val="000D0DDB"/>
    <w:rsid w:val="002F57E6"/>
    <w:rsid w:val="00B26829"/>
    <w:rsid w:val="00F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5F3E"/>
  <w15:chartTrackingRefBased/>
  <w15:docId w15:val="{657CF794-6DE2-4A07-981A-89E64EB3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8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8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8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8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Diez Álvarez</dc:creator>
  <cp:keywords/>
  <dc:description/>
  <cp:lastModifiedBy>Alberto Diez Álvarez</cp:lastModifiedBy>
  <cp:revision>2</cp:revision>
  <dcterms:created xsi:type="dcterms:W3CDTF">2026-10-25T23:01:00Z</dcterms:created>
  <dcterms:modified xsi:type="dcterms:W3CDTF">2026-10-25T23:03:00Z</dcterms:modified>
</cp:coreProperties>
</file>