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8"/>
          <w:sz w:val="32"/>
          <w:szCs w:val="32"/>
        </w:rPr>
        <w:t xml:space="preserve">Guía Breve — Evaluación de Riesgo de Sesgo (QUIN / SYRCLE)</w:t>
      </w:r>
    </w:p>
    <w:p>
      <w:pPr>
        <w:spacing w:after="200"/>
      </w:pPr>
      <w:r>
        <w:rPr>
          <w:i/>
          <w:iCs/>
          <w:sz w:val="18"/>
          <w:szCs w:val="18"/>
        </w:rPr>
        <w:t xml:space="preserve">Revisión: "Cross-Material Design Strategies in Hydroxyapatite-, Chitosan-, and Polycaprolactone-Based Scaffolds"</w:t>
      </w:r>
    </w:p>
    <w:p>
      <w:pPr>
        <w:spacing w:after="100"/>
      </w:pPr>
      <w:r>
        <w:rPr>
          <w:sz w:val="20"/>
          <w:szCs w:val="20"/>
        </w:rPr>
        <w:t xml:space="preserve">Vas a completar de forma independiente y ciega (sin ver las otras dos evaluaciones) la plantilla adjunta, para que luego se pueda calcular el kappa de Cohen entre los tres evaluadores. Trabaja contra el texto completo de cada artículo, no solo el resumen.</w:t>
      </w:r>
    </w:p>
    <w:p>
      <w:pPr>
        <w:pStyle w:val="Heading2"/>
        <w:spacing w:after="80" w:before="160"/>
      </w:pPr>
      <w:r>
        <w:t xml:space="preserve">Reglas clave</w:t>
      </w:r>
    </w:p>
    <w:p>
      <w:pPr>
        <w:pStyle w:val="ListParagraph"/>
        <w:numPr>
          <w:ilvl w:val="0"/>
          <w:numId w:val="1"/>
        </w:numPr>
        <w:spacing w:after="60"/>
      </w:pPr>
      <w:r>
        <w:t>Cada ítem/dominio se juzga en escala de tres niveles: "Yes", "No" o "Unclear" (en inglés, igual que en la plantilla). Única excepción documentada: D4 (alojamiento aleatorio) en los 2 estudios CAM, donde el dominio no aplica -- marca "N/A" en ese caso (ver tabla de dominios SYRCLE más abajo).</w:t>
      </w:r>
    </w:p>
    <w:p>
      <w:pPr>
        <w:pStyle w:val="ListParagraph"/>
        <w:numPr>
          <w:ilvl w:val="0"/>
          <w:numId w:val="1"/>
        </w:numPr>
        <w:spacing w:after="60"/>
      </w:pPr>
      <w:r>
        <w:t>Regla de decisión: "Yes" se marca únicamente cuando el artículo confirma explícitamente ese dato en el texto. "No" se marca solo cuando el artículo confirma explícitamente la ausencia de ese elemento (p. ej., declara que no hubo aleatorización o que el estudio no fue cegado). Si el dato simplemente no se reporta, se reporta de forma ambigua, o se reporta solo parcialmente, marca "Unclear". Ante la duda entre "No" y "Unclear", marca "Unclear".</w:t>
      </w:r>
    </w:p>
    <w:p>
      <w:pPr>
        <w:pStyle w:val="ListParagraph"/>
        <w:numPr>
          <w:ilvl w:val="0"/>
          <w:numId w:val="1"/>
        </w:numPr>
        <w:spacing w:after="60"/>
      </w:pPr>
      <w:r>
        <w:t>Juicio global: usa un umbral explícito basado en el número de ítems/dominios marcados "Yes" (los marcados "No" o "Unclear" cuentan igual para este umbral, es decir, no suman): en QUIN, el juicio es "Some concerns" solo si al menos 8 de los 12 ítems son "Yes", y "High risk" en caso contrario; en SYRCLE, "Some concerns" solo si al menos 4 de los 10 dominios aplicables son "Yes" (excluyendo el/los dominios marcados "N/A" del conteo), y "High risk" en caso contrario. Aplica este criterio de forma consistente entre estudios: dos estudios con el mismo número de "Yes" deben recibir el mismo juicio global -- revisa tus propias respuestas al terminar para confirmar que esto se cumple.</w:t>
      </w:r>
    </w:p>
    <w:p>
      <w:pPr>
        <w:pStyle w:val="ListParagraph"/>
        <w:numPr>
          <w:ilvl w:val="0"/>
          <w:numId w:val="1"/>
        </w:numPr>
        <w:spacing w:after="60"/>
      </w:pPr>
      <w:r>
        <w:t xml:space="preserve">En Notas, 1–2 frases justificando el juicio global de cada estudio.</w:t>
      </w:r>
    </w:p>
    <w:p>
      <w:pPr>
        <w:pStyle w:val="ListParagraph"/>
        <w:numPr>
          <w:ilvl w:val="0"/>
          <w:numId w:val="1"/>
        </w:numPr>
        <w:spacing w:after="60"/>
      </w:pPr>
      <w:r>
        <w:t xml:space="preserve">Todos los 78 estudios llevan QUIN; solo los 27 marcados con (*) en la lista de abajo llevan además SYRCLE.</w:t>
      </w:r>
    </w:p>
    <w:p>
      <w:pPr>
        <w:pStyle w:val="Heading2"/>
        <w:spacing w:after="80" w:before="160"/>
      </w:pPr>
      <w:r>
        <w:t xml:space="preserve">QUIN (in vitro) — los 78 estudios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780"/>
      </w:tblGrid>
      <w:tr>
        <w:trPr>
          <w:tblHeader/>
        </w:trPr>
        <w:tc>
          <w:tcPr>
            <w:tcW w:type="dxa" w:w="700"/>
            <w:shd w:fill="1F4E78" w:color="auto" w:val="clear"/>
            <w:tcMar>
              <w:top w:type="dxa" w:w="40"/>
              <w:left w:type="dxa" w:w="80"/>
              <w:bottom w:type="dxa" w:w="40"/>
              <w:right w:type="dxa" w:w="80"/>
            </w:tcMar>
            <w:vAlign w:val="center"/>
          </w:tcPr>
          <w:p>
            <w:pPr>
              <w:jc w:val="left"/>
            </w:pPr>
            <w:r>
              <w:rPr>
                <w:rFonts w:ascii="Calibri" w:cs="Calibri" w:eastAsia="Calibri" w:hAnsi="Calibri"/>
                <w:b/>
                <w:bCs/>
                <w:i w:val="false"/>
                <w:iCs w:val="false"/>
                <w:color w:val="FFFFFF"/>
                <w:sz w:val="17"/>
                <w:szCs w:val="17"/>
              </w:rPr>
              <w:t xml:space="preserve">Ítem</w:t>
            </w:r>
          </w:p>
        </w:tc>
        <w:tc>
          <w:tcPr>
            <w:tcW w:type="dxa" w:w="2600"/>
            <w:shd w:fill="1F4E78" w:color="auto" w:val="clear"/>
            <w:tcMar>
              <w:top w:type="dxa" w:w="40"/>
              <w:left w:type="dxa" w:w="80"/>
              <w:bottom w:type="dxa" w:w="40"/>
              <w:right w:type="dxa" w:w="80"/>
            </w:tcMar>
            <w:vAlign w:val="center"/>
          </w:tcPr>
          <w:p>
            <w:pPr>
              <w:jc w:val="left"/>
            </w:pPr>
            <w:r>
              <w:rPr>
                <w:rFonts w:ascii="Calibri" w:cs="Calibri" w:eastAsia="Calibri" w:hAnsi="Calibri"/>
                <w:b/>
                <w:bCs/>
                <w:i w:val="false"/>
                <w:iCs w:val="false"/>
                <w:color w:val="FFFFFF"/>
                <w:sz w:val="17"/>
                <w:szCs w:val="17"/>
              </w:rPr>
              <w:t xml:space="preserve">Nombre</w:t>
            </w:r>
          </w:p>
        </w:tc>
        <w:tc>
          <w:tcPr>
            <w:tcW w:type="dxa" w:w="6780"/>
            <w:shd w:fill="1F4E78" w:color="auto" w:val="clear"/>
            <w:tcMar>
              <w:top w:type="dxa" w:w="40"/>
              <w:left w:type="dxa" w:w="80"/>
              <w:bottom w:type="dxa" w:w="40"/>
              <w:right w:type="dxa" w:w="80"/>
            </w:tcMar>
            <w:vAlign w:val="center"/>
          </w:tcPr>
          <w:p>
            <w:pPr>
              <w:jc w:val="left"/>
            </w:pPr>
            <w:r>
              <w:rPr>
                <w:rFonts w:ascii="Calibri" w:cs="Calibri" w:eastAsia="Calibri" w:hAnsi="Calibri"/>
                <w:b/>
                <w:bCs/>
                <w:i w:val="false"/>
                <w:iCs w:val="false"/>
                <w:color w:val="FFFFFF"/>
                <w:sz w:val="17"/>
                <w:szCs w:val="17"/>
              </w:rPr>
              <w:t xml:space="preserve">Cómo juzgar / adaptación a este corpus</w:t>
            </w:r>
          </w:p>
        </w:tc>
      </w:tr>
      <w:tr>
        <w:tc>
          <w:tcPr>
            <w:tcW w:type="dxa" w:w="7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Q1</w:t>
            </w:r>
          </w:p>
        </w:tc>
        <w:tc>
          <w:tcPr>
            <w:tcW w:type="dxa" w:w="2600"/>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Objetivos claros</w:t>
            </w:r>
          </w:p>
        </w:tc>
        <w:tc>
          <w:tcPr>
            <w:tcW w:type="dxa" w:w="67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7"/>
                <w:szCs w:val="17"/>
              </w:rPr>
              <w:t xml:space="preserve">¿Se enuncia la pregunta de diseño/rendimiento del andamio? Sin adaptación.</w:t>
            </w:r>
          </w:p>
        </w:tc>
      </w:tr>
      <w:tr>
        <w:tc>
          <w:tcPr>
            <w:tcW w:type="dxa" w:w="7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Q2</w:t>
            </w:r>
          </w:p>
        </w:tc>
        <w:tc>
          <w:tcPr>
            <w:tcW w:type="dxa" w:w="2600"/>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Tamaño de muestra justificado</w:t>
            </w:r>
          </w:p>
        </w:tc>
        <w:tc>
          <w:tcPr>
            <w:tcW w:type="dxa" w:w="67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7"/>
                <w:szCs w:val="17"/>
              </w:rPr>
              <w:t>Casi siempre "Unclear" (rara vez se justifica el n de réplicas/animales con un cálculo, pero tampoco suele negarse explícitamente). Aplica a réplicas biológicas, no a pacientes.</w:t>
            </w:r>
          </w:p>
        </w:tc>
      </w:tr>
      <w:tr>
        <w:tc>
          <w:tcPr>
            <w:tcW w:type="dxa" w:w="7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Q3</w:t>
            </w:r>
          </w:p>
        </w:tc>
        <w:tc>
          <w:tcPr>
            <w:tcW w:type="dxa" w:w="2600"/>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Muestreo/elegibilidad descritos</w:t>
            </w:r>
          </w:p>
        </w:tc>
        <w:tc>
          <w:tcPr>
            <w:tcW w:type="dxa" w:w="67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7"/>
                <w:szCs w:val="17"/>
              </w:rPr>
              <w:t xml:space="preserve">Lote de material, línea celular/pase, o criterio de selección animal (en CAM: día de incubación).</w:t>
            </w:r>
          </w:p>
        </w:tc>
      </w:tr>
      <w:tr>
        <w:tc>
          <w:tcPr>
            <w:tcW w:type="dxa" w:w="7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Q4</w:t>
            </w:r>
          </w:p>
        </w:tc>
        <w:tc>
          <w:tcPr>
            <w:tcW w:type="dxa" w:w="2600"/>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Grupo control especificado</w:t>
            </w:r>
          </w:p>
        </w:tc>
        <w:tc>
          <w:tcPr>
            <w:tcW w:type="dxa" w:w="67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7"/>
                <w:szCs w:val="17"/>
              </w:rPr>
              <w:t xml:space="preserve">Control = andamio sin modificar, TCP o material de referencia.</w:t>
            </w:r>
          </w:p>
        </w:tc>
      </w:tr>
      <w:tr>
        <w:tc>
          <w:tcPr>
            <w:tcW w:type="dxa" w:w="7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Q5</w:t>
            </w:r>
          </w:p>
        </w:tc>
        <w:tc>
          <w:tcPr>
            <w:tcW w:type="dxa" w:w="2600"/>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Metodología reproducible</w:t>
            </w:r>
          </w:p>
        </w:tc>
        <w:tc>
          <w:tcPr>
            <w:tcW w:type="dxa" w:w="67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7"/>
                <w:szCs w:val="17"/>
              </w:rPr>
              <w:t xml:space="preserve">Protocolo de fabricación/caracterización con suficiente detalle.</w:t>
            </w:r>
          </w:p>
        </w:tc>
      </w:tr>
      <w:tr>
        <w:tc>
          <w:tcPr>
            <w:tcW w:type="dxa" w:w="7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Q6</w:t>
            </w:r>
          </w:p>
        </w:tc>
        <w:tc>
          <w:tcPr>
            <w:tcW w:type="dxa" w:w="2600"/>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Detalles del operador</w:t>
            </w:r>
          </w:p>
        </w:tc>
        <w:tc>
          <w:tcPr>
            <w:tcW w:type="dxa" w:w="67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7"/>
                <w:szCs w:val="17"/>
              </w:rPr>
              <w:t>Casi siempre "Unclear". Aquí es el personal de laboratorio, no un clínico.</w:t>
            </w:r>
          </w:p>
        </w:tc>
      </w:tr>
      <w:tr>
        <w:tc>
          <w:tcPr>
            <w:tcW w:type="dxa" w:w="7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Q7</w:t>
            </w:r>
          </w:p>
        </w:tc>
        <w:tc>
          <w:tcPr>
            <w:tcW w:type="dxa" w:w="2600"/>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Aleatorización/asignación descrita</w:t>
            </w:r>
          </w:p>
        </w:tc>
        <w:tc>
          <w:tcPr>
            <w:tcW w:type="dxa" w:w="67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7"/>
                <w:szCs w:val="17"/>
              </w:rPr>
              <w:t xml:space="preserve">Asignación aleatoria de pozos/muestras/animales a grupos.</w:t>
            </w:r>
          </w:p>
        </w:tc>
      </w:tr>
      <w:tr>
        <w:tc>
          <w:tcPr>
            <w:tcW w:type="dxa" w:w="7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Q8</w:t>
            </w:r>
          </w:p>
        </w:tc>
        <w:tc>
          <w:tcPr>
            <w:tcW w:type="dxa" w:w="2600"/>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Medición estandarizada</w:t>
            </w:r>
          </w:p>
        </w:tc>
        <w:tc>
          <w:tcPr>
            <w:tcW w:type="dxa" w:w="67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7"/>
                <w:szCs w:val="17"/>
              </w:rPr>
              <w:t xml:space="preserve">Protocolo de ensayo (ALP, mecánico, SEM, etc.) reproducible.</w:t>
            </w:r>
          </w:p>
        </w:tc>
      </w:tr>
      <w:tr>
        <w:tc>
          <w:tcPr>
            <w:tcW w:type="dxa" w:w="7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Q9</w:t>
            </w:r>
          </w:p>
        </w:tc>
        <w:tc>
          <w:tcPr>
            <w:tcW w:type="dxa" w:w="2600"/>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Evaluador de resultados / fiabilidad</w:t>
            </w:r>
          </w:p>
        </w:tc>
        <w:tc>
          <w:tcPr>
            <w:tcW w:type="dxa" w:w="67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7"/>
                <w:szCs w:val="17"/>
              </w:rPr>
              <w:t>Casi siempre "Unclear". Quien cuantificó imágenes/ensayos/histología, no un examinador clínico.</w:t>
            </w:r>
          </w:p>
        </w:tc>
      </w:tr>
      <w:tr>
        <w:tc>
          <w:tcPr>
            <w:tcW w:type="dxa" w:w="7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Q10</w:t>
            </w:r>
          </w:p>
        </w:tc>
        <w:tc>
          <w:tcPr>
            <w:tcW w:type="dxa" w:w="2600"/>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Cegamiento</w:t>
            </w:r>
          </w:p>
        </w:tc>
        <w:tc>
          <w:tcPr>
            <w:tcW w:type="dxa" w:w="67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7"/>
                <w:szCs w:val="17"/>
              </w:rPr>
              <w:t>Casi siempre "Unclear" en este corpus — es el patrón esperado.</w:t>
            </w:r>
          </w:p>
        </w:tc>
      </w:tr>
      <w:tr>
        <w:tc>
          <w:tcPr>
            <w:tcW w:type="dxa" w:w="7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Q11</w:t>
            </w:r>
          </w:p>
        </w:tc>
        <w:tc>
          <w:tcPr>
            <w:tcW w:type="dxa" w:w="2600"/>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Análisis estadístico especificado</w:t>
            </w:r>
          </w:p>
        </w:tc>
        <w:tc>
          <w:tcPr>
            <w:tcW w:type="dxa" w:w="67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7"/>
                <w:szCs w:val="17"/>
              </w:rPr>
              <w:t xml:space="preserve">Prueba, software y umbral de significancia nombrados.</w:t>
            </w:r>
          </w:p>
        </w:tc>
      </w:tr>
      <w:tr>
        <w:tc>
          <w:tcPr>
            <w:tcW w:type="dxa" w:w="7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Q12</w:t>
            </w:r>
          </w:p>
        </w:tc>
        <w:tc>
          <w:tcPr>
            <w:tcW w:type="dxa" w:w="2600"/>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Resultados bien tabulados</w:t>
            </w:r>
          </w:p>
        </w:tc>
        <w:tc>
          <w:tcPr>
            <w:tcW w:type="dxa" w:w="67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7"/>
                <w:szCs w:val="17"/>
              </w:rPr>
              <w:t xml:space="preserve">Valores con unidades, variabilidad (SD/SE) y n por grupo.</w:t>
            </w:r>
          </w:p>
        </w:tc>
      </w:tr>
    </w:tbl>
    <w:p>
      <w:pPr>
        <w:pStyle w:val="Heading2"/>
        <w:spacing w:after="80" w:before="160"/>
      </w:pPr>
      <w:r>
        <w:t xml:space="preserve">SYRCLE (in vivo/CAM) — 27 de los 78 estudios</w:t>
      </w:r>
    </w:p>
    <w:p>
      <w:pPr>
        <w:spacing w:after="100"/>
      </w:pPr>
      <w:r>
        <w:rPr>
          <w:sz w:val="20"/>
          <w:szCs w:val="20"/>
        </w:rPr>
        <w:t xml:space="preserve">25 usan animal vivo; 2 usan modelo CAM (huevo embrionado), que SYRCLE no anticipó — ver D4.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780"/>
      </w:tblGrid>
      <w:tr>
        <w:trPr>
          <w:tblHeader/>
        </w:trPr>
        <w:tc>
          <w:tcPr>
            <w:tcW w:type="dxa" w:w="700"/>
            <w:shd w:fill="1F4E78" w:color="auto" w:val="clear"/>
            <w:tcMar>
              <w:top w:type="dxa" w:w="40"/>
              <w:left w:type="dxa" w:w="80"/>
              <w:bottom w:type="dxa" w:w="40"/>
              <w:right w:type="dxa" w:w="80"/>
            </w:tcMar>
            <w:vAlign w:val="center"/>
          </w:tcPr>
          <w:p>
            <w:pPr>
              <w:jc w:val="left"/>
            </w:pPr>
            <w:r>
              <w:rPr>
                <w:rFonts w:ascii="Calibri" w:cs="Calibri" w:eastAsia="Calibri" w:hAnsi="Calibri"/>
                <w:b/>
                <w:bCs/>
                <w:i w:val="false"/>
                <w:iCs w:val="false"/>
                <w:color w:val="FFFFFF"/>
                <w:sz w:val="17"/>
                <w:szCs w:val="17"/>
              </w:rPr>
              <w:t xml:space="preserve">Dom.</w:t>
            </w:r>
          </w:p>
        </w:tc>
        <w:tc>
          <w:tcPr>
            <w:tcW w:type="dxa" w:w="2600"/>
            <w:shd w:fill="1F4E78" w:color="auto" w:val="clear"/>
            <w:tcMar>
              <w:top w:type="dxa" w:w="40"/>
              <w:left w:type="dxa" w:w="80"/>
              <w:bottom w:type="dxa" w:w="40"/>
              <w:right w:type="dxa" w:w="80"/>
            </w:tcMar>
            <w:vAlign w:val="center"/>
          </w:tcPr>
          <w:p>
            <w:pPr>
              <w:jc w:val="left"/>
            </w:pPr>
            <w:r>
              <w:rPr>
                <w:rFonts w:ascii="Calibri" w:cs="Calibri" w:eastAsia="Calibri" w:hAnsi="Calibri"/>
                <w:b/>
                <w:bCs/>
                <w:i w:val="false"/>
                <w:iCs w:val="false"/>
                <w:color w:val="FFFFFF"/>
                <w:sz w:val="17"/>
                <w:szCs w:val="17"/>
              </w:rPr>
              <w:t xml:space="preserve">Nombre</w:t>
            </w:r>
          </w:p>
        </w:tc>
        <w:tc>
          <w:tcPr>
            <w:tcW w:type="dxa" w:w="6780"/>
            <w:shd w:fill="1F4E78" w:color="auto" w:val="clear"/>
            <w:tcMar>
              <w:top w:type="dxa" w:w="40"/>
              <w:left w:type="dxa" w:w="80"/>
              <w:bottom w:type="dxa" w:w="40"/>
              <w:right w:type="dxa" w:w="80"/>
            </w:tcMar>
            <w:vAlign w:val="center"/>
          </w:tcPr>
          <w:p>
            <w:pPr>
              <w:jc w:val="left"/>
            </w:pPr>
            <w:r>
              <w:rPr>
                <w:rFonts w:ascii="Calibri" w:cs="Calibri" w:eastAsia="Calibri" w:hAnsi="Calibri"/>
                <w:b/>
                <w:bCs/>
                <w:i w:val="false"/>
                <w:iCs w:val="false"/>
                <w:color w:val="FFFFFF"/>
                <w:sz w:val="17"/>
                <w:szCs w:val="17"/>
              </w:rPr>
              <w:t xml:space="preserve">Cómo juzgar / adaptación</w:t>
            </w:r>
          </w:p>
        </w:tc>
      </w:tr>
      <w:tr>
        <w:tc>
          <w:tcPr>
            <w:tcW w:type="dxa" w:w="7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D1</w:t>
            </w:r>
          </w:p>
        </w:tc>
        <w:tc>
          <w:tcPr>
            <w:tcW w:type="dxa" w:w="2600"/>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Generación de secuencia</w:t>
            </w:r>
          </w:p>
        </w:tc>
        <w:tc>
          <w:tcPr>
            <w:tcW w:type="dxa" w:w="67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7"/>
                <w:szCs w:val="17"/>
              </w:rPr>
              <w:t xml:space="preserve">Método de aleatorización descrito (no solo "se asignó al azar").</w:t>
            </w:r>
          </w:p>
        </w:tc>
      </w:tr>
      <w:tr>
        <w:tc>
          <w:tcPr>
            <w:tcW w:type="dxa" w:w="7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D2</w:t>
            </w:r>
          </w:p>
        </w:tc>
        <w:tc>
          <w:tcPr>
            <w:tcW w:type="dxa" w:w="2600"/>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Características basales similares</w:t>
            </w:r>
          </w:p>
        </w:tc>
        <w:tc>
          <w:tcPr>
            <w:tcW w:type="dxa" w:w="67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7"/>
                <w:szCs w:val="17"/>
              </w:rPr>
              <w:t xml:space="preserve">Peso/edad/sexo comparables (en CAM: lote/día de incubación).</w:t>
            </w:r>
          </w:p>
        </w:tc>
      </w:tr>
      <w:tr>
        <w:tc>
          <w:tcPr>
            <w:tcW w:type="dxa" w:w="7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D3</w:t>
            </w:r>
          </w:p>
        </w:tc>
        <w:tc>
          <w:tcPr>
            <w:tcW w:type="dxa" w:w="2600"/>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Ocultamiento de asignación</w:t>
            </w:r>
          </w:p>
        </w:tc>
        <w:tc>
          <w:tcPr>
            <w:tcW w:type="dxa" w:w="67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7"/>
                <w:szCs w:val="17"/>
              </w:rPr>
              <w:t xml:space="preserve">Casi nunca se reporta.</w:t>
            </w:r>
          </w:p>
        </w:tc>
      </w:tr>
      <w:tr>
        <w:tc>
          <w:tcPr>
            <w:tcW w:type="dxa" w:w="7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D4</w:t>
            </w:r>
          </w:p>
        </w:tc>
        <w:tc>
          <w:tcPr>
            <w:tcW w:type="dxa" w:w="2600"/>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Alojamiento aleatorio</w:t>
            </w:r>
          </w:p>
        </w:tc>
        <w:tc>
          <w:tcPr>
            <w:tcW w:type="dxa" w:w="6780"/>
            <w:tcMar>
              <w:top w:type="dxa" w:w="40"/>
              <w:left w:type="dxa" w:w="80"/>
              <w:bottom w:type="dxa" w:w="40"/>
              <w:right w:type="dxa" w:w="80"/>
            </w:tcMar>
            <w:vAlign w:val="center"/>
          </w:tcPr>
          <w:p>
            <w:r/>
            <w:r>
              <w:t>No aplica un concepto de "alojamiento" a un modelo de huevo embrionado. Para los 2 estudios CAM, marca "N/A" (no "Unclear", no "No") y anota el motivo; este dominio se excluye del conteo de ese estudio para el juicio global.</w:t>
            </w:r>
          </w:p>
        </w:tc>
      </w:tr>
      <w:tr>
        <w:tc>
          <w:tcPr>
            <w:tcW w:type="dxa" w:w="7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D5</w:t>
            </w:r>
          </w:p>
        </w:tc>
        <w:tc>
          <w:tcPr>
            <w:tcW w:type="dxa" w:w="2600"/>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Cegamiento del personal</w:t>
            </w:r>
          </w:p>
        </w:tc>
        <w:tc>
          <w:tcPr>
            <w:tcW w:type="dxa" w:w="67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7"/>
                <w:szCs w:val="17"/>
              </w:rPr>
              <w:t xml:space="preserve">Quien manipuló animales/huevos, sin conocer el grupo.</w:t>
            </w:r>
          </w:p>
        </w:tc>
      </w:tr>
      <w:tr>
        <w:tc>
          <w:tcPr>
            <w:tcW w:type="dxa" w:w="7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D6</w:t>
            </w:r>
          </w:p>
        </w:tc>
        <w:tc>
          <w:tcPr>
            <w:tcW w:type="dxa" w:w="2600"/>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Selección aleatoria para evaluación</w:t>
            </w:r>
          </w:p>
        </w:tc>
        <w:tc>
          <w:tcPr>
            <w:tcW w:type="dxa" w:w="67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7"/>
                <w:szCs w:val="17"/>
              </w:rPr>
              <w:t xml:space="preserve">Qué muestras se usaron para cada análisis, al azar.</w:t>
            </w:r>
          </w:p>
        </w:tc>
      </w:tr>
      <w:tr>
        <w:tc>
          <w:tcPr>
            <w:tcW w:type="dxa" w:w="7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D7</w:t>
            </w:r>
          </w:p>
        </w:tc>
        <w:tc>
          <w:tcPr>
            <w:tcW w:type="dxa" w:w="2600"/>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Cegamiento del evaluador</w:t>
            </w:r>
          </w:p>
        </w:tc>
        <w:tc>
          <w:tcPr>
            <w:tcW w:type="dxa" w:w="67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7"/>
                <w:szCs w:val="17"/>
              </w:rPr>
              <w:t xml:space="preserve">Motor frecuente de "High risk" en este corpus.</w:t>
            </w:r>
          </w:p>
        </w:tc>
      </w:tr>
      <w:tr>
        <w:tc>
          <w:tcPr>
            <w:tcW w:type="dxa" w:w="7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D8</w:t>
            </w:r>
          </w:p>
        </w:tc>
        <w:tc>
          <w:tcPr>
            <w:tcW w:type="dxa" w:w="2600"/>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Datos completos</w:t>
            </w:r>
          </w:p>
        </w:tc>
        <w:tc>
          <w:tcPr>
            <w:tcW w:type="dxa" w:w="67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7"/>
                <w:szCs w:val="17"/>
              </w:rPr>
              <w:t xml:space="preserve">¿Hubo pérdida de animales/muestras sin explicar?</w:t>
            </w:r>
          </w:p>
        </w:tc>
      </w:tr>
      <w:tr>
        <w:tc>
          <w:tcPr>
            <w:tcW w:type="dxa" w:w="7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D9</w:t>
            </w:r>
          </w:p>
        </w:tc>
        <w:tc>
          <w:tcPr>
            <w:tcW w:type="dxa" w:w="2600"/>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Reporte no selectivo</w:t>
            </w:r>
          </w:p>
        </w:tc>
        <w:tc>
          <w:tcPr>
            <w:tcW w:type="dxa" w:w="67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7"/>
                <w:szCs w:val="17"/>
              </w:rPr>
              <w:t xml:space="preserve">¿Todos los desenlaces de Métodos aparecen en Resultados?</w:t>
            </w:r>
          </w:p>
        </w:tc>
      </w:tr>
      <w:tr>
        <w:tc>
          <w:tcPr>
            <w:tcW w:type="dxa" w:w="7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D10</w:t>
            </w:r>
          </w:p>
        </w:tc>
        <w:tc>
          <w:tcPr>
            <w:tcW w:type="dxa" w:w="2600"/>
            <w:tcMar>
              <w:top w:type="dxa" w:w="40"/>
              <w:left w:type="dxa" w:w="80"/>
              <w:bottom w:type="dxa" w:w="40"/>
              <w:right w:type="dxa" w:w="80"/>
            </w:tcMar>
            <w:vAlign w:val="center"/>
          </w:tcPr>
          <w:p>
            <w:pPr>
              <w:jc w:val="left"/>
            </w:pPr>
            <w:r>
              <w:rPr>
                <w:rFonts w:ascii="Calibri" w:cs="Calibri" w:eastAsia="Calibri" w:hAnsi="Calibri"/>
                <w:b/>
                <w:bCs/>
                <w:i w:val="false"/>
                <w:iCs w:val="false"/>
                <w:sz w:val="17"/>
                <w:szCs w:val="17"/>
              </w:rPr>
              <w:t xml:space="preserve">Otras fuentes de sesgo</w:t>
            </w:r>
          </w:p>
        </w:tc>
        <w:tc>
          <w:tcPr>
            <w:tcW w:type="dxa" w:w="67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7"/>
                <w:szCs w:val="17"/>
              </w:rPr>
              <w:t xml:space="preserve">Conflicto de interés, financiamiento, contaminación entre grupos.</w:t>
            </w:r>
          </w:p>
        </w:tc>
      </w:tr>
    </w:tbl>
    <w:p>
      <w:pPr>
        <w:pStyle w:val="Heading2"/>
        <w:spacing w:after="80" w:before="160"/>
      </w:pPr>
      <w:r>
        <w:t xml:space="preserve">Al terminar</w:t>
      </w:r>
    </w:p>
    <w:p>
      <w:pPr>
        <w:pStyle w:val="ListParagraph"/>
        <w:numPr>
          <w:ilvl w:val="0"/>
          <w:numId w:val="1"/>
        </w:numPr>
        <w:spacing w:after="60"/>
      </w:pPr>
      <w:r>
        <w:t xml:space="preserve">Escribe tu nombre y fecha en la fila 2 de cada pestaña de la plantilla.</w:t>
      </w:r>
    </w:p>
    <w:p>
      <w:pPr>
        <w:pStyle w:val="ListParagraph"/>
        <w:numPr>
          <w:ilvl w:val="0"/>
          <w:numId w:val="1"/>
        </w:numPr>
        <w:spacing w:after="60"/>
      </w:pPr>
      <w:r>
        <w:t xml:space="preserve">Guarda como Supplementary_Table_S5_RiskOfBias_[TuNombre].xlsx y envíaselo a Ethan.</w:t>
      </w:r>
    </w:p>
    <w:p>
      <w:r>
        <w:br w:type="page"/>
      </w:r>
    </w:p>
    <w:p>
      <w:pPr>
        <w:pStyle w:val="Heading1"/>
        <w:spacing w:after="100" w:before="240"/>
      </w:pPr>
      <w:r>
        <w:t xml:space="preserve">Apéndice — Los 78 estudios (* = requiere también SYRCLE)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8280"/>
        <w:gridCol w:w="1000"/>
      </w:tblGrid>
      <w:tr>
        <w:trPr>
          <w:tblHeader/>
        </w:trPr>
        <w:tc>
          <w:tcPr>
            <w:tcW w:type="dxa" w:w="800"/>
            <w:shd w:fill="1F4E78" w:color="auto" w:val="clear"/>
            <w:tcMar>
              <w:top w:type="dxa" w:w="40"/>
              <w:left w:type="dxa" w:w="80"/>
              <w:bottom w:type="dxa" w:w="40"/>
              <w:right w:type="dxa" w:w="80"/>
            </w:tcMar>
            <w:vAlign w:val="center"/>
          </w:tcPr>
          <w:p>
            <w:pPr>
              <w:jc w:val="left"/>
            </w:pPr>
            <w:r>
              <w:rPr>
                <w:rFonts w:ascii="Calibri" w:cs="Calibri" w:eastAsia="Calibri" w:hAnsi="Calibri"/>
                <w:b/>
                <w:bCs/>
                <w:i w:val="false"/>
                <w:iCs w:val="false"/>
                <w:color w:val="FFFFFF"/>
                <w:sz w:val="17"/>
                <w:szCs w:val="17"/>
              </w:rPr>
              <w:t xml:space="preserve">ID</w:t>
            </w:r>
          </w:p>
        </w:tc>
        <w:tc>
          <w:tcPr>
            <w:tcW w:type="dxa" w:w="8280"/>
            <w:shd w:fill="1F4E78" w:color="auto" w:val="clear"/>
            <w:tcMar>
              <w:top w:type="dxa" w:w="40"/>
              <w:left w:type="dxa" w:w="80"/>
              <w:bottom w:type="dxa" w:w="40"/>
              <w:right w:type="dxa" w:w="80"/>
            </w:tcMar>
            <w:vAlign w:val="center"/>
          </w:tcPr>
          <w:p>
            <w:pPr>
              <w:jc w:val="left"/>
            </w:pPr>
            <w:r>
              <w:rPr>
                <w:rFonts w:ascii="Calibri" w:cs="Calibri" w:eastAsia="Calibri" w:hAnsi="Calibri"/>
                <w:b/>
                <w:bCs/>
                <w:i w:val="false"/>
                <w:iCs w:val="false"/>
                <w:color w:val="FFFFFF"/>
                <w:sz w:val="17"/>
                <w:szCs w:val="17"/>
              </w:rPr>
              <w:t xml:space="preserve">Cita</w:t>
            </w:r>
          </w:p>
        </w:tc>
        <w:tc>
          <w:tcPr>
            <w:tcW w:type="dxa" w:w="1000"/>
            <w:shd w:fill="1F4E78" w:color="auto" w:val="clear"/>
            <w:tcMar>
              <w:top w:type="dxa" w:w="40"/>
              <w:left w:type="dxa" w:w="80"/>
              <w:bottom w:type="dxa" w:w="40"/>
              <w:right w:type="dxa" w:w="80"/>
            </w:tcMar>
            <w:vAlign w:val="center"/>
          </w:tcPr>
          <w:p>
            <w:pPr>
              <w:jc w:val="center"/>
            </w:pPr>
            <w:r>
              <w:rPr>
                <w:rFonts w:ascii="Calibri" w:cs="Calibri" w:eastAsia="Calibri" w:hAnsi="Calibri"/>
                <w:b/>
                <w:bCs/>
                <w:i w:val="false"/>
                <w:iCs w:val="false"/>
                <w:color w:val="FFFFFF"/>
                <w:sz w:val="17"/>
                <w:szCs w:val="17"/>
              </w:rPr>
              <w:t xml:space="preserve">SYRCLE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P02</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Li et al., 2026 - Research on the performance of HAP/ALG composite bone scaffolds with bone unit structure (Int J Biol Macromol)</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P04</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Naolou et al., 2025 - Enhanced GelMA nanohydroxyapatite hydrogel for high-fidelity 3D printing (Biofabrication)</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P05</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Mitropoulou et al., 2024 - Biodegradable Core-Shell Microfibrous and Nanofibrous Scaffolds (J Mater Sci Mater Med)</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P06</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Hosseini et al., 2026 - 3D printed biomimetic nanocomposite scaffold osteo-neurogenic (Chem Eng J Advances)</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P07</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Zhou et al., 2023 - Bone TE Scaffold Optimisation through Modification of Chitosan/Ceramic Composition (Macromol)</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P08</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Cui et al., 2026 - Magnetic field induced ordered magnetoelectric bifunctional scaffold (Materials Letters)</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P10</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Song et al., 2024 - Black phosphorus-loaded anisotropic nanofiber sponges for random skin flaps (Chem Eng J)</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P11</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Shen et al., 2024 - PLA scaffolds loaded with sustained-release chitosan nanoparticles (BSA-bFGF) (Int J Biol Macromol)</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P12</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Wang et al., 2025 - ZnO-TPU/CS bilayer composite electrospinning scaffold in skin wound healing (Front Bioeng Biotechnol)</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P14</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Zhao et al., 2024 - Biomimetic multilayer scaffolds for bladder regeneration (Composites Part B)</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P15</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Wu et al., 2025 - 3D-printed oxygen-releasing scaffolds promote bone repair (APL Materials)</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P16</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Nabizadeh et al., 2024 - Drug-loaded nano chitosan/hyaluronic acid hydrogel for cartilage TE and drug delivery (Int J Biol Macromol)</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P17</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You et al., 2023 - Nanosilver alleviates foreign body reaction via macrophage polarization (J Zhejiang Univ Sci B)</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P18</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Wang et al., 2025 - Carboxymethyl chitosan-enhanced multi-level microstructured composite hydrogel scaffolds (Carbohydrate Polymers)</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P21</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Zeng et al., 2026 - Chitosan-based composite scaffold as bioactive strontium-delivery system (Carbohydrate Polymers)</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P22</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Sheng et al., 2024 - Cross-linking manipulation of waterborne biodegradable polyurethane (Regenerative Biomaterials)</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P26</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Shlomo-Avitan et al., 2025 - Emulsion-templated macroporous polycaprolactone: Synthesis, degradation, additive manufacturing (Polymer)</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P27</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Farnaghi et al., 2025 - Enhancing biological characteristics of aminolysis surface-modified PCL/nHA scaffold via gelatin immobilization (Colloids Surf B)</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P28</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Tang et al., 2025 - 3D chitosan scaffolds loaded with ZnO nanoparticles for bone TE (Colloids Surf B)</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P30</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Moreno et al., 2026 - Ti-metalation of chitosan films by VPM, MPI and PEALD processes (Appl Surf Sci Advances)</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P33</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Asadi et al., 2026 - Piezoelectric PCL/PVDF core-shell nanofibrous scaffolds for enhanced osteogenesis under dynamic loading (Biomater Adv)</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P34</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Biju et al., 2026 - Physicochemical, mechanical, antibacterial and cytotoxicity evaluation of HA anchored ZnO and CuO (Ceramics International)</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P35</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Ma et al., 2025 - Glucosamine sulfate-loaded nanofiber reinforced carboxymethyl chitosan sponge (J. Colloid Interface Sci.)</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P37</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Delemeester et al., 2024 - Device Design and Advanced CT of 3D Printed Radiopaque Composite Scaffolds and Meniscus (Adv Funct Mater)</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P39</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Salehi et al., 2025 - Antibacterial and osteogenic PCL... chitosan-PEG nanofibre-coated 3D printed scaffold (Int J Biol Macromol)</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P40</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Mitra et al., 2025 - Enzyme-delivery Metal-organic Framework Composite Coatings for Restoration of Hyperglycemia-damaged Osteoblast Differentiation (Biomater Adv)</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P44</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Madaninasab et al., 2026 - Polycaprolactone/retinoic acid/nano-hydroxyapatite composites for neural tissue engineering (Mater Chem Phys)</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P46</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Ucan et al., 2025 - Design, Fabrication, and Evaluation of Hybrid PCL/Graphene Scaffold (Macromol Mater Eng)</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P47</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Shen et al., 2025 - Dynamic culturing of large cell-loaded PCL/gelatin methacryloyl scaffolds (Int J Biol Macromol)</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P49</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Mirzavandi et al., 2024 - 3D printed PCL/gelatin/ordered mesoporous calcium magnesium silicate nanocomposite scaffold (J Mater Sci Mater Med)</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P51</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Ali et al., 2025 - Nanobioactive glass/chitosan/collagen composite loaded with methylene blue (J Photochem Photobiol B)</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P52</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Liu et al., 2025 - 3D-Architected Natural Tooth-Derived Scaffolds Reinforced by Graphene and Gradient Gyroid (Small Structures)</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P53</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Li et al., 2025 - Hydrogel inspired by adobe with antibacterial and antioxidant properties (Mater Today Bio)</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P54</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Jones et al., 2025 - 3D-Printed Biocompatible Frames for Electrospun Nanofiber Membranes (Micromachines)</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P55</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Wang et al., 2025 - Design and Characterization of Curcumin-Modified Polyurethane Material (Biomolecules)</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P57</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Cinici et al., 2025 - Development of PLA/HA Composite Filaments for 3D Printing of Bone TE Scaffolds (Progress in Biomaterials)</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P60</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Salehi et al., 2025 - Fabrication of PCL/chitosan/graphene quantum dots nanocomposite scaffolds for neural TE (Carbon Trends)</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P61</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Meng et al., 2025 - Ceramic-based piezoelectric material reinforced 3D printed PCL bone scaffolds (Mater Des)</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P62</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Kang et al., 2025 - Suspended 3D printing of PCL/HA composites for fabrication of complex bone scaffolds (Int J Bioprinting)</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P63</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Krishani et al., 2025 - Synthesis and Characterization of Keratin-Based Scaffold (Fibers)</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P65</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Gepek et al., 2025 - PLA-based bone tissue engineering scaffolds incorporating HA and bioactive glass using DLP (Int J Bioprinting)</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P66</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Huang et al., 2024 - BMP7-Loaded GelMA/Oxidized Sodium Alginate/Nano-Hydroxyapatite Composite Hydrogel (Int J Nanomedicine)</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W03</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Zhu et al. - Cellulose nanocrystals modified hydroxyapatite/PVA scaffold (Int J Biol Macromol)</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W05</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Howard et al. - Electrospun PCL and PCL/gelatine 3D sponges (Nanomaterials)</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W07</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Peng et al. - Hydroxyapatite whisker porous scaffold with Mg/Sr ions (Materials Letters)</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W08</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Najar et al. - Baghdadite-modified PCL 3D printed scaffold (Materials Today Materialia)</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W09</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Ge et al. - Magnetic tissue engineering PCL scaffolds for targeted drug delivery (Bioengineering)</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W12</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Qing et al. - Gelatin/nano-hydroxyapatite ordered pore scaffold (Materials Letters)</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W14</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Wang et al. - Elastin-incorporated PCL scaffold for vascular tissue engineering (Colloids Surf B)</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W17</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Ghadirian et al. - Core-shell electrospinning PHB-Chitosan for cartilage TE with ECM (Biomater Adv)</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W18</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Pan et al. - Physical chitosan gel scaffolds with tunable water content (Int J Biol Macromol)</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W20</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Jia et al. - PLA/nHAp/Human acellular amniotic membrane composite scaffold (Materials)</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W21</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Su et al. - Recrystallized surface melt electrowritten PCL scaffolds (Materials Today Physics)</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W22</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Jamali et al. - Hydrogel/fiber composite: chitosan-modified PCL microfibers with chitosan hydrogel binder (Int J Biol Macromol)</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W25</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Woods et al. - 3D-Printed Electroconductive MXene-based micro-meshes in hyaluronic acid ECM for neural regeneration (Adv Science)</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W26</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Bhattacharyya et al., 2023 - 3D bioprinting alginate-chitosan-kaolin bioink for tissue regeneration (Carbohydrate Polymers)</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W28</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Jagitay et al., 2026 - PVA/Olive pit powder/HAp 3D printed scaffolds (Polymer Bulletin)</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W29</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Zhang et al., 2024 - Polydopamine nanospheres modified chitosan/alginate hydrogel nanocomposites (J Macromol Sci)</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W31</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Mansi et al., 2023 - Introducing Metal Organic Frameworks to Melt Electrowriting: Multifunctional Scaffolds (Adv Funct Mater)</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W32</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Ren et al., 2022 - PCL nanoneedle arrays maintaining multipotency of bone marrow MSCs (Front Bioeng Biotechnol)</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W34</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Yavuz et al., 2026 - PVA/CS/HA/Boric acid nanofiber matrices for immunocompromised patients (Materials)</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W36</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Wang et al. - Extrusion 3D printing of gelatin-based Gel/PCL/n-HA biomaterial inks (J Iron Sea Ind)</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W37</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Weng et al. - PCL membrane with wave-patterned microgrooves mimicking osteon architecture (Dental Materials Journal)</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W40</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Jaswal et al., 2024 - PCL-Gold Nanospheres@Polydopamine for photothermal bone cancer therapy and regeneration (Materials Today Nano)</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W43</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Meng et al. - PCL/Graphene vs PCL/Graphene Quantum Dot bone scaffolds comparison (ACS Applied Nano Materials)</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W46</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Pilli et al., 2025 - CoO/MnO2-doped HA with curcumin for antibacterial bone scaffolds (J Mater Sci Mater Med)</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W53</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Zhao et al., 2022 - Mg-1Ca/PCL composite scaffolds for bone tissue engineering (J Magnesium Alloys)</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W56</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Wei et al., 2024 - Nano-zinc oxide modified hydroxyapatite whisker for enhanced osteoinductivity (Regenerative Biomaterials)</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W58</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Abd El-Aziz et al., 2023 - Carbon nanofibers reinforced with HA and bioactive glass nanoparticles (Front Bioeng Biotechnol)</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W60</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Cao et al., 2023 - Magnesium-rich calcium phosphate bioceramics from tilapia fish bone (J Funct Biomater)</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W61</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Yahay et al., 2023 - Willemite nanoparticle/PCL scaffolds fabricated by 3D printing (J Mech Behav Biomed Mater)</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W63</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Zhang et al., 2023 - Chitosan complexed nanoparticles for antibacterial ciprofloxacin and BMP-2 release (Int J Biol Macromol)</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W64</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Pudelko-Prazuch et al., 2024 - PLA/PEG/PCL/TCP porous polymer scaffolds for bone regeneration (J Funct Biomater)</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W65</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Alizadeh &amp; Mahmoodi, 2025 - PCL/Chitosan-hPRF nanofiber scaffold for bone tissue engineering (Progress in Biomaterials)</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W67</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Govindaraju et al., 2026 - Hierarchical bFGF-loaded gelatin/PCL/heparin yarn scaffold for tendon TE (Biomater Adv)</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W68</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Peng et al., 2025 - Hierarchically functionalized PCL/CS with PDA-mediated antioxidant therapy for spinal cord injury (J Biomater Sci Polym Ed)</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W69</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Yao et al., 2022 - VEGF-mimetic peptide functionalized PCL fibrous scaffolds for angiogenesis (Bioactive Materials)</w:t>
            </w:r>
          </w:p>
        </w:tc>
        <w:tc>
          <w:tcPr>
            <w:tcW w:type="dxa" w:w="1000"/>
            <w:tcMar>
              <w:top w:type="dxa" w:w="40"/>
              <w:left w:type="dxa" w:w="80"/>
              <w:bottom w:type="dxa" w:w="40"/>
              <w:right w:type="dxa" w:w="80"/>
            </w:tcMar>
            <w:vAlign w:val="center"/>
          </w:tcPr>
          <w:p>
            <w:pPr>
              <w:jc w:val="center"/>
            </w:pPr>
            <w:r>
              <w:rPr>
                <w:rFonts w:ascii="Calibri" w:cs="Calibri" w:eastAsia="Calibri" w:hAnsi="Calibri"/>
                <w:b/>
                <w:bCs/>
                <w:i w:val="false"/>
                <w:iCs w:val="false"/>
                <w:sz w:val="16"/>
                <w:szCs w:val="16"/>
              </w:rPr>
              <w:t xml:space="preserve">*</w:t>
            </w:r>
          </w:p>
        </w:tc>
      </w:tr>
      <w:tr>
        <w:tc>
          <w:tcPr>
            <w:tcW w:type="dxa" w:w="800"/>
            <w:shd w:fill="F2F2F2" w:color="auto" w:val="clear"/>
            <w:tcMar>
              <w:top w:type="dxa" w:w="40"/>
              <w:left w:type="dxa" w:w="80"/>
              <w:bottom w:type="dxa" w:w="40"/>
              <w:right w:type="dxa" w:w="80"/>
            </w:tcMar>
            <w:vAlign w:val="center"/>
          </w:tcPr>
          <w:p>
            <w:pPr>
              <w:jc w:val="left"/>
            </w:pPr>
            <w:r>
              <w:rPr>
                <w:rFonts w:ascii="Calibri" w:cs="Calibri" w:eastAsia="Calibri" w:hAnsi="Calibri"/>
                <w:b/>
                <w:bCs/>
                <w:i w:val="false"/>
                <w:iCs w:val="false"/>
                <w:sz w:val="16"/>
                <w:szCs w:val="16"/>
              </w:rPr>
              <w:t xml:space="preserve">W71</w:t>
            </w:r>
          </w:p>
        </w:tc>
        <w:tc>
          <w:tcPr>
            <w:tcW w:type="dxa" w:w="8280"/>
            <w:tcMar>
              <w:top w:type="dxa" w:w="40"/>
              <w:left w:type="dxa" w:w="80"/>
              <w:bottom w:type="dxa" w:w="40"/>
              <w:right w:type="dxa" w:w="80"/>
            </w:tcMar>
            <w:vAlign w:val="center"/>
          </w:tcPr>
          <w:p>
            <w:pPr>
              <w:jc w:val="left"/>
            </w:pPr>
            <w:r>
              <w:rPr>
                <w:rFonts w:ascii="Calibri" w:cs="Calibri" w:eastAsia="Calibri" w:hAnsi="Calibri"/>
                <w:b w:val="false"/>
                <w:bCs w:val="false"/>
                <w:i w:val="false"/>
                <w:iCs w:val="false"/>
                <w:sz w:val="16"/>
                <w:szCs w:val="16"/>
              </w:rPr>
              <w:t xml:space="preserve">Dalgic et al., 2023 - PHBV/PCL electrospun scaffold with diatom frustules for melatonin controlled release (Eur Polym J)</w:t>
            </w:r>
          </w:p>
        </w:tc>
        <w:tc>
          <w:tcPr>
            <w:tcW w:type="dxa" w:w="1000"/>
            <w:tcMar>
              <w:top w:type="dxa" w:w="40"/>
              <w:left w:type="dxa" w:w="80"/>
              <w:bottom w:type="dxa" w:w="40"/>
              <w:right w:type="dxa" w:w="80"/>
            </w:tcMar>
            <w:vAlign w:val="center"/>
          </w:tcPr>
          <w:p>
            <w:pPr>
              <w:jc w:val="center"/>
            </w:pPr>
            <w:r>
              <w:rPr>
                <w:rFonts w:ascii="Calibri" w:cs="Calibri" w:eastAsia="Calibri" w:hAnsi="Calibri"/>
                <w:b w:val="false"/>
                <w:bCs w:val="false"/>
                <w:i w:val="false"/>
                <w:iCs w:val="false"/>
                <w:sz w:val="16"/>
                <w:szCs w:val="16"/>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2026-09-26T02:24:19.425Z</dcterms:created>
  <dcterms:modified xsi:type="dcterms:W3CDTF">2026-09-26T02:24:19.436Z</dcterms:modified>
</cp:coreProperties>
</file>

<file path=docProps/custom.xml><?xml version="1.0" encoding="utf-8"?>
<Properties xmlns="http://schemas.openxmlformats.org/officeDocument/2006/custom-properties" xmlns:vt="http://schemas.openxmlformats.org/officeDocument/2006/docPropsVTypes"/>
</file>