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left="392" w:leftChars="-100" w:hanging="602" w:hangingChars="200"/>
        <w:jc w:val="center"/>
        <w:rPr>
          <w:b/>
          <w:sz w:val="30"/>
          <w:szCs w:val="30"/>
        </w:rPr>
      </w:pPr>
    </w:p>
    <w:p>
      <w:pPr>
        <w:spacing w:line="360" w:lineRule="auto"/>
        <w:ind w:left="392" w:leftChars="-100" w:hanging="602" w:hangingChars="200"/>
        <w:jc w:val="center"/>
        <w:rPr>
          <w:sz w:val="28"/>
          <w:szCs w:val="28"/>
        </w:rPr>
      </w:pPr>
      <w:r>
        <w:rPr>
          <w:rFonts w:hint="eastAsia"/>
          <w:b/>
          <w:sz w:val="30"/>
          <w:szCs w:val="30"/>
        </w:rPr>
        <w:t>基于BYD476ZQE 燃烧室的三维仿真分析与优化</w:t>
      </w:r>
    </w:p>
    <w:p>
      <w:pPr>
        <w:spacing w:line="360" w:lineRule="auto"/>
        <w:ind w:left="270" w:leftChars="-100" w:hanging="480" w:hangingChars="200"/>
        <w:jc w:val="center"/>
        <w:rPr>
          <w:sz w:val="24"/>
          <w:szCs w:val="24"/>
        </w:rPr>
      </w:pPr>
      <w:r>
        <w:rPr>
          <w:rFonts w:hint="eastAsia"/>
          <w:sz w:val="24"/>
          <w:szCs w:val="24"/>
        </w:rPr>
        <w:t>陈尚华，葛亚军，徐之勤</w:t>
      </w:r>
    </w:p>
    <w:p>
      <w:pPr>
        <w:spacing w:line="360" w:lineRule="auto"/>
        <w:ind w:left="270" w:leftChars="-100" w:hanging="480" w:hangingChars="200"/>
        <w:jc w:val="center"/>
        <w:rPr>
          <w:sz w:val="24"/>
          <w:szCs w:val="24"/>
        </w:rPr>
      </w:pPr>
      <w:r>
        <w:rPr>
          <w:rFonts w:hint="eastAsia"/>
          <w:sz w:val="24"/>
          <w:szCs w:val="24"/>
        </w:rPr>
        <w:t>发动机工厂</w:t>
      </w:r>
    </w:p>
    <w:p>
      <w:pPr>
        <w:spacing w:line="360" w:lineRule="auto"/>
        <w:ind w:left="350" w:leftChars="-100" w:hanging="560" w:hangingChars="200"/>
        <w:jc w:val="center"/>
        <w:rPr>
          <w:sz w:val="28"/>
          <w:szCs w:val="28"/>
        </w:rPr>
      </w:pPr>
    </w:p>
    <w:p>
      <w:pPr>
        <w:spacing w:line="360" w:lineRule="auto"/>
        <w:jc w:val="left"/>
        <w:rPr>
          <w:sz w:val="24"/>
          <w:szCs w:val="24"/>
        </w:rPr>
      </w:pPr>
      <w:r>
        <w:rPr>
          <w:b/>
          <w:sz w:val="24"/>
          <w:szCs w:val="24"/>
        </w:rPr>
        <w:t xml:space="preserve">【摘  要】 </w:t>
      </w:r>
      <w:r>
        <w:rPr>
          <w:rFonts w:hint="eastAsia"/>
          <w:sz w:val="24"/>
          <w:szCs w:val="24"/>
        </w:rPr>
        <w:t>随着“双碳”目标的确立以及实行，新能源汽车在今日的全球汽车市场中逐渐受到消费者的热烈追捧。而搭载高效发动机的混合动力汽车无疑是目前新能源汽车中的佼佼者。作为目前在混合动力车辆市场上搭载量最大的发动机平台，B</w:t>
      </w:r>
      <w:r>
        <w:rPr>
          <w:sz w:val="24"/>
          <w:szCs w:val="24"/>
        </w:rPr>
        <w:t>YD 476ZQE</w:t>
      </w:r>
      <w:r>
        <w:rPr>
          <w:rFonts w:hint="eastAsia"/>
          <w:sz w:val="24"/>
          <w:szCs w:val="24"/>
        </w:rPr>
        <w:t>其优异性能以及出色的效能表现已广泛获得市场的认可和青睐。为了进一步探究4</w:t>
      </w:r>
      <w:r>
        <w:rPr>
          <w:sz w:val="24"/>
          <w:szCs w:val="24"/>
        </w:rPr>
        <w:t>76ZQE</w:t>
      </w:r>
      <w:r>
        <w:rPr>
          <w:rFonts w:hint="eastAsia"/>
          <w:sz w:val="24"/>
          <w:szCs w:val="24"/>
        </w:rPr>
        <w:t>平台的效能潜力，本文使用三维仿真软件对其进行设计优化、仿真分析。根据仿真结果对比可以得出，在满足设计限制的前提下，通过数十轮的设计迭代与仿真分析，4</w:t>
      </w:r>
      <w:r>
        <w:rPr>
          <w:sz w:val="24"/>
          <w:szCs w:val="24"/>
        </w:rPr>
        <w:t>76ZQE</w:t>
      </w:r>
      <w:r>
        <w:rPr>
          <w:rFonts w:hint="eastAsia"/>
          <w:sz w:val="24"/>
          <w:szCs w:val="24"/>
        </w:rPr>
        <w:t>优化设计能够在原机设计基础上进一步提高在（上止点前）缸内气流强度，优化其缸内流场的分布结构，从而提升流场与火焰传递的配合度，最终实现优化燃烧过程的要求。</w:t>
      </w:r>
    </w:p>
    <w:p>
      <w:pPr>
        <w:spacing w:line="360" w:lineRule="auto"/>
        <w:jc w:val="left"/>
        <w:rPr>
          <w:sz w:val="24"/>
          <w:szCs w:val="24"/>
        </w:rPr>
      </w:pPr>
    </w:p>
    <w:p>
      <w:pPr>
        <w:spacing w:line="360" w:lineRule="auto"/>
        <w:jc w:val="left"/>
        <w:rPr>
          <w:sz w:val="24"/>
          <w:szCs w:val="24"/>
        </w:rPr>
      </w:pPr>
      <w:r>
        <w:rPr>
          <w:b/>
          <w:sz w:val="24"/>
          <w:szCs w:val="24"/>
        </w:rPr>
        <w:t>【关键词】</w:t>
      </w:r>
      <w:r>
        <w:rPr>
          <w:sz w:val="24"/>
          <w:szCs w:val="24"/>
        </w:rPr>
        <w:t xml:space="preserve"> </w:t>
      </w:r>
      <w:r>
        <w:rPr>
          <w:rFonts w:hint="eastAsia"/>
          <w:sz w:val="24"/>
          <w:szCs w:val="24"/>
        </w:rPr>
        <w:t>缸内流场强度；缸内流场分布；火焰传递；燃烧仿真；Converge</w:t>
      </w:r>
      <w:r>
        <w:rPr>
          <w:sz w:val="24"/>
          <w:szCs w:val="24"/>
        </w:rPr>
        <w:t xml:space="preserve"> CFD</w:t>
      </w:r>
    </w:p>
    <w:p>
      <w:pPr>
        <w:spacing w:line="360" w:lineRule="auto"/>
        <w:rPr>
          <w:b/>
          <w:sz w:val="24"/>
          <w:szCs w:val="24"/>
        </w:rPr>
      </w:pPr>
    </w:p>
    <w:p>
      <w:pPr>
        <w:spacing w:line="360" w:lineRule="auto"/>
        <w:ind w:left="392" w:leftChars="-100" w:hanging="602" w:hangingChars="200"/>
        <w:jc w:val="center"/>
        <w:rPr>
          <w:b/>
          <w:sz w:val="30"/>
          <w:szCs w:val="30"/>
        </w:rPr>
      </w:pPr>
      <w:r>
        <w:rPr>
          <w:b/>
          <w:sz w:val="30"/>
          <w:szCs w:val="30"/>
        </w:rPr>
        <w:t>Optimization of BYD476ZQE Combustion Chamber with 3D Numerical Study</w:t>
      </w:r>
    </w:p>
    <w:p>
      <w:pPr>
        <w:spacing w:line="360" w:lineRule="auto"/>
        <w:ind w:left="270" w:leftChars="-100" w:hanging="480" w:hangingChars="200"/>
        <w:jc w:val="center"/>
        <w:rPr>
          <w:sz w:val="24"/>
          <w:szCs w:val="24"/>
        </w:rPr>
      </w:pPr>
      <w:r>
        <w:rPr>
          <w:sz w:val="24"/>
          <w:szCs w:val="24"/>
        </w:rPr>
        <w:t>Shanghua Chen, Y</w:t>
      </w:r>
      <w:r>
        <w:rPr>
          <w:rFonts w:hint="eastAsia"/>
          <w:sz w:val="24"/>
          <w:szCs w:val="24"/>
        </w:rPr>
        <w:t>ajun</w:t>
      </w:r>
      <w:r>
        <w:rPr>
          <w:sz w:val="24"/>
          <w:szCs w:val="24"/>
        </w:rPr>
        <w:t xml:space="preserve"> Ge, Zhiqin Xu</w:t>
      </w:r>
    </w:p>
    <w:p>
      <w:pPr>
        <w:spacing w:line="360" w:lineRule="auto"/>
        <w:jc w:val="center"/>
        <w:rPr>
          <w:sz w:val="24"/>
          <w:szCs w:val="24"/>
        </w:rPr>
      </w:pPr>
      <w:r>
        <w:rPr>
          <w:rFonts w:hint="eastAsia"/>
          <w:sz w:val="24"/>
          <w:szCs w:val="24"/>
        </w:rPr>
        <w:t>E</w:t>
      </w:r>
      <w:r>
        <w:rPr>
          <w:sz w:val="24"/>
          <w:szCs w:val="24"/>
        </w:rPr>
        <w:t>ngine factory</w:t>
      </w:r>
    </w:p>
    <w:p>
      <w:pPr>
        <w:spacing w:line="360" w:lineRule="auto"/>
        <w:jc w:val="center"/>
        <w:rPr>
          <w:b/>
          <w:sz w:val="24"/>
          <w:szCs w:val="24"/>
        </w:rPr>
      </w:pPr>
    </w:p>
    <w:p>
      <w:pPr>
        <w:spacing w:line="360" w:lineRule="auto"/>
        <w:rPr>
          <w:sz w:val="24"/>
          <w:szCs w:val="24"/>
        </w:rPr>
      </w:pPr>
      <w:r>
        <w:rPr>
          <w:b/>
          <w:sz w:val="24"/>
          <w:szCs w:val="24"/>
        </w:rPr>
        <w:t>【</w:t>
      </w:r>
      <w:r>
        <w:rPr>
          <w:b/>
          <w:bCs/>
          <w:sz w:val="24"/>
          <w:szCs w:val="24"/>
        </w:rPr>
        <w:t>Abstract</w:t>
      </w:r>
      <w:r>
        <w:rPr>
          <w:b/>
          <w:sz w:val="24"/>
          <w:szCs w:val="24"/>
        </w:rPr>
        <w:t>】</w:t>
      </w:r>
      <w:r>
        <w:rPr>
          <w:rFonts w:eastAsiaTheme="minorEastAsia"/>
          <w:sz w:val="24"/>
          <w:szCs w:val="24"/>
        </w:rPr>
        <w:t xml:space="preserve"> A</w:t>
      </w:r>
      <w:r>
        <w:rPr>
          <w:rFonts w:hint="eastAsia" w:eastAsiaTheme="minorEastAsia"/>
          <w:sz w:val="24"/>
          <w:szCs w:val="24"/>
        </w:rPr>
        <w:t>s</w:t>
      </w:r>
      <w:r>
        <w:rPr>
          <w:rFonts w:eastAsiaTheme="minorEastAsia"/>
          <w:sz w:val="24"/>
          <w:szCs w:val="24"/>
        </w:rPr>
        <w:t xml:space="preserve"> the target of ‘Dual-Carbon’ established and implemented, NEVs (New Energy Vehicles) have been gradually popular in current automotive market globally. It is no doubt that HEVs (Hybrid Energy Vehicles) with highly efficient ICEs (Internal Combustion Engines) is the center of NEVs market. Considering as the most equipped ICEs platform of HEVs, BYD 476ZQE has been favored due to its excellent performance as well as extraordinary efficiency. In order to reveal more potential from this platform, a procedure of design optimization and 3D-simulation was presented in this paper. As learned from results comparison, within satisfying design constraint, the optimized design of 476ZQE can further improve in-cylinder flow intensity (around top dead-center), optimize flow-distribution and thus enhance the compatibility of flow-field and flame propagation. As a result, the combustion process is optimized logically.</w:t>
      </w:r>
    </w:p>
    <w:p>
      <w:pPr>
        <w:spacing w:line="360" w:lineRule="auto"/>
        <w:rPr>
          <w:sz w:val="24"/>
          <w:szCs w:val="24"/>
        </w:rPr>
      </w:pPr>
    </w:p>
    <w:p>
      <w:pPr>
        <w:spacing w:line="360" w:lineRule="auto"/>
        <w:rPr>
          <w:rFonts w:eastAsiaTheme="minorEastAsia"/>
          <w:sz w:val="24"/>
          <w:szCs w:val="24"/>
        </w:rPr>
      </w:pPr>
      <w:r>
        <w:rPr>
          <w:b/>
          <w:sz w:val="24"/>
          <w:szCs w:val="24"/>
        </w:rPr>
        <w:t>【</w:t>
      </w:r>
      <w:r>
        <w:rPr>
          <w:rFonts w:hint="eastAsia"/>
          <w:b/>
          <w:sz w:val="24"/>
          <w:szCs w:val="24"/>
        </w:rPr>
        <w:t>Key words</w:t>
      </w:r>
      <w:r>
        <w:rPr>
          <w:b/>
          <w:sz w:val="24"/>
          <w:szCs w:val="24"/>
        </w:rPr>
        <w:t>】</w:t>
      </w:r>
      <w:r>
        <w:rPr>
          <w:rFonts w:eastAsiaTheme="minorEastAsia"/>
          <w:sz w:val="24"/>
          <w:szCs w:val="24"/>
        </w:rPr>
        <w:t xml:space="preserve"> I</w:t>
      </w:r>
      <w:r>
        <w:rPr>
          <w:rFonts w:hint="eastAsia" w:eastAsiaTheme="minorEastAsia"/>
          <w:sz w:val="24"/>
          <w:szCs w:val="24"/>
        </w:rPr>
        <w:t>n</w:t>
      </w:r>
      <w:r>
        <w:rPr>
          <w:rFonts w:eastAsiaTheme="minorEastAsia"/>
          <w:sz w:val="24"/>
          <w:szCs w:val="24"/>
        </w:rPr>
        <w:t>-</w:t>
      </w:r>
      <w:r>
        <w:rPr>
          <w:rFonts w:hint="eastAsia" w:eastAsiaTheme="minorEastAsia"/>
          <w:sz w:val="24"/>
          <w:szCs w:val="24"/>
        </w:rPr>
        <w:t>cylinder</w:t>
      </w:r>
      <w:r>
        <w:rPr>
          <w:rFonts w:eastAsiaTheme="minorEastAsia"/>
          <w:sz w:val="24"/>
          <w:szCs w:val="24"/>
        </w:rPr>
        <w:t xml:space="preserve"> flow intensity; In-cylinder </w:t>
      </w:r>
      <w:r>
        <w:rPr>
          <w:rFonts w:hint="eastAsia" w:eastAsiaTheme="minorEastAsia"/>
          <w:sz w:val="24"/>
          <w:szCs w:val="24"/>
        </w:rPr>
        <w:t>flow</w:t>
      </w:r>
      <w:r>
        <w:rPr>
          <w:rFonts w:eastAsiaTheme="minorEastAsia"/>
          <w:sz w:val="24"/>
          <w:szCs w:val="24"/>
        </w:rPr>
        <w:t>-</w:t>
      </w:r>
      <w:r>
        <w:rPr>
          <w:rFonts w:hint="eastAsia" w:eastAsiaTheme="minorEastAsia"/>
          <w:sz w:val="24"/>
          <w:szCs w:val="24"/>
        </w:rPr>
        <w:t>field</w:t>
      </w:r>
      <w:r>
        <w:rPr>
          <w:rFonts w:eastAsiaTheme="minorEastAsia"/>
          <w:sz w:val="24"/>
          <w:szCs w:val="24"/>
        </w:rPr>
        <w:t xml:space="preserve"> </w:t>
      </w:r>
      <w:r>
        <w:rPr>
          <w:rFonts w:hint="eastAsia" w:eastAsiaTheme="minorEastAsia"/>
          <w:sz w:val="24"/>
          <w:szCs w:val="24"/>
        </w:rPr>
        <w:t>distribution;</w:t>
      </w:r>
      <w:r>
        <w:rPr>
          <w:rFonts w:eastAsiaTheme="minorEastAsia"/>
          <w:sz w:val="24"/>
          <w:szCs w:val="24"/>
        </w:rPr>
        <w:t xml:space="preserve"> flame propagation; combustion simulation; Converge CFD</w:t>
      </w:r>
    </w:p>
    <w:p>
      <w:pPr>
        <w:spacing w:line="360" w:lineRule="auto"/>
        <w:rPr>
          <w:b/>
          <w:sz w:val="24"/>
          <w:szCs w:val="24"/>
        </w:rPr>
      </w:pPr>
    </w:p>
    <w:p>
      <w:pPr>
        <w:spacing w:line="360" w:lineRule="auto"/>
        <w:jc w:val="left"/>
        <w:rPr>
          <w:b/>
          <w:bCs/>
          <w:sz w:val="28"/>
          <w:szCs w:val="28"/>
        </w:rPr>
      </w:pPr>
      <w:r>
        <w:rPr>
          <w:b/>
          <w:bCs/>
          <w:sz w:val="28"/>
          <w:szCs w:val="28"/>
        </w:rPr>
        <w:t>1.</w:t>
      </w:r>
      <w:r>
        <w:rPr>
          <w:rFonts w:hint="eastAsia"/>
          <w:b/>
          <w:bCs/>
          <w:sz w:val="28"/>
          <w:szCs w:val="28"/>
        </w:rPr>
        <w:t>引言</w:t>
      </w:r>
    </w:p>
    <w:p>
      <w:pPr>
        <w:spacing w:line="360" w:lineRule="auto"/>
        <w:ind w:firstLine="420" w:firstLineChars="200"/>
        <w:jc w:val="left"/>
        <w:rPr>
          <w:szCs w:val="21"/>
        </w:rPr>
      </w:pPr>
      <w:r>
        <w:rPr>
          <w:rFonts w:hint="eastAsia"/>
          <w:szCs w:val="21"/>
        </w:rPr>
        <w:t>在传统化石能源日渐消耗加大的背景，以及全球气候愈发的不可预见性，如何实现“碳达峰”与“碳中和”（“双碳”）已是全球多个国家的首要任务。随着</w:t>
      </w:r>
      <w:r>
        <w:rPr>
          <w:rFonts w:hint="eastAsia"/>
          <w:szCs w:val="21"/>
          <w:lang w:eastAsia="zh-CN"/>
        </w:rPr>
        <w:t>“</w:t>
      </w:r>
      <w:r>
        <w:rPr>
          <w:rFonts w:hint="eastAsia"/>
          <w:szCs w:val="21"/>
        </w:rPr>
        <w:t>双碳</w:t>
      </w:r>
      <w:r>
        <w:rPr>
          <w:rFonts w:hint="eastAsia"/>
          <w:szCs w:val="21"/>
          <w:lang w:eastAsia="zh-CN"/>
        </w:rPr>
        <w:t>”</w:t>
      </w:r>
      <w:r>
        <w:rPr>
          <w:rFonts w:hint="eastAsia"/>
          <w:szCs w:val="21"/>
        </w:rPr>
        <w:t>目标的确立以及实行，作为碳排放的重要来源之一，汽车市场也在不断的突破和拥抱更多的新能源领域。其中，结合传统和创新的混合动力汽车是近年来新能源汽车市场的代表之一</w:t>
      </w:r>
      <w:r>
        <w:rPr>
          <w:vertAlign w:val="superscript"/>
        </w:rPr>
        <w:t>[1]</w:t>
      </w:r>
      <w:r>
        <w:rPr>
          <w:rFonts w:hint="eastAsia"/>
          <w:szCs w:val="21"/>
        </w:rPr>
        <w:t>。</w:t>
      </w:r>
    </w:p>
    <w:p>
      <w:pPr>
        <w:spacing w:line="360" w:lineRule="auto"/>
        <w:ind w:firstLine="420" w:firstLineChars="200"/>
        <w:jc w:val="left"/>
        <w:rPr>
          <w:szCs w:val="21"/>
        </w:rPr>
      </w:pPr>
      <w:r>
        <w:rPr>
          <w:rFonts w:hint="eastAsia"/>
          <w:szCs w:val="21"/>
        </w:rPr>
        <w:t>同样作为动力来源，发动机在传统汽车和混动汽车上有着显著不同的设定</w:t>
      </w:r>
      <w:r>
        <w:rPr>
          <w:vertAlign w:val="superscript"/>
        </w:rPr>
        <w:t>[2]</w:t>
      </w:r>
      <w:r>
        <w:rPr>
          <w:rFonts w:hint="eastAsia"/>
          <w:szCs w:val="21"/>
        </w:rPr>
        <w:t>。有别于在传统汽车上的全域工况覆盖，混动汽车所搭载的发动机，其工作区域集中在高效区域。换言之，发动机除了直接驱动汽车外，更多的工况是集中在给电机输电或者向电池充电。因此，发动机的需求从性能覆盖转为高效覆盖。</w:t>
      </w:r>
    </w:p>
    <w:p>
      <w:pPr>
        <w:spacing w:line="360" w:lineRule="auto"/>
        <w:ind w:firstLine="420" w:firstLineChars="200"/>
        <w:jc w:val="left"/>
        <w:rPr>
          <w:szCs w:val="21"/>
        </w:rPr>
      </w:pPr>
      <w:r>
        <w:rPr>
          <w:rFonts w:hint="eastAsia"/>
          <w:szCs w:val="21"/>
        </w:rPr>
        <w:t>提高发动机循环效率的方式有以下常见的几类：提高压缩比，提高气体比热容比，提高点火性能，优化缸内气流结构与分布，降低发动机摩擦功，减少发动机循环的泵气损失。提高压缩比</w:t>
      </w:r>
      <w:r>
        <w:rPr>
          <w:vertAlign w:val="superscript"/>
        </w:rPr>
        <w:t>[3]</w:t>
      </w:r>
      <w:r>
        <w:rPr>
          <w:rFonts w:hint="eastAsia"/>
          <w:szCs w:val="21"/>
        </w:rPr>
        <w:t>，可通过设计燃烧室体积或增加冲程</w:t>
      </w:r>
      <w:r>
        <w:rPr>
          <w:szCs w:val="21"/>
        </w:rPr>
        <w:t>/</w:t>
      </w:r>
      <w:r>
        <w:rPr>
          <w:rFonts w:hint="eastAsia"/>
          <w:szCs w:val="21"/>
        </w:rPr>
        <w:t>缸径比获得。提高气体比热容比</w:t>
      </w:r>
      <w:r>
        <w:rPr>
          <w:vertAlign w:val="superscript"/>
        </w:rPr>
        <w:t>[3]</w:t>
      </w:r>
      <w:r>
        <w:rPr>
          <w:rFonts w:hint="eastAsia"/>
          <w:szCs w:val="21"/>
        </w:rPr>
        <w:t>，可通过废弃再循环（E</w:t>
      </w:r>
      <w:r>
        <w:rPr>
          <w:szCs w:val="21"/>
        </w:rPr>
        <w:t>GR</w:t>
      </w:r>
      <w:r>
        <w:rPr>
          <w:rFonts w:hint="eastAsia"/>
          <w:szCs w:val="21"/>
        </w:rPr>
        <w:t>，Exhaust</w:t>
      </w:r>
      <w:r>
        <w:rPr>
          <w:szCs w:val="21"/>
        </w:rPr>
        <w:t xml:space="preserve"> G</w:t>
      </w:r>
      <w:r>
        <w:rPr>
          <w:rFonts w:hint="eastAsia"/>
          <w:szCs w:val="21"/>
        </w:rPr>
        <w:t>as</w:t>
      </w:r>
      <w:r>
        <w:rPr>
          <w:szCs w:val="21"/>
        </w:rPr>
        <w:t xml:space="preserve"> R</w:t>
      </w:r>
      <w:r>
        <w:rPr>
          <w:rFonts w:hint="eastAsia"/>
          <w:szCs w:val="21"/>
        </w:rPr>
        <w:t>ecirculation）或空气稀释（</w:t>
      </w:r>
      <w:r>
        <w:rPr>
          <w:szCs w:val="21"/>
        </w:rPr>
        <w:t>A</w:t>
      </w:r>
      <w:r>
        <w:rPr>
          <w:rFonts w:hint="eastAsia"/>
          <w:szCs w:val="21"/>
        </w:rPr>
        <w:t>ir</w:t>
      </w:r>
      <w:r>
        <w:rPr>
          <w:szCs w:val="21"/>
        </w:rPr>
        <w:t>-Dilutio</w:t>
      </w:r>
      <w:r>
        <w:rPr>
          <w:rFonts w:hint="eastAsia"/>
          <w:szCs w:val="21"/>
        </w:rPr>
        <w:t>n）获得。提高点火性能</w:t>
      </w:r>
      <w:r>
        <w:rPr>
          <w:vertAlign w:val="superscript"/>
        </w:rPr>
        <w:t>[4]</w:t>
      </w:r>
      <w:r>
        <w:rPr>
          <w:rFonts w:hint="eastAsia"/>
          <w:szCs w:val="21"/>
        </w:rPr>
        <w:t>，可通过直接提高火花塞性能或采用新型点火方式（电晕点火，激光点火，预燃室，火花塞辅助压燃，压燃等）获得。优化缸内气流结构与分布</w:t>
      </w:r>
      <w:r>
        <w:rPr>
          <w:vertAlign w:val="superscript"/>
        </w:rPr>
        <w:t>[5]</w:t>
      </w:r>
      <w:r>
        <w:rPr>
          <w:rFonts w:hint="eastAsia"/>
          <w:szCs w:val="21"/>
        </w:rPr>
        <w:t>，可通过调整进排气相位（</w:t>
      </w:r>
      <w:r>
        <w:rPr>
          <w:szCs w:val="21"/>
        </w:rPr>
        <w:t>VVT</w:t>
      </w:r>
      <w:r>
        <w:rPr>
          <w:rFonts w:hint="eastAsia"/>
          <w:szCs w:val="21"/>
        </w:rPr>
        <w:t>，</w:t>
      </w:r>
      <w:r>
        <w:rPr>
          <w:szCs w:val="21"/>
        </w:rPr>
        <w:t>V</w:t>
      </w:r>
      <w:r>
        <w:rPr>
          <w:rFonts w:hint="eastAsia"/>
          <w:szCs w:val="21"/>
        </w:rPr>
        <w:t>ariable</w:t>
      </w:r>
      <w:r>
        <w:rPr>
          <w:szCs w:val="21"/>
        </w:rPr>
        <w:t xml:space="preserve"> V</w:t>
      </w:r>
      <w:r>
        <w:rPr>
          <w:rFonts w:hint="eastAsia"/>
          <w:szCs w:val="21"/>
        </w:rPr>
        <w:t>alve</w:t>
      </w:r>
      <w:r>
        <w:rPr>
          <w:szCs w:val="21"/>
        </w:rPr>
        <w:t xml:space="preserve"> T</w:t>
      </w:r>
      <w:r>
        <w:rPr>
          <w:rFonts w:hint="eastAsia"/>
          <w:szCs w:val="21"/>
        </w:rPr>
        <w:t>iming）、调整进排气系统设计以及优化燃烧室形状获得。降低发动机摩擦功</w:t>
      </w:r>
      <w:r>
        <w:rPr>
          <w:vertAlign w:val="superscript"/>
        </w:rPr>
        <w:t>[6]</w:t>
      </w:r>
      <w:r>
        <w:rPr>
          <w:rFonts w:hint="eastAsia"/>
          <w:szCs w:val="21"/>
        </w:rPr>
        <w:t>，可通过优化零部件设计以及改良机械面加工工艺获得。降低发动机循环的泵气损失</w:t>
      </w:r>
      <w:r>
        <w:rPr>
          <w:vertAlign w:val="superscript"/>
        </w:rPr>
        <w:t>[7]</w:t>
      </w:r>
      <w:r>
        <w:rPr>
          <w:rFonts w:hint="eastAsia"/>
          <w:szCs w:val="21"/>
        </w:rPr>
        <w:t>，可通过调节V</w:t>
      </w:r>
      <w:r>
        <w:rPr>
          <w:szCs w:val="21"/>
        </w:rPr>
        <w:t>VT</w:t>
      </w:r>
      <w:r>
        <w:rPr>
          <w:rFonts w:hint="eastAsia"/>
          <w:szCs w:val="21"/>
        </w:rPr>
        <w:t>、使用废气涡轮增压器以及优化进排气系统获得。</w:t>
      </w:r>
    </w:p>
    <w:p>
      <w:pPr>
        <w:spacing w:line="360" w:lineRule="auto"/>
        <w:ind w:firstLine="420" w:firstLineChars="200"/>
        <w:jc w:val="left"/>
        <w:rPr>
          <w:szCs w:val="21"/>
        </w:rPr>
      </w:pPr>
      <w:r>
        <w:rPr>
          <w:rFonts w:hint="eastAsia"/>
          <w:szCs w:val="21"/>
        </w:rPr>
        <w:t>优化缸内气流结构在国外的汽油发动机设计中是具有很多成熟的例子。在9</w:t>
      </w:r>
      <w:r>
        <w:rPr>
          <w:szCs w:val="21"/>
        </w:rPr>
        <w:t>0</w:t>
      </w:r>
      <w:r>
        <w:rPr>
          <w:rFonts w:hint="eastAsia"/>
          <w:szCs w:val="21"/>
        </w:rPr>
        <w:t>年代，研究人员对缸内气流结构开始了初步测量、数值仿真以及特征性的总结。日本三菱Omori等人</w:t>
      </w:r>
      <w:r>
        <w:rPr>
          <w:vertAlign w:val="superscript"/>
        </w:rPr>
        <w:t>[8]</w:t>
      </w:r>
      <w:r>
        <w:rPr>
          <w:rFonts w:hint="eastAsia"/>
          <w:szCs w:val="21"/>
        </w:rPr>
        <w:t>使用一维LDV激光测量对缸内进气气流的路径变化进行了实验数据分析。沃尔沃与里卡多的Hadded等人</w:t>
      </w:r>
      <w:r>
        <w:rPr>
          <w:vertAlign w:val="superscript"/>
        </w:rPr>
        <w:t>[9]</w:t>
      </w:r>
      <w:r>
        <w:rPr>
          <w:rFonts w:hint="eastAsia"/>
          <w:szCs w:val="21"/>
        </w:rPr>
        <w:t>对气缸内滚流与燃烧之间的关系作了数据分析和敏感性预测。FEV的Endres等人</w:t>
      </w:r>
      <w:r>
        <w:rPr>
          <w:vertAlign w:val="superscript"/>
        </w:rPr>
        <w:t>[10]</w:t>
      </w:r>
      <w:r>
        <w:rPr>
          <w:rFonts w:hint="eastAsia"/>
          <w:szCs w:val="21"/>
        </w:rPr>
        <w:t>对缸内涡流和滚流对排放的影响进行了研究。福特的Dai与Newman等人</w:t>
      </w:r>
      <w:r>
        <w:rPr>
          <w:vertAlign w:val="superscript"/>
        </w:rPr>
        <w:t>[11]</w:t>
      </w:r>
      <w:r>
        <w:rPr>
          <w:rFonts w:hint="eastAsia"/>
          <w:szCs w:val="21"/>
        </w:rPr>
        <w:t>使用准维模型对缸内滚流的强度进行预测分析。福特的Russ等人</w:t>
      </w:r>
      <w:r>
        <w:rPr>
          <w:vertAlign w:val="superscript"/>
        </w:rPr>
        <w:t>[12]</w:t>
      </w:r>
      <w:r>
        <w:rPr>
          <w:rFonts w:hint="eastAsia"/>
          <w:szCs w:val="21"/>
        </w:rPr>
        <w:t>开发了先进的离子探测缸盖气垫，用于诊断在缸内气流变化的影响下发动机循环变动量。在进入2000年后，随着仿真技术的进步以及生产工艺的提升，优化缸内气流的研究得到了更加系统化的细分领域延伸。福特的Hascher等人</w:t>
      </w:r>
      <w:r>
        <w:rPr>
          <w:vertAlign w:val="superscript"/>
        </w:rPr>
        <w:t>[13]</w:t>
      </w:r>
      <w:r>
        <w:rPr>
          <w:rFonts w:hint="eastAsia"/>
          <w:szCs w:val="21"/>
        </w:rPr>
        <w:t>首次使用三维LDV，对不同的发动机以及工况下缸内气流的变化进行实验测量以及特征整理。通用的Szekely等人</w:t>
      </w:r>
      <w:r>
        <w:rPr>
          <w:vertAlign w:val="superscript"/>
        </w:rPr>
        <w:t>[14]</w:t>
      </w:r>
      <w:r>
        <w:rPr>
          <w:rFonts w:hint="eastAsia"/>
          <w:szCs w:val="21"/>
        </w:rPr>
        <w:t>通过改变进气气道的设计，在气缸内产生特定方向的逆滚流结构，从而帮助实现分层燃烧。马勒的Malcolm等人</w:t>
      </w:r>
      <w:r>
        <w:rPr>
          <w:vertAlign w:val="superscript"/>
        </w:rPr>
        <w:t>[15]</w:t>
      </w:r>
      <w:r>
        <w:rPr>
          <w:rFonts w:hint="eastAsia"/>
          <w:szCs w:val="21"/>
        </w:rPr>
        <w:t>则是同时使用PIV、LDV对一台直喷发动机的缸内气流结构进行测量，然后再使用CFD仿真复现分析该流场的特性。克莱斯勒的Gaikwad等人</w:t>
      </w:r>
      <w:r>
        <w:rPr>
          <w:vertAlign w:val="superscript"/>
        </w:rPr>
        <w:t>[16]</w:t>
      </w:r>
      <w:r>
        <w:rPr>
          <w:rFonts w:hint="eastAsia"/>
          <w:szCs w:val="21"/>
        </w:rPr>
        <w:t>设计了匹配高EGR稀释工况的进气道设计，通过优化缸内气流结构提高整体燃烧速度。丰田的Takahashi等人</w:t>
      </w:r>
      <w:r>
        <w:rPr>
          <w:vertAlign w:val="superscript"/>
        </w:rPr>
        <w:t>[17]</w:t>
      </w:r>
      <w:r>
        <w:rPr>
          <w:rFonts w:hint="eastAsia"/>
          <w:szCs w:val="21"/>
        </w:rPr>
        <w:t>分析了强滚流结构是如何帮助高度气体稀释发动机实现低循环波动的燃烧。</w:t>
      </w:r>
    </w:p>
    <w:p>
      <w:pPr>
        <w:spacing w:line="360" w:lineRule="auto"/>
        <w:ind w:firstLine="420" w:firstLineChars="200"/>
        <w:jc w:val="left"/>
        <w:rPr>
          <w:sz w:val="28"/>
          <w:szCs w:val="28"/>
        </w:rPr>
      </w:pPr>
      <w:r>
        <w:rPr>
          <w:rFonts w:hint="eastAsia"/>
          <w:szCs w:val="21"/>
        </w:rPr>
        <w:t>本次研究主要展示的是通过优化缸内气流结构与分布，提高发动机循环效率。B</w:t>
      </w:r>
      <w:r>
        <w:rPr>
          <w:szCs w:val="21"/>
        </w:rPr>
        <w:t>YD 476ZQE</w:t>
      </w:r>
      <w:r>
        <w:rPr>
          <w:rFonts w:hint="eastAsia"/>
          <w:szCs w:val="21"/>
        </w:rPr>
        <w:t>是作为本次研究的发动机平台。在进行优化设计前，首先对原机设计进行三维仿真的校核，确保校核后的三维仿真模型与实验数据保持一致性。在确认原机设计的三维仿真后，在满足特定设计限制的前提下，通过三维仿真软件对优化设计进行迭代分析与评估。通过对比原机设计的三维仿真结果，优化设计的结果展示出显著的性能提升：A</w:t>
      </w:r>
      <w:r>
        <w:rPr>
          <w:szCs w:val="21"/>
        </w:rPr>
        <w:t>I50</w:t>
      </w:r>
      <w:r>
        <w:rPr>
          <w:rFonts w:hint="eastAsia"/>
          <w:szCs w:val="21"/>
        </w:rPr>
        <w:t>时刻（即缸内燃烧过程达到5</w:t>
      </w:r>
      <w:r>
        <w:rPr>
          <w:szCs w:val="21"/>
        </w:rPr>
        <w:t>0%</w:t>
      </w:r>
      <w:r>
        <w:rPr>
          <w:rFonts w:hint="eastAsia"/>
          <w:szCs w:val="21"/>
        </w:rPr>
        <w:t>）相比原机的有3</w:t>
      </w:r>
      <w:r>
        <w:rPr>
          <w:szCs w:val="21"/>
        </w:rPr>
        <w:t xml:space="preserve"> </w:t>
      </w:r>
      <w:r>
        <w:rPr>
          <w:rFonts w:hint="eastAsia"/>
          <w:szCs w:val="21"/>
        </w:rPr>
        <w:t>度（曲轴转角）的提升，而A</w:t>
      </w:r>
      <w:r>
        <w:rPr>
          <w:szCs w:val="21"/>
        </w:rPr>
        <w:t>I90</w:t>
      </w:r>
      <w:r>
        <w:rPr>
          <w:rFonts w:hint="eastAsia"/>
          <w:szCs w:val="21"/>
        </w:rPr>
        <w:t>时刻（即缸内燃烧过程达到9</w:t>
      </w:r>
      <w:r>
        <w:rPr>
          <w:szCs w:val="21"/>
        </w:rPr>
        <w:t>0%</w:t>
      </w:r>
      <w:r>
        <w:rPr>
          <w:rFonts w:hint="eastAsia"/>
          <w:szCs w:val="21"/>
        </w:rPr>
        <w:t>）有5度的提升。最大缸压从原机的8</w:t>
      </w:r>
      <w:r>
        <w:rPr>
          <w:szCs w:val="21"/>
        </w:rPr>
        <w:t xml:space="preserve">5.52 </w:t>
      </w:r>
      <w:r>
        <w:rPr>
          <w:rFonts w:hint="eastAsia"/>
          <w:szCs w:val="21"/>
        </w:rPr>
        <w:t>bar提升至9</w:t>
      </w:r>
      <w:r>
        <w:rPr>
          <w:szCs w:val="21"/>
        </w:rPr>
        <w:t xml:space="preserve">6.54 </w:t>
      </w:r>
      <w:r>
        <w:rPr>
          <w:rFonts w:hint="eastAsia"/>
          <w:szCs w:val="21"/>
        </w:rPr>
        <w:t>bar，对应的时间也有约1度的提高。同时，缸内流动的优化可总结为以下三点：a</w:t>
      </w:r>
      <w:r>
        <w:rPr>
          <w:szCs w:val="21"/>
        </w:rPr>
        <w:t xml:space="preserve">. </w:t>
      </w:r>
      <w:r>
        <w:rPr>
          <w:rFonts w:hint="eastAsia"/>
          <w:szCs w:val="21"/>
        </w:rPr>
        <w:t>在上止点前保留更多的高速气流 b</w:t>
      </w:r>
      <w:r>
        <w:rPr>
          <w:szCs w:val="21"/>
        </w:rPr>
        <w:t xml:space="preserve">. </w:t>
      </w:r>
      <w:r>
        <w:rPr>
          <w:rFonts w:hint="eastAsia"/>
          <w:szCs w:val="21"/>
        </w:rPr>
        <w:t>流场方向与初始火焰发展的配合度更高 c</w:t>
      </w:r>
      <w:r>
        <w:rPr>
          <w:szCs w:val="21"/>
        </w:rPr>
        <w:t xml:space="preserve">. </w:t>
      </w:r>
      <w:r>
        <w:rPr>
          <w:rFonts w:hint="eastAsia"/>
          <w:szCs w:val="21"/>
        </w:rPr>
        <w:t>初始火焰在扩散后能够更均匀、快速地向四周传播。</w:t>
      </w:r>
    </w:p>
    <w:p>
      <w:r>
        <w:rPr>
          <w:b/>
          <w:bCs/>
          <w:sz w:val="28"/>
          <w:szCs w:val="28"/>
        </w:rPr>
        <w:t>2.</w:t>
      </w:r>
      <w:r>
        <w:rPr>
          <w:rFonts w:hint="eastAsia"/>
          <w:b/>
          <w:bCs/>
          <w:sz w:val="28"/>
          <w:szCs w:val="28"/>
        </w:rPr>
        <w:t>仿真设置</w:t>
      </w:r>
    </w:p>
    <w:p>
      <w:pPr>
        <w:spacing w:line="360" w:lineRule="auto"/>
        <w:jc w:val="left"/>
        <w:rPr>
          <w:b/>
          <w:bCs/>
          <w:sz w:val="24"/>
          <w:szCs w:val="24"/>
        </w:rPr>
      </w:pPr>
      <w:r>
        <w:rPr>
          <w:b/>
          <w:bCs/>
          <w:sz w:val="24"/>
          <w:szCs w:val="24"/>
        </w:rPr>
        <w:t xml:space="preserve">2.1 </w:t>
      </w:r>
      <w:r>
        <w:rPr>
          <w:rFonts w:hint="eastAsia"/>
          <w:b/>
          <w:bCs/>
          <w:sz w:val="24"/>
          <w:szCs w:val="24"/>
        </w:rPr>
        <w:t>发动机参数</w:t>
      </w:r>
    </w:p>
    <w:p>
      <w:pPr>
        <w:spacing w:line="360" w:lineRule="auto"/>
        <w:ind w:firstLine="420" w:firstLineChars="200"/>
        <w:jc w:val="left"/>
      </w:pPr>
      <w:r>
        <w:rPr>
          <w:rFonts w:hint="eastAsia"/>
        </w:rPr>
        <w:t>在本研究中，</w:t>
      </w:r>
      <w:r>
        <w:t>BYD 476ZQE</w:t>
      </w:r>
      <w:r>
        <w:rPr>
          <w:rFonts w:hint="eastAsia"/>
        </w:rPr>
        <w:t>是作为燃烧室设计优化的开发原型机，基本参数如表1所示：</w:t>
      </w:r>
    </w:p>
    <w:p>
      <w:pPr>
        <w:spacing w:line="360" w:lineRule="auto"/>
        <w:ind w:firstLine="420" w:firstLineChars="200"/>
        <w:jc w:val="center"/>
        <w:rPr>
          <w:rFonts w:hint="eastAsia"/>
        </w:rPr>
      </w:pPr>
    </w:p>
    <w:p>
      <w:pPr>
        <w:spacing w:line="360" w:lineRule="auto"/>
        <w:ind w:firstLine="420" w:firstLineChars="200"/>
        <w:jc w:val="center"/>
      </w:pPr>
      <w:r>
        <w:rPr>
          <w:rFonts w:hint="eastAsia"/>
        </w:rPr>
        <w:t>表1</w:t>
      </w:r>
      <w:r>
        <w:t xml:space="preserve"> </w:t>
      </w:r>
      <w:r>
        <w:rPr>
          <w:rFonts w:hint="eastAsia"/>
        </w:rPr>
        <w:t>发动机参数</w:t>
      </w:r>
    </w:p>
    <w:tbl>
      <w:tblPr>
        <w:tblStyle w:val="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30"/>
        <w:gridCol w:w="24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0" w:hRule="atLeast"/>
          <w:jc w:val="center"/>
        </w:trPr>
        <w:tc>
          <w:tcPr>
            <w:tcW w:w="2830" w:type="dxa"/>
            <w:tcBorders>
              <w:top w:val="single" w:color="auto" w:sz="12" w:space="0"/>
              <w:bottom w:val="single" w:color="000000" w:sz="4" w:space="0"/>
            </w:tcBorders>
          </w:tcPr>
          <w:p>
            <w:pPr>
              <w:spacing w:line="360" w:lineRule="auto"/>
              <w:jc w:val="center"/>
            </w:pPr>
            <w:r>
              <w:rPr>
                <w:rFonts w:hint="eastAsia"/>
              </w:rPr>
              <w:t>发动机布置</w:t>
            </w:r>
          </w:p>
        </w:tc>
        <w:tc>
          <w:tcPr>
            <w:tcW w:w="2410" w:type="dxa"/>
            <w:tcBorders>
              <w:top w:val="single" w:color="000000" w:sz="12" w:space="0"/>
              <w:bottom w:val="single" w:color="000000" w:sz="4" w:space="0"/>
            </w:tcBorders>
          </w:tcPr>
          <w:p>
            <w:pPr>
              <w:spacing w:line="360" w:lineRule="auto"/>
              <w:jc w:val="left"/>
            </w:pPr>
            <w:r>
              <w:rPr>
                <w:rFonts w:hint="eastAsia"/>
              </w:rPr>
              <w:t>涡轮增压直列四缸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0" w:hRule="atLeast"/>
          <w:jc w:val="center"/>
        </w:trPr>
        <w:tc>
          <w:tcPr>
            <w:tcW w:w="2830" w:type="dxa"/>
            <w:tcBorders>
              <w:top w:val="single" w:color="000000" w:sz="4" w:space="0"/>
            </w:tcBorders>
          </w:tcPr>
          <w:p>
            <w:pPr>
              <w:spacing w:line="360" w:lineRule="auto"/>
              <w:jc w:val="center"/>
            </w:pPr>
            <w:r>
              <w:rPr>
                <w:rFonts w:hint="eastAsia"/>
              </w:rPr>
              <w:t>缸径（mm）</w:t>
            </w:r>
          </w:p>
        </w:tc>
        <w:tc>
          <w:tcPr>
            <w:tcW w:w="2410" w:type="dxa"/>
            <w:tcBorders>
              <w:top w:val="single" w:color="000000" w:sz="4" w:space="0"/>
            </w:tcBorders>
          </w:tcPr>
          <w:p>
            <w:pPr>
              <w:spacing w:line="360" w:lineRule="auto"/>
              <w:jc w:val="left"/>
            </w:pPr>
            <w:r>
              <w:rPr>
                <w:rFonts w:hint="eastAsia"/>
              </w:rPr>
              <w:t>7</w:t>
            </w:r>
            <w:r>
              <w:t>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3" w:hRule="atLeast"/>
          <w:jc w:val="center"/>
        </w:trPr>
        <w:tc>
          <w:tcPr>
            <w:tcW w:w="2830" w:type="dxa"/>
          </w:tcPr>
          <w:p>
            <w:pPr>
              <w:spacing w:line="360" w:lineRule="auto"/>
              <w:jc w:val="center"/>
            </w:pPr>
            <w:r>
              <w:rPr>
                <w:rFonts w:hint="eastAsia"/>
              </w:rPr>
              <w:t>冲程（mm）</w:t>
            </w:r>
          </w:p>
        </w:tc>
        <w:tc>
          <w:tcPr>
            <w:tcW w:w="2410" w:type="dxa"/>
          </w:tcPr>
          <w:p>
            <w:pPr>
              <w:spacing w:line="360" w:lineRule="auto"/>
              <w:jc w:val="left"/>
            </w:pPr>
            <w:r>
              <w:rPr>
                <w:rFonts w:hint="eastAsia"/>
              </w:rPr>
              <w:t>8</w:t>
            </w:r>
            <w: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0" w:hRule="atLeast"/>
          <w:jc w:val="center"/>
        </w:trPr>
        <w:tc>
          <w:tcPr>
            <w:tcW w:w="2830" w:type="dxa"/>
          </w:tcPr>
          <w:p>
            <w:pPr>
              <w:spacing w:line="360" w:lineRule="auto"/>
              <w:jc w:val="center"/>
            </w:pPr>
            <w:r>
              <w:rPr>
                <w:rFonts w:hint="eastAsia"/>
              </w:rPr>
              <w:t>连杆长度（mm）</w:t>
            </w:r>
          </w:p>
        </w:tc>
        <w:tc>
          <w:tcPr>
            <w:tcW w:w="2410" w:type="dxa"/>
          </w:tcPr>
          <w:p>
            <w:pPr>
              <w:spacing w:line="360" w:lineRule="auto"/>
              <w:jc w:val="left"/>
            </w:pPr>
            <w:r>
              <w:rPr>
                <w:rFonts w:hint="eastAsia"/>
              </w:rPr>
              <w:t>1</w:t>
            </w:r>
            <w:r>
              <w:t>40.5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0" w:hRule="atLeast"/>
          <w:jc w:val="center"/>
        </w:trPr>
        <w:tc>
          <w:tcPr>
            <w:tcW w:w="2830" w:type="dxa"/>
          </w:tcPr>
          <w:p>
            <w:pPr>
              <w:spacing w:line="360" w:lineRule="auto"/>
              <w:jc w:val="center"/>
            </w:pPr>
            <w:r>
              <w:rPr>
                <w:rFonts w:hint="eastAsia"/>
              </w:rPr>
              <w:t>压缩比</w:t>
            </w:r>
          </w:p>
        </w:tc>
        <w:tc>
          <w:tcPr>
            <w:tcW w:w="2410" w:type="dxa"/>
          </w:tcPr>
          <w:p>
            <w:pPr>
              <w:spacing w:line="360" w:lineRule="auto"/>
              <w:jc w:val="left"/>
            </w:pPr>
            <w:r>
              <w:rPr>
                <w:rFonts w:hint="eastAsia"/>
              </w:rPr>
              <w:t>1</w:t>
            </w:r>
            <w:r>
              <w:t>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0" w:hRule="atLeast"/>
          <w:jc w:val="center"/>
        </w:trPr>
        <w:tc>
          <w:tcPr>
            <w:tcW w:w="2830" w:type="dxa"/>
            <w:tcBorders>
              <w:bottom w:val="single" w:color="000000" w:sz="12" w:space="0"/>
            </w:tcBorders>
          </w:tcPr>
          <w:p>
            <w:pPr>
              <w:spacing w:line="360" w:lineRule="auto"/>
              <w:jc w:val="center"/>
            </w:pPr>
            <w:r>
              <w:rPr>
                <w:rFonts w:hint="eastAsia"/>
              </w:rPr>
              <w:t>供油方式</w:t>
            </w:r>
          </w:p>
        </w:tc>
        <w:tc>
          <w:tcPr>
            <w:tcW w:w="2410" w:type="dxa"/>
            <w:tcBorders>
              <w:bottom w:val="single" w:color="000000" w:sz="12" w:space="0"/>
            </w:tcBorders>
          </w:tcPr>
          <w:p>
            <w:pPr>
              <w:spacing w:line="360" w:lineRule="auto"/>
              <w:jc w:val="left"/>
            </w:pPr>
            <w:r>
              <w:rPr>
                <w:rFonts w:hint="eastAsia"/>
              </w:rPr>
              <w:t>侧置缸内直喷</w:t>
            </w:r>
          </w:p>
        </w:tc>
      </w:tr>
    </w:tbl>
    <w:p>
      <w:pPr>
        <w:spacing w:line="360" w:lineRule="auto"/>
        <w:ind w:firstLine="420" w:firstLineChars="200"/>
        <w:jc w:val="left"/>
      </w:pPr>
    </w:p>
    <w:p>
      <w:pPr>
        <w:spacing w:line="360" w:lineRule="auto"/>
        <w:jc w:val="left"/>
        <w:rPr>
          <w:b/>
          <w:bCs/>
          <w:sz w:val="24"/>
          <w:szCs w:val="24"/>
        </w:rPr>
      </w:pPr>
      <w:r>
        <w:rPr>
          <w:b/>
          <w:bCs/>
          <w:sz w:val="24"/>
          <w:szCs w:val="24"/>
        </w:rPr>
        <w:t xml:space="preserve">2.2 </w:t>
      </w:r>
      <w:r>
        <w:rPr>
          <w:rFonts w:hint="eastAsia"/>
          <w:b/>
          <w:bCs/>
          <w:sz w:val="24"/>
          <w:szCs w:val="24"/>
        </w:rPr>
        <w:t>仿真设置</w:t>
      </w:r>
    </w:p>
    <w:p>
      <w:pPr>
        <w:spacing w:line="360" w:lineRule="auto"/>
        <w:ind w:firstLine="420" w:firstLineChars="200"/>
        <w:jc w:val="left"/>
      </w:pPr>
      <w:r>
        <w:rPr>
          <w:rFonts w:hint="eastAsia"/>
        </w:rPr>
        <w:t>作为常用的发动机仿真平台，商业软件Converge</w:t>
      </w:r>
      <w:r>
        <w:t xml:space="preserve"> CFD</w:t>
      </w:r>
      <w:r>
        <w:rPr>
          <w:vertAlign w:val="superscript"/>
        </w:rPr>
        <w:t>[18]</w:t>
      </w:r>
      <w:r>
        <w:rPr>
          <w:rFonts w:hint="eastAsia"/>
        </w:rPr>
        <w:t xml:space="preserve"> 是本次研究的主要仿真工具。本次研究的仿真过程是包含了进排气与燃烧，其中涉及的机理模型如表2展示。燃烧模型采用的是S</w:t>
      </w:r>
      <w:r>
        <w:t>AGE</w:t>
      </w:r>
      <w:r>
        <w:rPr>
          <w:rFonts w:hint="eastAsia"/>
        </w:rPr>
        <w:t>模型</w:t>
      </w:r>
      <w:r>
        <w:rPr>
          <w:vertAlign w:val="superscript"/>
        </w:rPr>
        <w:t>[19]</w:t>
      </w:r>
      <w:r>
        <w:rPr>
          <w:rFonts w:hint="eastAsia"/>
        </w:rPr>
        <w:t>。在相对准确的边界输入下，通过对化学反应机理的逐步迭代和求解，S</w:t>
      </w:r>
      <w:r>
        <w:t>AGE</w:t>
      </w:r>
      <w:r>
        <w:rPr>
          <w:rFonts w:hint="eastAsia"/>
        </w:rPr>
        <w:t>对于发动机的非定容燃烧过程具有一定的预测可信度。为了保持仿真的通用性，</w:t>
      </w:r>
      <w:r>
        <w:t>SAGE</w:t>
      </w:r>
      <w:r>
        <w:rPr>
          <w:rFonts w:hint="eastAsia"/>
        </w:rPr>
        <w:t>模型的反应系数（Reaction</w:t>
      </w:r>
      <w:r>
        <w:t xml:space="preserve"> </w:t>
      </w:r>
      <w:r>
        <w:rPr>
          <w:rFonts w:hint="eastAsia"/>
        </w:rPr>
        <w:t>multiplier）设置为1。由于汽油的成分较为复杂，在三维仿真中使是使用异辛烷（I</w:t>
      </w:r>
      <w:r>
        <w:t>C8H18</w:t>
      </w:r>
      <w:r>
        <w:rPr>
          <w:rFonts w:hint="eastAsia"/>
        </w:rPr>
        <w:t>）作为汽油的替代物。相关的化学反应机理采用的是来自大连理工贾明教授的简化化学反应机理</w:t>
      </w:r>
      <w:r>
        <w:rPr>
          <w:vertAlign w:val="superscript"/>
        </w:rPr>
        <w:t>[20]</w:t>
      </w:r>
      <w:r>
        <w:rPr>
          <w:rFonts w:hint="eastAsia"/>
        </w:rPr>
        <w:t>。该简化机理在常见缸内背景环境下，用于预测P</w:t>
      </w:r>
      <w:r>
        <w:t xml:space="preserve">RF </w:t>
      </w:r>
      <w:r>
        <w:rPr>
          <w:rFonts w:hint="eastAsia"/>
        </w:rPr>
        <w:t>（</w:t>
      </w:r>
      <w:r>
        <w:t>P</w:t>
      </w:r>
      <w:r>
        <w:rPr>
          <w:rFonts w:hint="eastAsia"/>
        </w:rPr>
        <w:t>rimary</w:t>
      </w:r>
      <w:r>
        <w:t xml:space="preserve"> R</w:t>
      </w:r>
      <w:r>
        <w:rPr>
          <w:rFonts w:hint="eastAsia"/>
        </w:rPr>
        <w:t>eference</w:t>
      </w:r>
      <w:r>
        <w:t xml:space="preserve"> F</w:t>
      </w:r>
      <w:r>
        <w:rPr>
          <w:rFonts w:hint="eastAsia"/>
        </w:rPr>
        <w:t>uel）反应过程时具有相对较高的计算效率以及准确性。考虑到计算效率以及三维观察对象的精度要求，本次研究中将采用重整雷诺平均（R</w:t>
      </w:r>
      <w:r>
        <w:t>NG k-epsilon</w:t>
      </w:r>
      <w:r>
        <w:rPr>
          <w:rFonts w:hint="eastAsia"/>
        </w:rPr>
        <w:t>）</w:t>
      </w:r>
      <w:r>
        <w:rPr>
          <w:vertAlign w:val="superscript"/>
        </w:rPr>
        <w:t>[21]</w:t>
      </w:r>
      <w:r>
        <w:rPr>
          <w:rFonts w:hint="eastAsia"/>
        </w:rPr>
        <w:t>。由于排放过程不是本次研究的重点，N</w:t>
      </w:r>
      <w:r>
        <w:t>O</w:t>
      </w:r>
      <w:r>
        <w:rPr>
          <w:rFonts w:hint="eastAsia"/>
        </w:rPr>
        <w:t>x模型使用的是经典的Extended</w:t>
      </w:r>
      <w:r>
        <w:t xml:space="preserve"> </w:t>
      </w:r>
      <w:r>
        <w:rPr>
          <w:rFonts w:hint="eastAsia"/>
        </w:rPr>
        <w:t>Zeldovich模型</w:t>
      </w:r>
      <w:r>
        <w:rPr>
          <w:vertAlign w:val="superscript"/>
        </w:rPr>
        <w:t>[22]</w:t>
      </w:r>
      <w:r>
        <w:rPr>
          <w:rFonts w:hint="eastAsia"/>
        </w:rPr>
        <w:t>。壁面传热模型采用的是</w:t>
      </w:r>
      <w:r>
        <w:t xml:space="preserve">O‘Rourke &amp; Amsden </w:t>
      </w:r>
      <w:r>
        <w:rPr>
          <w:rFonts w:hint="eastAsia"/>
        </w:rPr>
        <w:t>模型</w:t>
      </w:r>
      <w:r>
        <w:rPr>
          <w:vertAlign w:val="superscript"/>
        </w:rPr>
        <w:t>[23]</w:t>
      </w:r>
      <w:r>
        <w:rPr>
          <w:rFonts w:hint="eastAsia"/>
        </w:rPr>
        <w:t>。</w:t>
      </w:r>
    </w:p>
    <w:p>
      <w:pPr>
        <w:spacing w:line="360" w:lineRule="auto"/>
        <w:ind w:firstLine="420" w:firstLineChars="200"/>
        <w:jc w:val="center"/>
      </w:pPr>
      <w:r>
        <w:rPr>
          <w:rFonts w:hint="eastAsia"/>
        </w:rPr>
        <w:t>表2</w:t>
      </w:r>
      <w:r>
        <w:t xml:space="preserve"> </w:t>
      </w:r>
      <w:r>
        <w:rPr>
          <w:rFonts w:hint="eastAsia"/>
        </w:rPr>
        <w:t>机理模型</w:t>
      </w:r>
    </w:p>
    <w:tbl>
      <w:tblPr>
        <w:tblStyle w:val="7"/>
        <w:tblW w:w="6513" w:type="dxa"/>
        <w:jc w:val="center"/>
        <w:tblCellSpacing w:w="0" w:type="dxa"/>
        <w:tblLayout w:type="autofit"/>
        <w:tblCellMar>
          <w:top w:w="0" w:type="dxa"/>
          <w:left w:w="0" w:type="dxa"/>
          <w:bottom w:w="0" w:type="dxa"/>
          <w:right w:w="0" w:type="dxa"/>
        </w:tblCellMar>
      </w:tblPr>
      <w:tblGrid>
        <w:gridCol w:w="2402"/>
        <w:gridCol w:w="4111"/>
      </w:tblGrid>
      <w:tr>
        <w:tblPrEx>
          <w:tblCellMar>
            <w:top w:w="0" w:type="dxa"/>
            <w:left w:w="0" w:type="dxa"/>
            <w:bottom w:w="0" w:type="dxa"/>
            <w:right w:w="0" w:type="dxa"/>
          </w:tblCellMar>
        </w:tblPrEx>
        <w:trPr>
          <w:trHeight w:val="260" w:hRule="atLeast"/>
          <w:tblCellSpacing w:w="0" w:type="dxa"/>
          <w:jc w:val="center"/>
        </w:trPr>
        <w:tc>
          <w:tcPr>
            <w:tcW w:w="2402" w:type="dxa"/>
            <w:tcBorders>
              <w:top w:val="single" w:color="000000" w:sz="12" w:space="0"/>
              <w:bottom w:val="single" w:color="000000" w:sz="4" w:space="0"/>
            </w:tcBorders>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rPr>
                <w:rFonts w:hint="eastAsia"/>
              </w:rPr>
              <w:t>模型种类</w:t>
            </w:r>
          </w:p>
        </w:tc>
        <w:tc>
          <w:tcPr>
            <w:tcW w:w="4111" w:type="dxa"/>
            <w:tcBorders>
              <w:top w:val="single" w:color="000000" w:sz="12" w:space="0"/>
              <w:bottom w:val="single" w:color="000000" w:sz="4" w:space="0"/>
            </w:tcBorders>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rPr>
                <w:rFonts w:hint="eastAsia"/>
              </w:rPr>
              <w:t>模型名称</w:t>
            </w:r>
          </w:p>
        </w:tc>
      </w:tr>
      <w:tr>
        <w:tblPrEx>
          <w:tblCellMar>
            <w:top w:w="0" w:type="dxa"/>
            <w:left w:w="0" w:type="dxa"/>
            <w:bottom w:w="0" w:type="dxa"/>
            <w:right w:w="0" w:type="dxa"/>
          </w:tblCellMar>
        </w:tblPrEx>
        <w:trPr>
          <w:trHeight w:val="260" w:hRule="atLeast"/>
          <w:tblCellSpacing w:w="0" w:type="dxa"/>
          <w:jc w:val="center"/>
        </w:trPr>
        <w:tc>
          <w:tcPr>
            <w:tcW w:w="2402" w:type="dxa"/>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t>气体模型</w:t>
            </w:r>
          </w:p>
        </w:tc>
        <w:tc>
          <w:tcPr>
            <w:tcW w:w="4111" w:type="dxa"/>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t>Redlich-Kwong</w:t>
            </w:r>
          </w:p>
        </w:tc>
      </w:tr>
      <w:tr>
        <w:tblPrEx>
          <w:tblCellMar>
            <w:top w:w="0" w:type="dxa"/>
            <w:left w:w="0" w:type="dxa"/>
            <w:bottom w:w="0" w:type="dxa"/>
            <w:right w:w="0" w:type="dxa"/>
          </w:tblCellMar>
        </w:tblPrEx>
        <w:trPr>
          <w:trHeight w:val="23" w:hRule="atLeast"/>
          <w:tblCellSpacing w:w="0" w:type="dxa"/>
          <w:jc w:val="center"/>
        </w:trPr>
        <w:tc>
          <w:tcPr>
            <w:tcW w:w="2402" w:type="dxa"/>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t>反应机理</w:t>
            </w:r>
          </w:p>
        </w:tc>
        <w:tc>
          <w:tcPr>
            <w:tcW w:w="4111" w:type="dxa"/>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t>Ming Jia，48 species and 152 reactions</w:t>
            </w:r>
          </w:p>
        </w:tc>
      </w:tr>
      <w:tr>
        <w:tblPrEx>
          <w:tblCellMar>
            <w:top w:w="0" w:type="dxa"/>
            <w:left w:w="0" w:type="dxa"/>
            <w:bottom w:w="0" w:type="dxa"/>
            <w:right w:w="0" w:type="dxa"/>
          </w:tblCellMar>
        </w:tblPrEx>
        <w:trPr>
          <w:trHeight w:val="23" w:hRule="atLeast"/>
          <w:tblCellSpacing w:w="0" w:type="dxa"/>
          <w:jc w:val="center"/>
        </w:trPr>
        <w:tc>
          <w:tcPr>
            <w:tcW w:w="2402" w:type="dxa"/>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t>燃烧模型</w:t>
            </w:r>
          </w:p>
        </w:tc>
        <w:tc>
          <w:tcPr>
            <w:tcW w:w="4111" w:type="dxa"/>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rPr>
                <w:bCs/>
              </w:rPr>
              <w:t>SAGE (Reaction multiplier=1.0)</w:t>
            </w:r>
          </w:p>
        </w:tc>
      </w:tr>
      <w:tr>
        <w:tblPrEx>
          <w:tblCellMar>
            <w:top w:w="0" w:type="dxa"/>
            <w:left w:w="0" w:type="dxa"/>
            <w:bottom w:w="0" w:type="dxa"/>
            <w:right w:w="0" w:type="dxa"/>
          </w:tblCellMar>
        </w:tblPrEx>
        <w:trPr>
          <w:trHeight w:val="23" w:hRule="atLeast"/>
          <w:tblCellSpacing w:w="0" w:type="dxa"/>
          <w:jc w:val="center"/>
        </w:trPr>
        <w:tc>
          <w:tcPr>
            <w:tcW w:w="2402" w:type="dxa"/>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t>湍流模型</w:t>
            </w:r>
          </w:p>
        </w:tc>
        <w:tc>
          <w:tcPr>
            <w:tcW w:w="4111" w:type="dxa"/>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rPr>
                <w:bCs/>
              </w:rPr>
              <w:t>RNG k-epsilon</w:t>
            </w:r>
          </w:p>
        </w:tc>
      </w:tr>
      <w:tr>
        <w:tblPrEx>
          <w:tblCellMar>
            <w:top w:w="0" w:type="dxa"/>
            <w:left w:w="0" w:type="dxa"/>
            <w:bottom w:w="0" w:type="dxa"/>
            <w:right w:w="0" w:type="dxa"/>
          </w:tblCellMar>
        </w:tblPrEx>
        <w:trPr>
          <w:trHeight w:val="23" w:hRule="atLeast"/>
          <w:tblCellSpacing w:w="0" w:type="dxa"/>
          <w:jc w:val="center"/>
        </w:trPr>
        <w:tc>
          <w:tcPr>
            <w:tcW w:w="2402" w:type="dxa"/>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t>NOx 模型</w:t>
            </w:r>
          </w:p>
        </w:tc>
        <w:tc>
          <w:tcPr>
            <w:tcW w:w="4111" w:type="dxa"/>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t>Extended Zeldovich</w:t>
            </w:r>
          </w:p>
        </w:tc>
      </w:tr>
      <w:tr>
        <w:tblPrEx>
          <w:tblCellMar>
            <w:top w:w="0" w:type="dxa"/>
            <w:left w:w="0" w:type="dxa"/>
            <w:bottom w:w="0" w:type="dxa"/>
            <w:right w:w="0" w:type="dxa"/>
          </w:tblCellMar>
        </w:tblPrEx>
        <w:trPr>
          <w:trHeight w:val="694" w:hRule="atLeast"/>
          <w:tblCellSpacing w:w="0" w:type="dxa"/>
          <w:jc w:val="center"/>
        </w:trPr>
        <w:tc>
          <w:tcPr>
            <w:tcW w:w="2402" w:type="dxa"/>
            <w:tcBorders>
              <w:bottom w:val="single" w:color="000000" w:sz="12" w:space="0"/>
            </w:tcBorders>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t>缸壁传热模型</w:t>
            </w:r>
          </w:p>
        </w:tc>
        <w:tc>
          <w:tcPr>
            <w:tcW w:w="4111" w:type="dxa"/>
            <w:tcBorders>
              <w:bottom w:val="single" w:color="000000" w:sz="12" w:space="0"/>
            </w:tcBorders>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t>O‘Rourke &amp; Amsden</w:t>
            </w:r>
          </w:p>
        </w:tc>
      </w:tr>
    </w:tbl>
    <w:p>
      <w:pPr>
        <w:spacing w:line="360" w:lineRule="auto"/>
        <w:ind w:firstLine="420" w:firstLineChars="200"/>
        <w:jc w:val="left"/>
      </w:pPr>
      <w:r>
        <w:rPr>
          <w:rFonts w:hint="eastAsia"/>
        </w:rPr>
        <w:t>除了使用合适的机理模型外，仿真模型的求解步长设置也很大程度上决定了求解的精度。求解步长以及精度设置如表</w:t>
      </w:r>
      <w:r>
        <w:t>3</w:t>
      </w:r>
      <w:r>
        <w:rPr>
          <w:rFonts w:hint="eastAsia"/>
        </w:rPr>
        <w:t>所示。由于Converge</w:t>
      </w:r>
      <w:r>
        <w:t xml:space="preserve"> CFD</w:t>
      </w:r>
      <w:r>
        <w:rPr>
          <w:rFonts w:hint="eastAsia"/>
        </w:rPr>
        <w:t>能够兼容自适应的求解过程，为了保持一定的准确性，最小步长设置为1e</w:t>
      </w:r>
      <w:r>
        <w:t xml:space="preserve">-08 </w:t>
      </w:r>
      <w:r>
        <w:rPr>
          <w:rFonts w:hint="eastAsia"/>
        </w:rPr>
        <w:t>秒。同理，在保证求解精度的同时尽可能计算效率最大化，最大马赫库朗数（</w:t>
      </w:r>
      <w:r>
        <w:t>CFL</w:t>
      </w:r>
      <w:r>
        <w:rPr>
          <w:rFonts w:hint="eastAsia"/>
        </w:rPr>
        <w:t>）设置为5</w:t>
      </w:r>
      <w:r>
        <w:t>0</w:t>
      </w:r>
      <w:r>
        <w:rPr>
          <w:rFonts w:hint="eastAsia"/>
        </w:rPr>
        <w:t>（对于瞬态仿真有更精确求解的需求，最大马赫库朗数可设置为3或更小值）。</w:t>
      </w:r>
    </w:p>
    <w:p>
      <w:pPr>
        <w:spacing w:line="360" w:lineRule="auto"/>
        <w:ind w:firstLine="420" w:firstLineChars="200"/>
        <w:jc w:val="center"/>
      </w:pPr>
      <w:r>
        <w:rPr>
          <w:rFonts w:hint="eastAsia"/>
        </w:rPr>
        <w:t>表</w:t>
      </w:r>
      <w:r>
        <w:t xml:space="preserve">3 </w:t>
      </w:r>
      <w:r>
        <w:rPr>
          <w:rFonts w:hint="eastAsia"/>
        </w:rPr>
        <w:t>仿真求解步长设置</w:t>
      </w:r>
    </w:p>
    <w:tbl>
      <w:tblPr>
        <w:tblStyle w:val="7"/>
        <w:tblW w:w="4999" w:type="pct"/>
        <w:jc w:val="center"/>
        <w:tblCellSpacing w:w="0" w:type="dxa"/>
        <w:tblLayout w:type="autofit"/>
        <w:tblCellMar>
          <w:top w:w="0" w:type="dxa"/>
          <w:left w:w="0" w:type="dxa"/>
          <w:bottom w:w="0" w:type="dxa"/>
          <w:right w:w="0" w:type="dxa"/>
        </w:tblCellMar>
      </w:tblPr>
      <w:tblGrid>
        <w:gridCol w:w="4518"/>
        <w:gridCol w:w="4074"/>
      </w:tblGrid>
      <w:tr>
        <w:tblPrEx>
          <w:tblCellMar>
            <w:top w:w="0" w:type="dxa"/>
            <w:left w:w="0" w:type="dxa"/>
            <w:bottom w:w="0" w:type="dxa"/>
            <w:right w:w="0" w:type="dxa"/>
          </w:tblCellMar>
        </w:tblPrEx>
        <w:trPr>
          <w:trHeight w:val="21" w:hRule="atLeast"/>
          <w:tblCellSpacing w:w="0" w:type="dxa"/>
          <w:jc w:val="center"/>
        </w:trPr>
        <w:tc>
          <w:tcPr>
            <w:tcW w:w="2629" w:type="pct"/>
            <w:tcBorders>
              <w:top w:val="single" w:color="000000" w:sz="12" w:space="0"/>
            </w:tcBorders>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rPr>
                <w:rFonts w:hint="eastAsia"/>
              </w:rPr>
              <w:t>求解设置</w:t>
            </w:r>
          </w:p>
        </w:tc>
        <w:tc>
          <w:tcPr>
            <w:tcW w:w="2370" w:type="pct"/>
            <w:tcBorders>
              <w:top w:val="single" w:color="000000" w:sz="12" w:space="0"/>
            </w:tcBorders>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rPr>
                <w:rFonts w:hint="eastAsia"/>
              </w:rPr>
              <w:t>步长</w:t>
            </w:r>
          </w:p>
        </w:tc>
      </w:tr>
      <w:tr>
        <w:tblPrEx>
          <w:tblCellMar>
            <w:top w:w="0" w:type="dxa"/>
            <w:left w:w="0" w:type="dxa"/>
            <w:bottom w:w="0" w:type="dxa"/>
            <w:right w:w="0" w:type="dxa"/>
          </w:tblCellMar>
        </w:tblPrEx>
        <w:trPr>
          <w:trHeight w:val="21" w:hRule="atLeast"/>
          <w:tblCellSpacing w:w="0" w:type="dxa"/>
          <w:jc w:val="center"/>
        </w:trPr>
        <w:tc>
          <w:tcPr>
            <w:tcW w:w="2629" w:type="pct"/>
            <w:tcBorders>
              <w:top w:val="single" w:color="000000" w:sz="4" w:space="0"/>
            </w:tcBorders>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t>初始步长</w:t>
            </w:r>
            <w:r>
              <w:rPr>
                <w:rFonts w:hint="eastAsia"/>
              </w:rPr>
              <w:t>（秒）</w:t>
            </w:r>
          </w:p>
        </w:tc>
        <w:tc>
          <w:tcPr>
            <w:tcW w:w="2370" w:type="pct"/>
            <w:tcBorders>
              <w:top w:val="single" w:color="000000" w:sz="4" w:space="0"/>
            </w:tcBorders>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t>5e-07</w:t>
            </w:r>
          </w:p>
        </w:tc>
      </w:tr>
      <w:tr>
        <w:tblPrEx>
          <w:tblCellMar>
            <w:top w:w="0" w:type="dxa"/>
            <w:left w:w="0" w:type="dxa"/>
            <w:bottom w:w="0" w:type="dxa"/>
            <w:right w:w="0" w:type="dxa"/>
          </w:tblCellMar>
        </w:tblPrEx>
        <w:trPr>
          <w:trHeight w:val="303" w:hRule="atLeast"/>
          <w:tblCellSpacing w:w="0" w:type="dxa"/>
          <w:jc w:val="center"/>
        </w:trPr>
        <w:tc>
          <w:tcPr>
            <w:tcW w:w="2629" w:type="pct"/>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t>最小步长</w:t>
            </w:r>
            <w:r>
              <w:rPr>
                <w:rFonts w:hint="eastAsia"/>
              </w:rPr>
              <w:t>（秒）</w:t>
            </w:r>
          </w:p>
        </w:tc>
        <w:tc>
          <w:tcPr>
            <w:tcW w:w="2370" w:type="pct"/>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t>1e-08</w:t>
            </w:r>
          </w:p>
        </w:tc>
      </w:tr>
      <w:tr>
        <w:tblPrEx>
          <w:tblCellMar>
            <w:top w:w="0" w:type="dxa"/>
            <w:left w:w="0" w:type="dxa"/>
            <w:bottom w:w="0" w:type="dxa"/>
            <w:right w:w="0" w:type="dxa"/>
          </w:tblCellMar>
        </w:tblPrEx>
        <w:trPr>
          <w:trHeight w:val="280" w:hRule="atLeast"/>
          <w:tblCellSpacing w:w="0" w:type="dxa"/>
          <w:jc w:val="center"/>
        </w:trPr>
        <w:tc>
          <w:tcPr>
            <w:tcW w:w="2629" w:type="pct"/>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t>最大步长</w:t>
            </w:r>
            <w:r>
              <w:rPr>
                <w:rFonts w:hint="eastAsia"/>
              </w:rPr>
              <w:t>（秒）</w:t>
            </w:r>
          </w:p>
        </w:tc>
        <w:tc>
          <w:tcPr>
            <w:tcW w:w="2370" w:type="pct"/>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t>2.5e-05</w:t>
            </w:r>
          </w:p>
        </w:tc>
      </w:tr>
      <w:tr>
        <w:tblPrEx>
          <w:tblCellMar>
            <w:top w:w="0" w:type="dxa"/>
            <w:left w:w="0" w:type="dxa"/>
            <w:bottom w:w="0" w:type="dxa"/>
            <w:right w:w="0" w:type="dxa"/>
          </w:tblCellMar>
        </w:tblPrEx>
        <w:trPr>
          <w:trHeight w:val="257" w:hRule="atLeast"/>
          <w:tblCellSpacing w:w="0" w:type="dxa"/>
          <w:jc w:val="center"/>
        </w:trPr>
        <w:tc>
          <w:tcPr>
            <w:tcW w:w="2629" w:type="pct"/>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t>最大对流CFL</w:t>
            </w:r>
          </w:p>
        </w:tc>
        <w:tc>
          <w:tcPr>
            <w:tcW w:w="2370" w:type="pct"/>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t>5</w:t>
            </w:r>
          </w:p>
        </w:tc>
      </w:tr>
      <w:tr>
        <w:tblPrEx>
          <w:tblCellMar>
            <w:top w:w="0" w:type="dxa"/>
            <w:left w:w="0" w:type="dxa"/>
            <w:bottom w:w="0" w:type="dxa"/>
            <w:right w:w="0" w:type="dxa"/>
          </w:tblCellMar>
        </w:tblPrEx>
        <w:trPr>
          <w:trHeight w:val="21" w:hRule="atLeast"/>
          <w:tblCellSpacing w:w="0" w:type="dxa"/>
          <w:jc w:val="center"/>
        </w:trPr>
        <w:tc>
          <w:tcPr>
            <w:tcW w:w="2629" w:type="pct"/>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t>最大扩散CFL</w:t>
            </w:r>
          </w:p>
        </w:tc>
        <w:tc>
          <w:tcPr>
            <w:tcW w:w="2370" w:type="pct"/>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t>2</w:t>
            </w:r>
          </w:p>
        </w:tc>
      </w:tr>
      <w:tr>
        <w:tblPrEx>
          <w:tblCellMar>
            <w:top w:w="0" w:type="dxa"/>
            <w:left w:w="0" w:type="dxa"/>
            <w:bottom w:w="0" w:type="dxa"/>
            <w:right w:w="0" w:type="dxa"/>
          </w:tblCellMar>
        </w:tblPrEx>
        <w:trPr>
          <w:trHeight w:val="531" w:hRule="atLeast"/>
          <w:tblCellSpacing w:w="0" w:type="dxa"/>
          <w:jc w:val="center"/>
        </w:trPr>
        <w:tc>
          <w:tcPr>
            <w:tcW w:w="2629" w:type="pct"/>
            <w:tcBorders>
              <w:bottom w:val="single" w:color="000000" w:sz="12" w:space="0"/>
            </w:tcBorders>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t>最大马赫CFL</w:t>
            </w:r>
          </w:p>
        </w:tc>
        <w:tc>
          <w:tcPr>
            <w:tcW w:w="2370" w:type="pct"/>
            <w:tcBorders>
              <w:bottom w:val="single" w:color="000000" w:sz="12" w:space="0"/>
            </w:tcBorders>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t>50</w:t>
            </w:r>
          </w:p>
        </w:tc>
      </w:tr>
    </w:tbl>
    <w:p>
      <w:pPr>
        <w:spacing w:line="360" w:lineRule="auto"/>
        <w:ind w:firstLine="420" w:firstLineChars="200"/>
        <w:jc w:val="left"/>
      </w:pPr>
      <w:r>
        <w:rPr>
          <w:rFonts w:hint="eastAsia"/>
        </w:rPr>
        <w:t>在三维仿真中，特定敏感区域需要进行不同的程度的加密，从而保证该区域的求解准确性。固定加密策略如表4所示。在进排气过程中，进排气喉口位置的速度、压力以及动能会在气门关闭后，对缸内流场分布产生较大影响。因此，在进排气喉口处设置</w:t>
      </w:r>
      <w:r>
        <w:t>3</w:t>
      </w:r>
      <w:r>
        <w:rPr>
          <w:rFonts w:hint="eastAsia"/>
        </w:rPr>
        <w:t>级</w:t>
      </w:r>
      <w:r>
        <w:t>2</w:t>
      </w:r>
      <w:r>
        <w:rPr>
          <w:rFonts w:hint="eastAsia"/>
        </w:rPr>
        <w:t>层的永久加密。初始火核的发展将会影响</w:t>
      </w:r>
      <w:r>
        <w:t>MFB</w:t>
      </w:r>
      <w:r>
        <w:rPr>
          <w:rFonts w:hint="eastAsia"/>
        </w:rPr>
        <w:t>（Mass</w:t>
      </w:r>
      <w:r>
        <w:t xml:space="preserve"> F</w:t>
      </w:r>
      <w:r>
        <w:rPr>
          <w:rFonts w:hint="eastAsia"/>
        </w:rPr>
        <w:t>raction</w:t>
      </w:r>
      <w:r>
        <w:t xml:space="preserve"> B</w:t>
      </w:r>
      <w:r>
        <w:rPr>
          <w:rFonts w:hint="eastAsia"/>
        </w:rPr>
        <w:t>urned）</w:t>
      </w:r>
      <w:r>
        <w:t xml:space="preserve"> 0% </w:t>
      </w:r>
      <w:r>
        <w:rPr>
          <w:rFonts w:hint="eastAsia"/>
        </w:rPr>
        <w:t>至5</w:t>
      </w:r>
      <w:r>
        <w:t>%</w:t>
      </w:r>
      <w:r>
        <w:rPr>
          <w:rFonts w:hint="eastAsia"/>
        </w:rPr>
        <w:t>的过程，因此在火花塞电极之间需要同时设置两层不同尺寸和层级（a层与b层）的加密。根据过往的仿真经验，为了保持一定的计算效率以及网格无关性，模型的基础网格是设置在2mm</w:t>
      </w:r>
      <w:r>
        <w:t xml:space="preserve"> – 4</w:t>
      </w:r>
      <w:r>
        <w:rPr>
          <w:rFonts w:hint="eastAsia"/>
        </w:rPr>
        <w:t>mm之间。A</w:t>
      </w:r>
      <w:r>
        <w:t>MR</w:t>
      </w:r>
      <w:r>
        <w:rPr>
          <w:rFonts w:hint="eastAsia"/>
        </w:rPr>
        <w:t>（自适应加密策略）将会围绕缸内气体速度、温度、以及进排气的气体速度设置。</w:t>
      </w:r>
    </w:p>
    <w:p>
      <w:pPr>
        <w:spacing w:line="360" w:lineRule="auto"/>
        <w:ind w:firstLine="420" w:firstLineChars="200"/>
        <w:jc w:val="center"/>
      </w:pPr>
      <w:r>
        <w:rPr>
          <w:rFonts w:hint="eastAsia"/>
        </w:rPr>
        <w:t>表4</w:t>
      </w:r>
      <w:r>
        <w:t xml:space="preserve"> </w:t>
      </w:r>
      <w:r>
        <w:rPr>
          <w:rFonts w:hint="eastAsia"/>
        </w:rPr>
        <w:t>固定加密策略</w:t>
      </w:r>
    </w:p>
    <w:tbl>
      <w:tblPr>
        <w:tblStyle w:val="7"/>
        <w:tblW w:w="8647" w:type="dxa"/>
        <w:tblCellSpacing w:w="0" w:type="dxa"/>
        <w:tblInd w:w="0" w:type="dxa"/>
        <w:tblLayout w:type="autofit"/>
        <w:tblCellMar>
          <w:top w:w="0" w:type="dxa"/>
          <w:left w:w="0" w:type="dxa"/>
          <w:bottom w:w="0" w:type="dxa"/>
          <w:right w:w="0" w:type="dxa"/>
        </w:tblCellMar>
      </w:tblPr>
      <w:tblGrid>
        <w:gridCol w:w="2410"/>
        <w:gridCol w:w="1134"/>
        <w:gridCol w:w="1559"/>
        <w:gridCol w:w="3544"/>
      </w:tblGrid>
      <w:tr>
        <w:tblPrEx>
          <w:tblCellMar>
            <w:top w:w="0" w:type="dxa"/>
            <w:left w:w="0" w:type="dxa"/>
            <w:bottom w:w="0" w:type="dxa"/>
            <w:right w:w="0" w:type="dxa"/>
          </w:tblCellMar>
        </w:tblPrEx>
        <w:trPr>
          <w:trHeight w:val="449" w:hRule="atLeast"/>
          <w:tblCellSpacing w:w="0" w:type="dxa"/>
        </w:trPr>
        <w:tc>
          <w:tcPr>
            <w:tcW w:w="2410" w:type="dxa"/>
            <w:tcBorders>
              <w:top w:val="single" w:color="000000" w:sz="12" w:space="0"/>
            </w:tcBorders>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t>加密区域</w:t>
            </w:r>
          </w:p>
        </w:tc>
        <w:tc>
          <w:tcPr>
            <w:tcW w:w="1134" w:type="dxa"/>
            <w:tcBorders>
              <w:top w:val="single" w:color="000000" w:sz="12" w:space="0"/>
            </w:tcBorders>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jc w:val="left"/>
              <w:textAlignment w:val="auto"/>
            </w:pPr>
            <w:r>
              <w:t>加密级别</w:t>
            </w:r>
          </w:p>
        </w:tc>
        <w:tc>
          <w:tcPr>
            <w:tcW w:w="1559" w:type="dxa"/>
            <w:tcBorders>
              <w:top w:val="single" w:color="000000" w:sz="12" w:space="0"/>
            </w:tcBorders>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t>加密层数</w:t>
            </w:r>
          </w:p>
        </w:tc>
        <w:tc>
          <w:tcPr>
            <w:tcW w:w="3544" w:type="dxa"/>
            <w:tcBorders>
              <w:top w:val="single" w:color="000000" w:sz="12" w:space="0"/>
            </w:tcBorders>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t>加密起始时间</w:t>
            </w:r>
          </w:p>
        </w:tc>
      </w:tr>
      <w:tr>
        <w:tblPrEx>
          <w:tblCellMar>
            <w:top w:w="0" w:type="dxa"/>
            <w:left w:w="0" w:type="dxa"/>
            <w:bottom w:w="0" w:type="dxa"/>
            <w:right w:w="0" w:type="dxa"/>
          </w:tblCellMar>
        </w:tblPrEx>
        <w:trPr>
          <w:trHeight w:val="36" w:hRule="atLeast"/>
          <w:tblCellSpacing w:w="0" w:type="dxa"/>
        </w:trPr>
        <w:tc>
          <w:tcPr>
            <w:tcW w:w="2410" w:type="dxa"/>
            <w:tcBorders>
              <w:top w:val="single" w:color="000000" w:sz="4" w:space="0"/>
            </w:tcBorders>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rPr>
                <w:rFonts w:hint="eastAsia"/>
              </w:rPr>
              <w:t>进气门喉口</w:t>
            </w:r>
          </w:p>
        </w:tc>
        <w:tc>
          <w:tcPr>
            <w:tcW w:w="1134" w:type="dxa"/>
            <w:tcBorders>
              <w:top w:val="single" w:color="000000" w:sz="4" w:space="0"/>
            </w:tcBorders>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t>3</w:t>
            </w:r>
          </w:p>
        </w:tc>
        <w:tc>
          <w:tcPr>
            <w:tcW w:w="1559" w:type="dxa"/>
            <w:tcBorders>
              <w:top w:val="single" w:color="000000" w:sz="4" w:space="0"/>
            </w:tcBorders>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t>2</w:t>
            </w:r>
          </w:p>
        </w:tc>
        <w:tc>
          <w:tcPr>
            <w:tcW w:w="3544" w:type="dxa"/>
            <w:tcBorders>
              <w:top w:val="single" w:color="000000" w:sz="4" w:space="0"/>
            </w:tcBorders>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rPr>
                <w:rFonts w:hint="eastAsia"/>
              </w:rPr>
              <w:t>永久</w:t>
            </w:r>
          </w:p>
        </w:tc>
      </w:tr>
      <w:tr>
        <w:tblPrEx>
          <w:tblCellMar>
            <w:top w:w="0" w:type="dxa"/>
            <w:left w:w="0" w:type="dxa"/>
            <w:bottom w:w="0" w:type="dxa"/>
            <w:right w:w="0" w:type="dxa"/>
          </w:tblCellMar>
        </w:tblPrEx>
        <w:trPr>
          <w:trHeight w:val="159" w:hRule="atLeast"/>
          <w:tblCellSpacing w:w="0" w:type="dxa"/>
        </w:trPr>
        <w:tc>
          <w:tcPr>
            <w:tcW w:w="2410" w:type="dxa"/>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rPr>
                <w:rFonts w:hint="eastAsia"/>
              </w:rPr>
              <w:t>排气门喉口</w:t>
            </w:r>
          </w:p>
        </w:tc>
        <w:tc>
          <w:tcPr>
            <w:tcW w:w="1134" w:type="dxa"/>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t>3</w:t>
            </w:r>
          </w:p>
        </w:tc>
        <w:tc>
          <w:tcPr>
            <w:tcW w:w="1559" w:type="dxa"/>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t>2</w:t>
            </w:r>
          </w:p>
        </w:tc>
        <w:tc>
          <w:tcPr>
            <w:tcW w:w="3544" w:type="dxa"/>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rPr>
                <w:rFonts w:hint="eastAsia"/>
              </w:rPr>
              <w:t>永久</w:t>
            </w:r>
          </w:p>
        </w:tc>
      </w:tr>
      <w:tr>
        <w:tblPrEx>
          <w:tblCellMar>
            <w:top w:w="0" w:type="dxa"/>
            <w:left w:w="0" w:type="dxa"/>
            <w:bottom w:w="0" w:type="dxa"/>
            <w:right w:w="0" w:type="dxa"/>
          </w:tblCellMar>
        </w:tblPrEx>
        <w:trPr>
          <w:trHeight w:val="10" w:hRule="atLeast"/>
          <w:tblCellSpacing w:w="0" w:type="dxa"/>
        </w:trPr>
        <w:tc>
          <w:tcPr>
            <w:tcW w:w="2410" w:type="dxa"/>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t>火核加密 – a</w:t>
            </w:r>
            <w:r>
              <w:rPr>
                <w:rFonts w:hint="eastAsia"/>
              </w:rPr>
              <w:t>层</w:t>
            </w:r>
          </w:p>
        </w:tc>
        <w:tc>
          <w:tcPr>
            <w:tcW w:w="1134" w:type="dxa"/>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t>5</w:t>
            </w:r>
          </w:p>
        </w:tc>
        <w:tc>
          <w:tcPr>
            <w:tcW w:w="1559" w:type="dxa"/>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t>-</w:t>
            </w:r>
          </w:p>
        </w:tc>
        <w:tc>
          <w:tcPr>
            <w:tcW w:w="3544" w:type="dxa"/>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t>点火区间的前后加5度到10度</w:t>
            </w:r>
          </w:p>
        </w:tc>
      </w:tr>
      <w:tr>
        <w:tblPrEx>
          <w:tblCellMar>
            <w:top w:w="0" w:type="dxa"/>
            <w:left w:w="0" w:type="dxa"/>
            <w:bottom w:w="0" w:type="dxa"/>
            <w:right w:w="0" w:type="dxa"/>
          </w:tblCellMar>
        </w:tblPrEx>
        <w:trPr>
          <w:trHeight w:val="146" w:hRule="atLeast"/>
          <w:tblCellSpacing w:w="0" w:type="dxa"/>
        </w:trPr>
        <w:tc>
          <w:tcPr>
            <w:tcW w:w="2410" w:type="dxa"/>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t>火核加密 – b</w:t>
            </w:r>
            <w:r>
              <w:rPr>
                <w:rFonts w:hint="eastAsia"/>
              </w:rPr>
              <w:t>层</w:t>
            </w:r>
          </w:p>
        </w:tc>
        <w:tc>
          <w:tcPr>
            <w:tcW w:w="1134" w:type="dxa"/>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t>4</w:t>
            </w:r>
          </w:p>
        </w:tc>
        <w:tc>
          <w:tcPr>
            <w:tcW w:w="1559" w:type="dxa"/>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t>-</w:t>
            </w:r>
          </w:p>
        </w:tc>
        <w:tc>
          <w:tcPr>
            <w:tcW w:w="3544" w:type="dxa"/>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t>点火区间的前后加5度到10度</w:t>
            </w:r>
          </w:p>
        </w:tc>
      </w:tr>
      <w:tr>
        <w:tblPrEx>
          <w:tblCellMar>
            <w:top w:w="0" w:type="dxa"/>
            <w:left w:w="0" w:type="dxa"/>
            <w:bottom w:w="0" w:type="dxa"/>
            <w:right w:w="0" w:type="dxa"/>
          </w:tblCellMar>
        </w:tblPrEx>
        <w:trPr>
          <w:trHeight w:val="301" w:hRule="atLeast"/>
          <w:tblCellSpacing w:w="0" w:type="dxa"/>
        </w:trPr>
        <w:tc>
          <w:tcPr>
            <w:tcW w:w="2410" w:type="dxa"/>
            <w:tcBorders>
              <w:bottom w:val="single" w:color="000000" w:sz="12" w:space="0"/>
            </w:tcBorders>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rPr>
                <w:bCs/>
              </w:rPr>
              <w:t>Cylinder加密</w:t>
            </w:r>
          </w:p>
        </w:tc>
        <w:tc>
          <w:tcPr>
            <w:tcW w:w="1134" w:type="dxa"/>
            <w:tcBorders>
              <w:bottom w:val="single" w:color="000000" w:sz="12" w:space="0"/>
            </w:tcBorders>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2" w:firstLineChars="200"/>
              <w:jc w:val="left"/>
              <w:textAlignment w:val="auto"/>
            </w:pPr>
            <w:r>
              <w:rPr>
                <w:b/>
                <w:bCs/>
              </w:rPr>
              <w:t>2</w:t>
            </w:r>
          </w:p>
        </w:tc>
        <w:tc>
          <w:tcPr>
            <w:tcW w:w="1559" w:type="dxa"/>
            <w:tcBorders>
              <w:bottom w:val="single" w:color="000000" w:sz="12" w:space="0"/>
            </w:tcBorders>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2" w:firstLineChars="200"/>
              <w:jc w:val="left"/>
              <w:textAlignment w:val="auto"/>
            </w:pPr>
            <w:r>
              <w:rPr>
                <w:b/>
                <w:bCs/>
              </w:rPr>
              <w:t>-</w:t>
            </w:r>
          </w:p>
        </w:tc>
        <w:tc>
          <w:tcPr>
            <w:tcW w:w="3544" w:type="dxa"/>
            <w:tcBorders>
              <w:bottom w:val="single" w:color="000000" w:sz="12" w:space="0"/>
            </w:tcBorders>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left"/>
              <w:textAlignment w:val="auto"/>
            </w:pPr>
            <w:r>
              <w:rPr>
                <w:rFonts w:hint="eastAsia"/>
              </w:rPr>
              <w:t>永久</w:t>
            </w:r>
          </w:p>
        </w:tc>
      </w:tr>
    </w:tbl>
    <w:p>
      <w:pPr>
        <w:spacing w:line="360" w:lineRule="auto"/>
        <w:ind w:firstLine="420" w:firstLineChars="200"/>
        <w:jc w:val="left"/>
      </w:pPr>
    </w:p>
    <w:p>
      <w:pPr>
        <w:spacing w:line="360" w:lineRule="auto"/>
        <w:jc w:val="left"/>
        <w:rPr>
          <w:b/>
          <w:bCs/>
          <w:sz w:val="24"/>
          <w:szCs w:val="24"/>
        </w:rPr>
      </w:pPr>
      <w:r>
        <w:rPr>
          <w:b/>
          <w:bCs/>
          <w:sz w:val="24"/>
          <w:szCs w:val="24"/>
        </w:rPr>
        <w:t xml:space="preserve">2.3 </w:t>
      </w:r>
      <w:r>
        <w:rPr>
          <w:rFonts w:hint="eastAsia"/>
          <w:b/>
          <w:bCs/>
          <w:sz w:val="24"/>
          <w:szCs w:val="24"/>
        </w:rPr>
        <w:t>边界输入</w:t>
      </w:r>
    </w:p>
    <w:p>
      <w:pPr>
        <w:spacing w:line="360" w:lineRule="auto"/>
        <w:ind w:firstLine="420" w:firstLineChars="200"/>
        <w:jc w:val="left"/>
      </w:pPr>
      <w:r>
        <w:rPr>
          <w:rFonts w:hint="eastAsia"/>
        </w:rPr>
        <w:t>本次研究是以优化热效率为主，因此仿真工况以</w:t>
      </w:r>
      <w:r>
        <w:t>476ZQE</w:t>
      </w:r>
      <w:r>
        <w:rPr>
          <w:rFonts w:hint="eastAsia"/>
        </w:rPr>
        <w:t>的</w:t>
      </w:r>
      <w:r>
        <w:t>BTE</w:t>
      </w:r>
      <w:r>
        <w:rPr>
          <w:rFonts w:hint="eastAsia"/>
        </w:rPr>
        <w:t>点（Best</w:t>
      </w:r>
      <w:r>
        <w:t xml:space="preserve"> T</w:t>
      </w:r>
      <w:r>
        <w:rPr>
          <w:rFonts w:hint="eastAsia"/>
        </w:rPr>
        <w:t>hermal</w:t>
      </w:r>
      <w:r>
        <w:t xml:space="preserve"> E</w:t>
      </w:r>
      <w:r>
        <w:rPr>
          <w:rFonts w:hint="eastAsia"/>
        </w:rPr>
        <w:t>fficiency，最佳热效率点）作为仿真边界基础。该B</w:t>
      </w:r>
      <w:r>
        <w:t>TE</w:t>
      </w:r>
      <w:r>
        <w:rPr>
          <w:rFonts w:hint="eastAsia"/>
        </w:rPr>
        <w:t>点的工况如表5所示。由于在此B</w:t>
      </w:r>
      <w:r>
        <w:t>TE</w:t>
      </w:r>
      <w:r>
        <w:rPr>
          <w:rFonts w:hint="eastAsia"/>
        </w:rPr>
        <w:t>工况点下，发动机采用的是进气阶段的一次缸内直喷。因此，为了减少直喷模型带来的误差影响，三维仿真将采用均质预混（Premixed</w:t>
      </w:r>
      <w:r>
        <w:t xml:space="preserve"> H</w:t>
      </w:r>
      <w:r>
        <w:rPr>
          <w:rFonts w:hint="eastAsia"/>
        </w:rPr>
        <w:t>omogeneous</w:t>
      </w:r>
      <w:r>
        <w:t xml:space="preserve"> C</w:t>
      </w:r>
      <w:r>
        <w:rPr>
          <w:rFonts w:hint="eastAsia"/>
        </w:rPr>
        <w:t>harge）代替缸内直喷。</w:t>
      </w:r>
    </w:p>
    <w:p>
      <w:pPr>
        <w:spacing w:line="360" w:lineRule="auto"/>
        <w:ind w:firstLine="420" w:firstLineChars="200"/>
        <w:jc w:val="center"/>
      </w:pPr>
      <w:r>
        <w:rPr>
          <w:rFonts w:hint="eastAsia"/>
        </w:rPr>
        <w:t>表5</w:t>
      </w:r>
      <w:r>
        <w:t xml:space="preserve"> BTE</w:t>
      </w:r>
      <w:r>
        <w:rPr>
          <w:rFonts w:hint="eastAsia"/>
        </w:rPr>
        <w:t>工况点</w:t>
      </w:r>
    </w:p>
    <w:tbl>
      <w:tblPr>
        <w:tblStyle w:val="8"/>
        <w:tblW w:w="499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506"/>
        <w:gridCol w:w="20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818" w:type="pct"/>
            <w:tcBorders>
              <w:top w:val="single" w:color="000000" w:sz="12" w:space="0"/>
              <w:bottom w:val="single" w:color="000000" w:sz="4" w:space="0"/>
            </w:tcBorders>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pPr>
            <w:r>
              <w:rPr>
                <w:rFonts w:hint="eastAsia"/>
              </w:rPr>
              <w:t>工况参数</w:t>
            </w:r>
          </w:p>
        </w:tc>
        <w:tc>
          <w:tcPr>
            <w:tcW w:w="1181" w:type="pct"/>
            <w:tcBorders>
              <w:top w:val="single" w:color="000000" w:sz="12" w:space="0"/>
              <w:bottom w:val="single" w:color="000000" w:sz="4" w:space="0"/>
            </w:tcBorders>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pPr>
            <w:r>
              <w:rPr>
                <w:rFonts w:hint="eastAsia"/>
              </w:rPr>
              <w:t>数值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818" w:type="pct"/>
            <w:tcBorders>
              <w:top w:val="single" w:color="000000" w:sz="4" w:space="0"/>
            </w:tcBorders>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pPr>
            <w:r>
              <w:rPr>
                <w:rFonts w:hint="eastAsia"/>
              </w:rPr>
              <w:t>转数（rpm）</w:t>
            </w:r>
          </w:p>
        </w:tc>
        <w:tc>
          <w:tcPr>
            <w:tcW w:w="1181" w:type="pct"/>
            <w:tcBorders>
              <w:top w:val="single" w:color="000000" w:sz="4" w:space="0"/>
            </w:tcBorders>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pPr>
            <w:r>
              <w:rPr>
                <w:rFonts w:hint="eastAsia"/>
              </w:rPr>
              <w:t>2</w:t>
            </w:r>
            <w:r>
              <w:t>600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818" w:type="pct"/>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pPr>
            <w:r>
              <w:rPr>
                <w:rFonts w:hint="eastAsia"/>
              </w:rPr>
              <w:t>点火时刻（°C</w:t>
            </w:r>
            <w:r>
              <w:t xml:space="preserve">A </w:t>
            </w:r>
            <w:r>
              <w:rPr>
                <w:rFonts w:hint="eastAsia"/>
              </w:rPr>
              <w:t>A</w:t>
            </w:r>
            <w:r>
              <w:t>TDC</w:t>
            </w:r>
            <w:r>
              <w:rPr>
                <w:rFonts w:hint="eastAsia"/>
              </w:rPr>
              <w:t>）</w:t>
            </w:r>
          </w:p>
        </w:tc>
        <w:tc>
          <w:tcPr>
            <w:tcW w:w="1181" w:type="pct"/>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pPr>
            <w:r>
              <w:rPr>
                <w:rFonts w:hint="eastAsia"/>
              </w:rPr>
              <w:t>-</w:t>
            </w:r>
            <w:r>
              <w:t>23.5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818" w:type="pct"/>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pPr>
            <w:r>
              <w:rPr>
                <w:rFonts w:hint="eastAsia"/>
              </w:rPr>
              <w:t>燃油消耗量（毫克</w:t>
            </w:r>
            <w:r>
              <w:t>/</w:t>
            </w:r>
            <w:r>
              <w:rPr>
                <w:rFonts w:hint="eastAsia"/>
              </w:rPr>
              <w:t>循环）</w:t>
            </w:r>
          </w:p>
        </w:tc>
        <w:tc>
          <w:tcPr>
            <w:tcW w:w="1181" w:type="pct"/>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pPr>
            <w:r>
              <w:rPr>
                <w:rFonts w:hint="eastAsia"/>
              </w:rPr>
              <w:t>2</w:t>
            </w:r>
            <w:r>
              <w:t>5.17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818" w:type="pct"/>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pPr>
            <w:r>
              <w:rPr>
                <w:rFonts w:hint="eastAsia"/>
              </w:rPr>
              <w:t>外部E</w:t>
            </w:r>
            <w:r>
              <w:t>GR</w:t>
            </w:r>
            <w:r>
              <w:rPr>
                <w:rFonts w:hint="eastAsia"/>
              </w:rPr>
              <w:t>率（质量百分比）</w:t>
            </w:r>
          </w:p>
        </w:tc>
        <w:tc>
          <w:tcPr>
            <w:tcW w:w="1181" w:type="pct"/>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pPr>
            <w:r>
              <w:rPr>
                <w:rFonts w:hint="eastAsia"/>
              </w:rPr>
              <w:t>2</w:t>
            </w:r>
            <w:r>
              <w:t>1.98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818" w:type="pct"/>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pPr>
            <w:r>
              <w:rPr>
                <w:rFonts w:hint="eastAsia"/>
              </w:rPr>
              <w:t>A</w:t>
            </w:r>
            <w:r>
              <w:t>I10 (</w:t>
            </w:r>
            <w:r>
              <w:rPr>
                <w:rFonts w:hint="eastAsia"/>
              </w:rPr>
              <w:t>°CA</w:t>
            </w:r>
            <w:r>
              <w:t xml:space="preserve"> ATDC</w:t>
            </w:r>
            <w:r>
              <w:rPr>
                <w:rFonts w:hint="eastAsia"/>
              </w:rPr>
              <w:t>)</w:t>
            </w:r>
          </w:p>
        </w:tc>
        <w:tc>
          <w:tcPr>
            <w:tcW w:w="1181" w:type="pct"/>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pPr>
            <w:r>
              <w:rPr>
                <w:rFonts w:hint="eastAsia"/>
              </w:rPr>
              <w:t>-</w:t>
            </w:r>
            <w:r>
              <w:t>1.36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818" w:type="pct"/>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pPr>
            <w:r>
              <w:rPr>
                <w:rFonts w:hint="eastAsia"/>
              </w:rPr>
              <w:t>A</w:t>
            </w:r>
            <w:r>
              <w:t>I50 (</w:t>
            </w:r>
            <w:r>
              <w:rPr>
                <w:rFonts w:hint="eastAsia"/>
              </w:rPr>
              <w:t>°CA</w:t>
            </w:r>
            <w:r>
              <w:t xml:space="preserve"> ATDC</w:t>
            </w:r>
            <w:r>
              <w:rPr>
                <w:rFonts w:hint="eastAsia"/>
              </w:rPr>
              <w:t>)</w:t>
            </w:r>
          </w:p>
        </w:tc>
        <w:tc>
          <w:tcPr>
            <w:tcW w:w="1181" w:type="pct"/>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pPr>
            <w:r>
              <w:rPr>
                <w:rFonts w:hint="eastAsia"/>
              </w:rPr>
              <w:t>8</w:t>
            </w:r>
            <w:r>
              <w:t>.07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818" w:type="pct"/>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pPr>
            <w:r>
              <w:rPr>
                <w:rFonts w:hint="eastAsia"/>
              </w:rPr>
              <w:t>A</w:t>
            </w:r>
            <w:r>
              <w:t>I90 (</w:t>
            </w:r>
            <w:r>
              <w:rPr>
                <w:rFonts w:hint="eastAsia"/>
              </w:rPr>
              <w:t>°CA</w:t>
            </w:r>
            <w:r>
              <w:t xml:space="preserve"> ATDC</w:t>
            </w:r>
            <w:r>
              <w:rPr>
                <w:rFonts w:hint="eastAsia"/>
              </w:rPr>
              <w:t>)</w:t>
            </w:r>
          </w:p>
        </w:tc>
        <w:tc>
          <w:tcPr>
            <w:tcW w:w="1181" w:type="pct"/>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pPr>
            <w:r>
              <w:rPr>
                <w:rFonts w:hint="eastAsia"/>
              </w:rPr>
              <w:t>2</w:t>
            </w:r>
            <w:r>
              <w:t>4.64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818" w:type="pct"/>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pPr>
            <w:r>
              <w:rPr>
                <w:rFonts w:hint="eastAsia"/>
              </w:rPr>
              <w:t>最大缸压（bar）</w:t>
            </w:r>
          </w:p>
        </w:tc>
        <w:tc>
          <w:tcPr>
            <w:tcW w:w="1181" w:type="pct"/>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pPr>
            <w:r>
              <w:t>81.91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818" w:type="pct"/>
            <w:tcBorders>
              <w:bottom w:val="single" w:color="000000" w:sz="12" w:space="0"/>
            </w:tcBorders>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pPr>
            <w:r>
              <w:rPr>
                <w:rFonts w:hint="eastAsia"/>
              </w:rPr>
              <w:t>最大缸压所在时刻（°CA</w:t>
            </w:r>
            <w:r>
              <w:t xml:space="preserve"> ATDC</w:t>
            </w:r>
            <w:r>
              <w:rPr>
                <w:rFonts w:hint="eastAsia"/>
              </w:rPr>
              <w:t>）</w:t>
            </w:r>
          </w:p>
        </w:tc>
        <w:tc>
          <w:tcPr>
            <w:tcW w:w="1181" w:type="pct"/>
            <w:tcBorders>
              <w:bottom w:val="single" w:color="000000" w:sz="12" w:space="0"/>
            </w:tcBorders>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pPr>
            <w:r>
              <w:rPr>
                <w:rFonts w:hint="eastAsia"/>
              </w:rPr>
              <w:t>1</w:t>
            </w:r>
            <w:r>
              <w:t>2.40</w:t>
            </w:r>
          </w:p>
        </w:tc>
      </w:tr>
    </w:tbl>
    <w:p>
      <w:pPr>
        <w:spacing w:line="360" w:lineRule="auto"/>
        <w:ind w:firstLine="420" w:firstLineChars="200"/>
        <w:jc w:val="left"/>
        <w:rPr>
          <w:rFonts w:hint="eastAsia" w:eastAsia="宋体"/>
          <w:lang w:eastAsia="zh-CN"/>
        </w:rPr>
      </w:pPr>
      <w:r>
        <w:rPr>
          <w:rFonts w:hint="eastAsia"/>
        </w:rPr>
        <w:t>仿真模型壁面温度设置如表</w:t>
      </w:r>
      <w:r>
        <w:t>6</w:t>
      </w:r>
      <w:r>
        <w:rPr>
          <w:rFonts w:hint="eastAsia"/>
        </w:rPr>
        <w:t>所示</w:t>
      </w:r>
      <w:r>
        <w:rPr>
          <w:rFonts w:hint="eastAsia"/>
          <w:lang w:eastAsia="zh-CN"/>
        </w:rPr>
        <w:t>：</w:t>
      </w:r>
    </w:p>
    <w:p>
      <w:pPr>
        <w:spacing w:line="360" w:lineRule="auto"/>
        <w:ind w:firstLine="420" w:firstLineChars="200"/>
        <w:jc w:val="center"/>
      </w:pPr>
      <w:r>
        <w:rPr>
          <w:rFonts w:hint="eastAsia"/>
        </w:rPr>
        <w:t>表</w:t>
      </w:r>
      <w:r>
        <w:t xml:space="preserve">6 </w:t>
      </w:r>
      <w:r>
        <w:rPr>
          <w:rFonts w:hint="eastAsia"/>
        </w:rPr>
        <w:t>壁面温度设置</w:t>
      </w:r>
    </w:p>
    <w:tbl>
      <w:tblPr>
        <w:tblStyle w:val="7"/>
        <w:tblW w:w="5000" w:type="pct"/>
        <w:jc w:val="center"/>
        <w:tblCellSpacing w:w="0" w:type="dxa"/>
        <w:tblLayout w:type="autofit"/>
        <w:tblCellMar>
          <w:top w:w="0" w:type="dxa"/>
          <w:left w:w="0" w:type="dxa"/>
          <w:bottom w:w="0" w:type="dxa"/>
          <w:right w:w="0" w:type="dxa"/>
        </w:tblCellMar>
      </w:tblPr>
      <w:tblGrid>
        <w:gridCol w:w="4297"/>
        <w:gridCol w:w="4297"/>
      </w:tblGrid>
      <w:tr>
        <w:tblPrEx>
          <w:tblCellMar>
            <w:top w:w="0" w:type="dxa"/>
            <w:left w:w="0" w:type="dxa"/>
            <w:bottom w:w="0" w:type="dxa"/>
            <w:right w:w="0" w:type="dxa"/>
          </w:tblCellMar>
        </w:tblPrEx>
        <w:trPr>
          <w:trHeight w:val="420" w:hRule="atLeast"/>
          <w:tblCellSpacing w:w="0" w:type="dxa"/>
          <w:jc w:val="center"/>
        </w:trPr>
        <w:tc>
          <w:tcPr>
            <w:tcW w:w="2500" w:type="pct"/>
            <w:tcBorders>
              <w:top w:val="single" w:color="000000" w:sz="12" w:space="0"/>
            </w:tcBorders>
            <w:shd w:val="clear" w:color="auto" w:fill="auto"/>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rPr>
                <w:rFonts w:hint="eastAsia"/>
              </w:rPr>
              <w:t>壁面区域</w:t>
            </w:r>
          </w:p>
        </w:tc>
        <w:tc>
          <w:tcPr>
            <w:tcW w:w="2500" w:type="pct"/>
            <w:tcBorders>
              <w:top w:val="single" w:color="000000" w:sz="12" w:space="0"/>
            </w:tcBorders>
            <w:shd w:val="clear" w:color="auto" w:fill="auto"/>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rPr>
                <w:rFonts w:hint="eastAsia"/>
              </w:rPr>
              <w:t>数值</w:t>
            </w:r>
          </w:p>
        </w:tc>
      </w:tr>
      <w:tr>
        <w:tblPrEx>
          <w:tblCellMar>
            <w:top w:w="0" w:type="dxa"/>
            <w:left w:w="0" w:type="dxa"/>
            <w:bottom w:w="0" w:type="dxa"/>
            <w:right w:w="0" w:type="dxa"/>
          </w:tblCellMar>
        </w:tblPrEx>
        <w:trPr>
          <w:trHeight w:val="420" w:hRule="atLeast"/>
          <w:tblCellSpacing w:w="0" w:type="dxa"/>
          <w:jc w:val="center"/>
        </w:trPr>
        <w:tc>
          <w:tcPr>
            <w:tcW w:w="2500" w:type="pct"/>
            <w:tcBorders>
              <w:top w:val="single" w:color="000000" w:sz="4" w:space="0"/>
            </w:tcBorders>
            <w:shd w:val="clear" w:color="auto" w:fill="auto"/>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t>活塞</w:t>
            </w:r>
            <w:r>
              <w:rPr>
                <w:rFonts w:hint="eastAsia"/>
              </w:rPr>
              <w:t>（K）</w:t>
            </w:r>
          </w:p>
        </w:tc>
        <w:tc>
          <w:tcPr>
            <w:tcW w:w="2500" w:type="pct"/>
            <w:tcBorders>
              <w:top w:val="single" w:color="000000" w:sz="4" w:space="0"/>
            </w:tcBorders>
            <w:shd w:val="clear" w:color="auto" w:fill="auto"/>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t>473.15</w:t>
            </w:r>
          </w:p>
        </w:tc>
      </w:tr>
      <w:tr>
        <w:tblPrEx>
          <w:tblCellMar>
            <w:top w:w="0" w:type="dxa"/>
            <w:left w:w="0" w:type="dxa"/>
            <w:bottom w:w="0" w:type="dxa"/>
            <w:right w:w="0" w:type="dxa"/>
          </w:tblCellMar>
        </w:tblPrEx>
        <w:trPr>
          <w:trHeight w:val="420" w:hRule="atLeast"/>
          <w:tblCellSpacing w:w="0" w:type="dxa"/>
          <w:jc w:val="center"/>
        </w:trPr>
        <w:tc>
          <w:tcPr>
            <w:tcW w:w="2500" w:type="pct"/>
            <w:shd w:val="clear" w:color="auto" w:fill="auto"/>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t>缸壁</w:t>
            </w:r>
            <w:r>
              <w:rPr>
                <w:rFonts w:hint="eastAsia"/>
              </w:rPr>
              <w:t>（K）</w:t>
            </w:r>
          </w:p>
        </w:tc>
        <w:tc>
          <w:tcPr>
            <w:tcW w:w="2500" w:type="pct"/>
            <w:shd w:val="clear" w:color="auto" w:fill="auto"/>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t>413.15</w:t>
            </w:r>
          </w:p>
        </w:tc>
      </w:tr>
      <w:tr>
        <w:tblPrEx>
          <w:tblCellMar>
            <w:top w:w="0" w:type="dxa"/>
            <w:left w:w="0" w:type="dxa"/>
            <w:bottom w:w="0" w:type="dxa"/>
            <w:right w:w="0" w:type="dxa"/>
          </w:tblCellMar>
        </w:tblPrEx>
        <w:trPr>
          <w:trHeight w:val="420" w:hRule="atLeast"/>
          <w:tblCellSpacing w:w="0" w:type="dxa"/>
          <w:jc w:val="center"/>
        </w:trPr>
        <w:tc>
          <w:tcPr>
            <w:tcW w:w="2500" w:type="pct"/>
            <w:shd w:val="clear" w:color="auto" w:fill="auto"/>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t>缸盖</w:t>
            </w:r>
            <w:r>
              <w:rPr>
                <w:rFonts w:hint="eastAsia"/>
              </w:rPr>
              <w:t>（K）</w:t>
            </w:r>
          </w:p>
        </w:tc>
        <w:tc>
          <w:tcPr>
            <w:tcW w:w="2500" w:type="pct"/>
            <w:shd w:val="clear" w:color="auto" w:fill="auto"/>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t>453.15</w:t>
            </w:r>
          </w:p>
        </w:tc>
      </w:tr>
      <w:tr>
        <w:tblPrEx>
          <w:tblCellMar>
            <w:top w:w="0" w:type="dxa"/>
            <w:left w:w="0" w:type="dxa"/>
            <w:bottom w:w="0" w:type="dxa"/>
            <w:right w:w="0" w:type="dxa"/>
          </w:tblCellMar>
        </w:tblPrEx>
        <w:trPr>
          <w:trHeight w:val="420" w:hRule="atLeast"/>
          <w:tblCellSpacing w:w="0" w:type="dxa"/>
          <w:jc w:val="center"/>
        </w:trPr>
        <w:tc>
          <w:tcPr>
            <w:tcW w:w="2500" w:type="pct"/>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t>火花塞</w:t>
            </w:r>
            <w:r>
              <w:rPr>
                <w:rFonts w:hint="eastAsia"/>
              </w:rPr>
              <w:t>（K）</w:t>
            </w:r>
          </w:p>
        </w:tc>
        <w:tc>
          <w:tcPr>
            <w:tcW w:w="2500" w:type="pct"/>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t>600</w:t>
            </w:r>
          </w:p>
        </w:tc>
      </w:tr>
      <w:tr>
        <w:tblPrEx>
          <w:tblCellMar>
            <w:top w:w="0" w:type="dxa"/>
            <w:left w:w="0" w:type="dxa"/>
            <w:bottom w:w="0" w:type="dxa"/>
            <w:right w:w="0" w:type="dxa"/>
          </w:tblCellMar>
        </w:tblPrEx>
        <w:trPr>
          <w:trHeight w:val="600" w:hRule="atLeast"/>
          <w:tblCellSpacing w:w="0" w:type="dxa"/>
          <w:jc w:val="center"/>
        </w:trPr>
        <w:tc>
          <w:tcPr>
            <w:tcW w:w="2500" w:type="pct"/>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t>火花塞电极</w:t>
            </w:r>
            <w:r>
              <w:rPr>
                <w:rFonts w:hint="eastAsia"/>
              </w:rPr>
              <w:t>（K）</w:t>
            </w:r>
          </w:p>
        </w:tc>
        <w:tc>
          <w:tcPr>
            <w:tcW w:w="2500" w:type="pct"/>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t>650</w:t>
            </w:r>
          </w:p>
        </w:tc>
      </w:tr>
      <w:tr>
        <w:tblPrEx>
          <w:tblCellMar>
            <w:top w:w="0" w:type="dxa"/>
            <w:left w:w="0" w:type="dxa"/>
            <w:bottom w:w="0" w:type="dxa"/>
            <w:right w:w="0" w:type="dxa"/>
          </w:tblCellMar>
        </w:tblPrEx>
        <w:trPr>
          <w:trHeight w:val="420" w:hRule="atLeast"/>
          <w:tblCellSpacing w:w="0" w:type="dxa"/>
          <w:jc w:val="center"/>
        </w:trPr>
        <w:tc>
          <w:tcPr>
            <w:tcW w:w="2500" w:type="pct"/>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t>排气道</w:t>
            </w:r>
            <w:r>
              <w:rPr>
                <w:rFonts w:hint="eastAsia"/>
              </w:rPr>
              <w:t>（K）</w:t>
            </w:r>
          </w:p>
        </w:tc>
        <w:tc>
          <w:tcPr>
            <w:tcW w:w="2500" w:type="pct"/>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t>443.15</w:t>
            </w:r>
          </w:p>
        </w:tc>
      </w:tr>
      <w:tr>
        <w:tblPrEx>
          <w:tblCellMar>
            <w:top w:w="0" w:type="dxa"/>
            <w:left w:w="0" w:type="dxa"/>
            <w:bottom w:w="0" w:type="dxa"/>
            <w:right w:w="0" w:type="dxa"/>
          </w:tblCellMar>
        </w:tblPrEx>
        <w:trPr>
          <w:trHeight w:val="132" w:hRule="atLeast"/>
          <w:tblCellSpacing w:w="0" w:type="dxa"/>
          <w:jc w:val="center"/>
        </w:trPr>
        <w:tc>
          <w:tcPr>
            <w:tcW w:w="2500" w:type="pct"/>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t>排气门</w:t>
            </w:r>
            <w:r>
              <w:rPr>
                <w:rFonts w:hint="eastAsia"/>
              </w:rPr>
              <w:t>（K）</w:t>
            </w:r>
          </w:p>
        </w:tc>
        <w:tc>
          <w:tcPr>
            <w:tcW w:w="2500" w:type="pct"/>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t>833.15（平均</w:t>
            </w:r>
            <w:r>
              <w:rPr>
                <w:rFonts w:hint="eastAsia"/>
              </w:rPr>
              <w:t>值</w:t>
            </w:r>
            <w:r>
              <w:t>）</w:t>
            </w:r>
          </w:p>
        </w:tc>
      </w:tr>
      <w:tr>
        <w:tblPrEx>
          <w:tblCellMar>
            <w:top w:w="0" w:type="dxa"/>
            <w:left w:w="0" w:type="dxa"/>
            <w:bottom w:w="0" w:type="dxa"/>
            <w:right w:w="0" w:type="dxa"/>
          </w:tblCellMar>
        </w:tblPrEx>
        <w:trPr>
          <w:trHeight w:val="420" w:hRule="atLeast"/>
          <w:tblCellSpacing w:w="0" w:type="dxa"/>
          <w:jc w:val="center"/>
        </w:trPr>
        <w:tc>
          <w:tcPr>
            <w:tcW w:w="2500" w:type="pct"/>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t>进气道</w:t>
            </w:r>
            <w:r>
              <w:rPr>
                <w:rFonts w:hint="eastAsia"/>
              </w:rPr>
              <w:t>（K）</w:t>
            </w:r>
          </w:p>
        </w:tc>
        <w:tc>
          <w:tcPr>
            <w:tcW w:w="2500" w:type="pct"/>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t>373.15</w:t>
            </w:r>
          </w:p>
        </w:tc>
      </w:tr>
      <w:tr>
        <w:tblPrEx>
          <w:tblCellMar>
            <w:top w:w="0" w:type="dxa"/>
            <w:left w:w="0" w:type="dxa"/>
            <w:bottom w:w="0" w:type="dxa"/>
            <w:right w:w="0" w:type="dxa"/>
          </w:tblCellMar>
        </w:tblPrEx>
        <w:trPr>
          <w:trHeight w:val="97" w:hRule="atLeast"/>
          <w:tblCellSpacing w:w="0" w:type="dxa"/>
          <w:jc w:val="center"/>
        </w:trPr>
        <w:tc>
          <w:tcPr>
            <w:tcW w:w="2500" w:type="pct"/>
            <w:tcBorders>
              <w:bottom w:val="single" w:color="000000" w:sz="12" w:space="0"/>
            </w:tcBorders>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t>进气门</w:t>
            </w:r>
            <w:r>
              <w:rPr>
                <w:rFonts w:hint="eastAsia"/>
              </w:rPr>
              <w:t>（K）</w:t>
            </w:r>
          </w:p>
        </w:tc>
        <w:tc>
          <w:tcPr>
            <w:tcW w:w="2500" w:type="pct"/>
            <w:tcBorders>
              <w:bottom w:val="single" w:color="000000" w:sz="12" w:space="0"/>
            </w:tcBorders>
            <w:tcMar>
              <w:top w:w="72" w:type="dxa"/>
              <w:left w:w="144" w:type="dxa"/>
              <w:bottom w:w="72" w:type="dxa"/>
              <w:right w:w="144" w:type="dxa"/>
            </w:tcMar>
          </w:tcPr>
          <w:p>
            <w:pPr>
              <w:keepNext w:val="0"/>
              <w:keepLines w:val="0"/>
              <w:pageBreakBefore w:val="0"/>
              <w:widowControl w:val="0"/>
              <w:kinsoku/>
              <w:wordWrap/>
              <w:overflowPunct/>
              <w:topLinePunct w:val="0"/>
              <w:autoSpaceDE/>
              <w:autoSpaceDN/>
              <w:bidi w:val="0"/>
              <w:adjustRightInd/>
              <w:snapToGrid/>
              <w:spacing w:line="360" w:lineRule="exact"/>
              <w:ind w:firstLine="420" w:firstLineChars="200"/>
              <w:jc w:val="center"/>
              <w:textAlignment w:val="auto"/>
            </w:pPr>
            <w:r>
              <w:t>623.15（平均</w:t>
            </w:r>
            <w:r>
              <w:rPr>
                <w:rFonts w:hint="eastAsia"/>
              </w:rPr>
              <w:t>值</w:t>
            </w:r>
            <w:r>
              <w:t>）</w:t>
            </w:r>
          </w:p>
        </w:tc>
      </w:tr>
    </w:tbl>
    <w:p>
      <w:pPr>
        <w:spacing w:line="360" w:lineRule="auto"/>
        <w:ind w:firstLine="420" w:firstLineChars="200"/>
        <w:jc w:val="left"/>
        <w:rPr>
          <w:rFonts w:hint="eastAsia"/>
        </w:rPr>
      </w:pPr>
    </w:p>
    <w:p>
      <w:pPr>
        <w:spacing w:line="360" w:lineRule="auto"/>
        <w:ind w:firstLine="420" w:firstLineChars="200"/>
        <w:jc w:val="left"/>
      </w:pPr>
      <w:r>
        <w:rPr>
          <w:rFonts w:hint="eastAsia"/>
        </w:rPr>
        <w:t>实验数据中没有测量所有的温度/压力数据，因此仿真的初始温度/压力是参考了4</w:t>
      </w:r>
      <w:r>
        <w:t xml:space="preserve">76ZQE </w:t>
      </w:r>
      <w:r>
        <w:rPr>
          <w:rFonts w:hint="eastAsia"/>
        </w:rPr>
        <w:t>已校准的G</w:t>
      </w:r>
      <w:r>
        <w:t>T-S</w:t>
      </w:r>
      <w:r>
        <w:rPr>
          <w:rFonts w:hint="eastAsia"/>
        </w:rPr>
        <w:t>uite一维仿真模型。壁面温度是参考了中等转速下的</w:t>
      </w:r>
      <w:r>
        <w:t>CAE</w:t>
      </w:r>
      <w:r>
        <w:rPr>
          <w:rFonts w:hint="eastAsia"/>
        </w:rPr>
        <w:t>计算结果。气体成分可以根据实验的E</w:t>
      </w:r>
      <w:r>
        <w:t>GR</w:t>
      </w:r>
      <w:r>
        <w:rPr>
          <w:rFonts w:hint="eastAsia"/>
        </w:rPr>
        <w:t>数据以及lambda数据进行预估。</w:t>
      </w:r>
    </w:p>
    <w:p>
      <w:pPr>
        <w:spacing w:line="360" w:lineRule="auto"/>
        <w:ind w:firstLine="420" w:firstLineChars="200"/>
        <w:jc w:val="left"/>
      </w:pPr>
      <w:r>
        <w:rPr>
          <w:rFonts w:hint="eastAsia"/>
        </w:rPr>
        <w:t>为了减少计算误差，在本次研究中所有仿真迭代过程，算力配置均为Intel</w:t>
      </w:r>
      <w:r>
        <w:t xml:space="preserve"> </w:t>
      </w:r>
      <w:r>
        <w:rPr>
          <w:rFonts w:hint="eastAsia"/>
        </w:rPr>
        <w:t>Dual</w:t>
      </w:r>
      <w:r>
        <w:t xml:space="preserve"> X</w:t>
      </w:r>
      <w:r>
        <w:rPr>
          <w:rFonts w:hint="eastAsia"/>
        </w:rPr>
        <w:t>eon</w:t>
      </w:r>
      <w:r>
        <w:t xml:space="preserve"> 6226R </w:t>
      </w:r>
      <w:r>
        <w:rPr>
          <w:rFonts w:hint="eastAsia"/>
        </w:rPr>
        <w:t>（3</w:t>
      </w:r>
      <w:r>
        <w:t>2</w:t>
      </w:r>
      <w:r>
        <w:rPr>
          <w:rFonts w:hint="eastAsia"/>
        </w:rPr>
        <w:t>核，超线程6</w:t>
      </w:r>
      <w:r>
        <w:t xml:space="preserve">4 </w:t>
      </w:r>
      <w:r>
        <w:rPr>
          <w:rFonts w:hint="eastAsia"/>
        </w:rPr>
        <w:t>核，2</w:t>
      </w:r>
      <w:r>
        <w:t>56GB</w:t>
      </w:r>
      <w:r>
        <w:rPr>
          <w:rFonts w:hint="eastAsia"/>
        </w:rPr>
        <w:t xml:space="preserve">， </w:t>
      </w:r>
      <w:r>
        <w:t>3.30 GH</w:t>
      </w:r>
      <w:r>
        <w:rPr>
          <w:rFonts w:hint="eastAsia"/>
        </w:rPr>
        <w:t>z）。</w:t>
      </w:r>
    </w:p>
    <w:p>
      <w:r>
        <w:rPr>
          <w:b/>
          <w:bCs/>
          <w:sz w:val="28"/>
          <w:szCs w:val="28"/>
        </w:rPr>
        <w:t>3.</w:t>
      </w:r>
      <w:r>
        <w:rPr>
          <w:rFonts w:hint="eastAsia"/>
          <w:b/>
          <w:bCs/>
          <w:sz w:val="28"/>
          <w:szCs w:val="28"/>
        </w:rPr>
        <w:t>结果与分析</w:t>
      </w:r>
    </w:p>
    <w:p>
      <w:pPr>
        <w:spacing w:line="360" w:lineRule="auto"/>
        <w:jc w:val="left"/>
        <w:rPr>
          <w:b/>
          <w:bCs/>
          <w:sz w:val="24"/>
          <w:szCs w:val="24"/>
        </w:rPr>
      </w:pPr>
      <w:r>
        <w:rPr>
          <w:b/>
          <w:bCs/>
          <w:sz w:val="24"/>
          <w:szCs w:val="24"/>
        </w:rPr>
        <w:t xml:space="preserve">3.1 </w:t>
      </w:r>
      <w:r>
        <w:rPr>
          <w:rFonts w:hint="eastAsia"/>
          <w:b/>
          <w:bCs/>
          <w:sz w:val="24"/>
          <w:szCs w:val="24"/>
        </w:rPr>
        <w:t>仿真验证原机模型</w:t>
      </w:r>
    </w:p>
    <w:p>
      <w:pPr>
        <w:spacing w:line="360" w:lineRule="auto"/>
        <w:ind w:firstLine="420" w:firstLineChars="200"/>
        <w:jc w:val="left"/>
      </w:pPr>
      <w:r>
        <w:rPr>
          <w:rFonts w:hint="eastAsia"/>
        </w:rPr>
        <w:t>在进行优化设计前，需要对原机模型进行仿真的验证。其中，已校准的4</w:t>
      </w:r>
      <w:r>
        <w:t>76ZQE</w:t>
      </w:r>
      <w:r>
        <w:rPr>
          <w:rFonts w:hint="eastAsia"/>
        </w:rPr>
        <w:t xml:space="preserve"> </w:t>
      </w:r>
      <w:r>
        <w:t>GT-S</w:t>
      </w:r>
      <w:r>
        <w:rPr>
          <w:rFonts w:hint="eastAsia"/>
        </w:rPr>
        <w:t>uite一维模型将用于验证原机设计的三维模型。</w:t>
      </w:r>
    </w:p>
    <w:p>
      <w:pPr>
        <w:spacing w:line="360" w:lineRule="auto"/>
        <w:ind w:firstLine="420" w:firstLineChars="200"/>
        <w:jc w:val="center"/>
      </w:pPr>
      <w:r>
        <w:rPr>
          <w:rFonts w:hint="eastAsia"/>
        </w:rPr>
        <w:t>表7</w:t>
      </w:r>
      <w:r>
        <w:t xml:space="preserve"> BYD 476ZQE 2600RPM BTE</w:t>
      </w:r>
      <w:r>
        <w:rPr>
          <w:rFonts w:hint="eastAsia"/>
        </w:rPr>
        <w:t>工况点燃烧过程对比</w:t>
      </w:r>
    </w:p>
    <w:tbl>
      <w:tblPr>
        <w:tblStyle w:val="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19"/>
        <w:gridCol w:w="1701"/>
        <w:gridCol w:w="1843"/>
        <w:gridCol w:w="16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19" w:type="dxa"/>
            <w:tcBorders>
              <w:top w:val="single" w:color="000000" w:sz="12" w:space="0"/>
              <w:bottom w:val="single" w:color="000000" w:sz="4" w:space="0"/>
            </w:tcBorders>
          </w:tcPr>
          <w:p>
            <w:pPr>
              <w:spacing w:line="360" w:lineRule="auto"/>
              <w:jc w:val="left"/>
            </w:pPr>
          </w:p>
        </w:tc>
        <w:tc>
          <w:tcPr>
            <w:tcW w:w="1701" w:type="dxa"/>
            <w:tcBorders>
              <w:top w:val="single" w:color="000000" w:sz="12" w:space="0"/>
              <w:bottom w:val="single" w:color="000000" w:sz="4" w:space="0"/>
            </w:tcBorders>
          </w:tcPr>
          <w:p>
            <w:pPr>
              <w:spacing w:line="360" w:lineRule="auto"/>
              <w:jc w:val="left"/>
            </w:pPr>
            <w:r>
              <w:rPr>
                <w:rFonts w:hint="eastAsia"/>
              </w:rPr>
              <w:t>实验数据</w:t>
            </w:r>
          </w:p>
        </w:tc>
        <w:tc>
          <w:tcPr>
            <w:tcW w:w="1843" w:type="dxa"/>
            <w:tcBorders>
              <w:top w:val="single" w:color="000000" w:sz="12" w:space="0"/>
              <w:bottom w:val="single" w:color="000000" w:sz="4" w:space="0"/>
            </w:tcBorders>
          </w:tcPr>
          <w:p>
            <w:pPr>
              <w:spacing w:line="360" w:lineRule="auto"/>
              <w:jc w:val="left"/>
            </w:pPr>
            <w:r>
              <w:rPr>
                <w:rFonts w:hint="eastAsia"/>
              </w:rPr>
              <w:t>一维仿真数据</w:t>
            </w:r>
          </w:p>
        </w:tc>
        <w:tc>
          <w:tcPr>
            <w:tcW w:w="1633" w:type="dxa"/>
            <w:tcBorders>
              <w:top w:val="single" w:color="000000" w:sz="12" w:space="0"/>
              <w:bottom w:val="single" w:color="000000" w:sz="4" w:space="0"/>
            </w:tcBorders>
          </w:tcPr>
          <w:p>
            <w:pPr>
              <w:spacing w:line="360" w:lineRule="auto"/>
              <w:jc w:val="left"/>
            </w:pPr>
            <w:r>
              <w:rPr>
                <w:rFonts w:hint="eastAsia"/>
              </w:rPr>
              <w:t>三维仿真数据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19" w:type="dxa"/>
            <w:tcBorders>
              <w:top w:val="single" w:color="000000" w:sz="4" w:space="0"/>
            </w:tcBorders>
          </w:tcPr>
          <w:p>
            <w:pPr>
              <w:spacing w:line="360" w:lineRule="auto"/>
              <w:jc w:val="left"/>
            </w:pPr>
            <w:r>
              <w:rPr>
                <w:rFonts w:hint="eastAsia"/>
              </w:rPr>
              <w:t>转数</w:t>
            </w:r>
          </w:p>
        </w:tc>
        <w:tc>
          <w:tcPr>
            <w:tcW w:w="1701" w:type="dxa"/>
            <w:tcBorders>
              <w:top w:val="single" w:color="000000" w:sz="4" w:space="0"/>
            </w:tcBorders>
          </w:tcPr>
          <w:p>
            <w:pPr>
              <w:spacing w:line="360" w:lineRule="auto"/>
              <w:jc w:val="left"/>
            </w:pPr>
            <w:r>
              <w:rPr>
                <w:rFonts w:hint="eastAsia"/>
              </w:rPr>
              <w:t>2</w:t>
            </w:r>
            <w:r>
              <w:t>600</w:t>
            </w:r>
          </w:p>
        </w:tc>
        <w:tc>
          <w:tcPr>
            <w:tcW w:w="1843" w:type="dxa"/>
            <w:tcBorders>
              <w:top w:val="single" w:color="000000" w:sz="4" w:space="0"/>
            </w:tcBorders>
          </w:tcPr>
          <w:p>
            <w:pPr>
              <w:spacing w:line="360" w:lineRule="auto"/>
              <w:jc w:val="left"/>
            </w:pPr>
            <w:r>
              <w:rPr>
                <w:rFonts w:hint="eastAsia"/>
              </w:rPr>
              <w:t>2</w:t>
            </w:r>
            <w:r>
              <w:t>600</w:t>
            </w:r>
          </w:p>
        </w:tc>
        <w:tc>
          <w:tcPr>
            <w:tcW w:w="1633" w:type="dxa"/>
            <w:tcBorders>
              <w:top w:val="single" w:color="000000" w:sz="4" w:space="0"/>
            </w:tcBorders>
          </w:tcPr>
          <w:p>
            <w:pPr>
              <w:spacing w:line="360" w:lineRule="auto"/>
              <w:jc w:val="left"/>
            </w:pPr>
            <w:r>
              <w:rPr>
                <w:rFonts w:hint="eastAsia"/>
              </w:rPr>
              <w:t>2</w:t>
            </w:r>
            <w:r>
              <w:t>600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19" w:type="dxa"/>
          </w:tcPr>
          <w:p>
            <w:pPr>
              <w:spacing w:line="360" w:lineRule="auto"/>
              <w:jc w:val="left"/>
            </w:pPr>
            <w:r>
              <w:rPr>
                <w:rFonts w:hint="eastAsia"/>
              </w:rPr>
              <w:t>点火时刻（°C</w:t>
            </w:r>
            <w:r>
              <w:t xml:space="preserve">A </w:t>
            </w:r>
            <w:r>
              <w:rPr>
                <w:rFonts w:hint="eastAsia"/>
              </w:rPr>
              <w:t>A</w:t>
            </w:r>
            <w:r>
              <w:t>TDC</w:t>
            </w:r>
            <w:r>
              <w:rPr>
                <w:rFonts w:hint="eastAsia"/>
              </w:rPr>
              <w:t>）</w:t>
            </w:r>
          </w:p>
        </w:tc>
        <w:tc>
          <w:tcPr>
            <w:tcW w:w="1701" w:type="dxa"/>
          </w:tcPr>
          <w:p>
            <w:pPr>
              <w:spacing w:line="360" w:lineRule="auto"/>
              <w:jc w:val="left"/>
            </w:pPr>
            <w:r>
              <w:rPr>
                <w:rFonts w:hint="eastAsia"/>
              </w:rPr>
              <w:t>-</w:t>
            </w:r>
            <w:r>
              <w:t>23.5</w:t>
            </w:r>
          </w:p>
        </w:tc>
        <w:tc>
          <w:tcPr>
            <w:tcW w:w="1843" w:type="dxa"/>
          </w:tcPr>
          <w:p>
            <w:pPr>
              <w:spacing w:line="360" w:lineRule="auto"/>
              <w:jc w:val="left"/>
            </w:pPr>
            <w:r>
              <w:rPr>
                <w:rFonts w:hint="eastAsia"/>
              </w:rPr>
              <w:t>-</w:t>
            </w:r>
            <w:r>
              <w:t>19.058</w:t>
            </w:r>
          </w:p>
        </w:tc>
        <w:tc>
          <w:tcPr>
            <w:tcW w:w="1633" w:type="dxa"/>
          </w:tcPr>
          <w:p>
            <w:pPr>
              <w:spacing w:line="360" w:lineRule="auto"/>
              <w:jc w:val="left"/>
            </w:pPr>
            <w:r>
              <w:rPr>
                <w:rFonts w:hint="eastAsia"/>
              </w:rPr>
              <w:t>-</w:t>
            </w:r>
            <w: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19" w:type="dxa"/>
          </w:tcPr>
          <w:p>
            <w:pPr>
              <w:spacing w:line="360" w:lineRule="auto"/>
              <w:jc w:val="left"/>
            </w:pPr>
            <w:r>
              <w:rPr>
                <w:rFonts w:hint="eastAsia"/>
              </w:rPr>
              <w:t>燃油消耗量（毫克</w:t>
            </w:r>
            <w:r>
              <w:t>/</w:t>
            </w:r>
            <w:r>
              <w:rPr>
                <w:rFonts w:hint="eastAsia"/>
              </w:rPr>
              <w:t>循环）</w:t>
            </w:r>
          </w:p>
        </w:tc>
        <w:tc>
          <w:tcPr>
            <w:tcW w:w="1701" w:type="dxa"/>
          </w:tcPr>
          <w:p>
            <w:pPr>
              <w:spacing w:line="360" w:lineRule="auto"/>
              <w:jc w:val="left"/>
            </w:pPr>
            <w:r>
              <w:rPr>
                <w:rFonts w:hint="eastAsia"/>
              </w:rPr>
              <w:t>2</w:t>
            </w:r>
            <w:r>
              <w:t>5.17</w:t>
            </w:r>
          </w:p>
        </w:tc>
        <w:tc>
          <w:tcPr>
            <w:tcW w:w="1843" w:type="dxa"/>
          </w:tcPr>
          <w:p>
            <w:pPr>
              <w:spacing w:line="360" w:lineRule="auto"/>
              <w:jc w:val="left"/>
            </w:pPr>
            <w:r>
              <w:t>25.99</w:t>
            </w:r>
          </w:p>
        </w:tc>
        <w:tc>
          <w:tcPr>
            <w:tcW w:w="1633" w:type="dxa"/>
          </w:tcPr>
          <w:p>
            <w:pPr>
              <w:spacing w:line="360" w:lineRule="auto"/>
              <w:jc w:val="left"/>
            </w:pPr>
            <w:r>
              <w:rPr>
                <w:rFonts w:hint="eastAsia"/>
              </w:rPr>
              <w:t>2</w:t>
            </w:r>
            <w:r>
              <w:t>5.40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19" w:type="dxa"/>
          </w:tcPr>
          <w:p>
            <w:pPr>
              <w:spacing w:line="360" w:lineRule="auto"/>
              <w:jc w:val="left"/>
            </w:pPr>
            <w:r>
              <w:rPr>
                <w:rFonts w:hint="eastAsia"/>
              </w:rPr>
              <w:t>外部E</w:t>
            </w:r>
            <w:r>
              <w:t>GR</w:t>
            </w:r>
            <w:r>
              <w:rPr>
                <w:rFonts w:hint="eastAsia"/>
              </w:rPr>
              <w:t>率（质量百分比）</w:t>
            </w:r>
          </w:p>
        </w:tc>
        <w:tc>
          <w:tcPr>
            <w:tcW w:w="1701" w:type="dxa"/>
          </w:tcPr>
          <w:p>
            <w:pPr>
              <w:spacing w:line="360" w:lineRule="auto"/>
              <w:jc w:val="left"/>
            </w:pPr>
            <w:r>
              <w:rPr>
                <w:rFonts w:hint="eastAsia"/>
              </w:rPr>
              <w:t>2</w:t>
            </w:r>
            <w:r>
              <w:t>1.98</w:t>
            </w:r>
          </w:p>
        </w:tc>
        <w:tc>
          <w:tcPr>
            <w:tcW w:w="1843" w:type="dxa"/>
          </w:tcPr>
          <w:p>
            <w:pPr>
              <w:spacing w:line="360" w:lineRule="auto"/>
              <w:jc w:val="left"/>
            </w:pPr>
            <w:r>
              <w:rPr>
                <w:rFonts w:hint="eastAsia"/>
              </w:rPr>
              <w:t>2</w:t>
            </w:r>
            <w:r>
              <w:t>1.94</w:t>
            </w:r>
          </w:p>
        </w:tc>
        <w:tc>
          <w:tcPr>
            <w:tcW w:w="1633" w:type="dxa"/>
          </w:tcPr>
          <w:p>
            <w:pPr>
              <w:spacing w:line="360" w:lineRule="auto"/>
              <w:jc w:val="left"/>
            </w:pPr>
            <w:r>
              <w:rPr>
                <w:rFonts w:hint="eastAsia"/>
              </w:rPr>
              <w:t>2</w:t>
            </w:r>
            <w:r>
              <w:t>1.98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19" w:type="dxa"/>
          </w:tcPr>
          <w:p>
            <w:pPr>
              <w:spacing w:line="360" w:lineRule="auto"/>
              <w:jc w:val="left"/>
            </w:pPr>
            <w:r>
              <w:rPr>
                <w:rFonts w:hint="eastAsia"/>
              </w:rPr>
              <w:t>A</w:t>
            </w:r>
            <w:r>
              <w:t>I10 (</w:t>
            </w:r>
            <w:r>
              <w:rPr>
                <w:rFonts w:hint="eastAsia"/>
              </w:rPr>
              <w:t>°CA</w:t>
            </w:r>
            <w:r>
              <w:t xml:space="preserve"> ATDC</w:t>
            </w:r>
            <w:r>
              <w:rPr>
                <w:rFonts w:hint="eastAsia"/>
              </w:rPr>
              <w:t>)</w:t>
            </w:r>
          </w:p>
        </w:tc>
        <w:tc>
          <w:tcPr>
            <w:tcW w:w="1701" w:type="dxa"/>
          </w:tcPr>
          <w:p>
            <w:pPr>
              <w:spacing w:line="360" w:lineRule="auto"/>
              <w:jc w:val="left"/>
            </w:pPr>
            <w:r>
              <w:rPr>
                <w:rFonts w:hint="eastAsia"/>
              </w:rPr>
              <w:t>-</w:t>
            </w:r>
            <w:r>
              <w:t>1.36</w:t>
            </w:r>
          </w:p>
        </w:tc>
        <w:tc>
          <w:tcPr>
            <w:tcW w:w="1843" w:type="dxa"/>
          </w:tcPr>
          <w:p>
            <w:pPr>
              <w:spacing w:line="360" w:lineRule="auto"/>
              <w:jc w:val="left"/>
            </w:pPr>
            <w:r>
              <w:rPr>
                <w:rFonts w:hint="eastAsia"/>
              </w:rPr>
              <w:t>-</w:t>
            </w:r>
            <w:r>
              <w:t>4.40</w:t>
            </w:r>
          </w:p>
        </w:tc>
        <w:tc>
          <w:tcPr>
            <w:tcW w:w="1633" w:type="dxa"/>
          </w:tcPr>
          <w:p>
            <w:pPr>
              <w:spacing w:line="360" w:lineRule="auto"/>
              <w:jc w:val="left"/>
            </w:pPr>
            <w:r>
              <w:t>-1.49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19" w:type="dxa"/>
          </w:tcPr>
          <w:p>
            <w:pPr>
              <w:spacing w:line="360" w:lineRule="auto"/>
              <w:jc w:val="left"/>
            </w:pPr>
            <w:r>
              <w:rPr>
                <w:rFonts w:hint="eastAsia"/>
              </w:rPr>
              <w:t>A</w:t>
            </w:r>
            <w:r>
              <w:t>I50 (</w:t>
            </w:r>
            <w:r>
              <w:rPr>
                <w:rFonts w:hint="eastAsia"/>
              </w:rPr>
              <w:t>°CA</w:t>
            </w:r>
            <w:r>
              <w:t xml:space="preserve"> ATDC</w:t>
            </w:r>
            <w:r>
              <w:rPr>
                <w:rFonts w:hint="eastAsia"/>
              </w:rPr>
              <w:t>)</w:t>
            </w:r>
          </w:p>
        </w:tc>
        <w:tc>
          <w:tcPr>
            <w:tcW w:w="1701" w:type="dxa"/>
          </w:tcPr>
          <w:p>
            <w:pPr>
              <w:spacing w:line="360" w:lineRule="auto"/>
              <w:jc w:val="left"/>
            </w:pPr>
            <w:r>
              <w:rPr>
                <w:rFonts w:hint="eastAsia"/>
              </w:rPr>
              <w:t>8</w:t>
            </w:r>
            <w:r>
              <w:t>.07</w:t>
            </w:r>
          </w:p>
        </w:tc>
        <w:tc>
          <w:tcPr>
            <w:tcW w:w="1843" w:type="dxa"/>
          </w:tcPr>
          <w:p>
            <w:pPr>
              <w:spacing w:line="360" w:lineRule="auto"/>
              <w:jc w:val="left"/>
            </w:pPr>
            <w:r>
              <w:rPr>
                <w:rFonts w:hint="eastAsia"/>
              </w:rPr>
              <w:t>8</w:t>
            </w:r>
            <w:r>
              <w:t>.62</w:t>
            </w:r>
          </w:p>
        </w:tc>
        <w:tc>
          <w:tcPr>
            <w:tcW w:w="1633" w:type="dxa"/>
          </w:tcPr>
          <w:p>
            <w:pPr>
              <w:spacing w:line="360" w:lineRule="auto"/>
              <w:jc w:val="left"/>
            </w:pPr>
            <w:r>
              <w:rPr>
                <w:rFonts w:hint="eastAsia"/>
              </w:rPr>
              <w:t>9</w:t>
            </w:r>
            <w:r>
              <w:t>.51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19" w:type="dxa"/>
          </w:tcPr>
          <w:p>
            <w:pPr>
              <w:spacing w:line="360" w:lineRule="auto"/>
              <w:jc w:val="left"/>
            </w:pPr>
            <w:r>
              <w:rPr>
                <w:rFonts w:hint="eastAsia"/>
              </w:rPr>
              <w:t>A</w:t>
            </w:r>
            <w:r>
              <w:t>I90 (</w:t>
            </w:r>
            <w:r>
              <w:rPr>
                <w:rFonts w:hint="eastAsia"/>
              </w:rPr>
              <w:t>°CA</w:t>
            </w:r>
            <w:r>
              <w:t xml:space="preserve"> ATDC</w:t>
            </w:r>
            <w:r>
              <w:rPr>
                <w:rFonts w:hint="eastAsia"/>
              </w:rPr>
              <w:t>)</w:t>
            </w:r>
          </w:p>
        </w:tc>
        <w:tc>
          <w:tcPr>
            <w:tcW w:w="1701" w:type="dxa"/>
          </w:tcPr>
          <w:p>
            <w:pPr>
              <w:spacing w:line="360" w:lineRule="auto"/>
              <w:jc w:val="left"/>
            </w:pPr>
            <w:r>
              <w:rPr>
                <w:rFonts w:hint="eastAsia"/>
              </w:rPr>
              <w:t>2</w:t>
            </w:r>
            <w:r>
              <w:t>4.64</w:t>
            </w:r>
          </w:p>
        </w:tc>
        <w:tc>
          <w:tcPr>
            <w:tcW w:w="1843" w:type="dxa"/>
          </w:tcPr>
          <w:p>
            <w:pPr>
              <w:spacing w:line="360" w:lineRule="auto"/>
              <w:jc w:val="left"/>
            </w:pPr>
            <w:r>
              <w:rPr>
                <w:rFonts w:hint="eastAsia"/>
              </w:rPr>
              <w:t>2</w:t>
            </w:r>
            <w:r>
              <w:t>3.55</w:t>
            </w:r>
          </w:p>
        </w:tc>
        <w:tc>
          <w:tcPr>
            <w:tcW w:w="1633" w:type="dxa"/>
          </w:tcPr>
          <w:p>
            <w:pPr>
              <w:spacing w:line="360" w:lineRule="auto"/>
              <w:jc w:val="left"/>
            </w:pPr>
            <w:r>
              <w:rPr>
                <w:rFonts w:hint="eastAsia"/>
              </w:rPr>
              <w:t>2</w:t>
            </w:r>
            <w:r>
              <w:t>1.51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19" w:type="dxa"/>
          </w:tcPr>
          <w:p>
            <w:pPr>
              <w:spacing w:line="360" w:lineRule="auto"/>
              <w:jc w:val="left"/>
            </w:pPr>
            <w:r>
              <w:rPr>
                <w:rFonts w:hint="eastAsia"/>
              </w:rPr>
              <w:t>最大缸压（bar）</w:t>
            </w:r>
          </w:p>
        </w:tc>
        <w:tc>
          <w:tcPr>
            <w:tcW w:w="1701" w:type="dxa"/>
          </w:tcPr>
          <w:p>
            <w:pPr>
              <w:spacing w:line="360" w:lineRule="auto"/>
              <w:jc w:val="left"/>
            </w:pPr>
            <w:r>
              <w:t>81.91</w:t>
            </w:r>
          </w:p>
        </w:tc>
        <w:tc>
          <w:tcPr>
            <w:tcW w:w="1843" w:type="dxa"/>
          </w:tcPr>
          <w:p>
            <w:pPr>
              <w:spacing w:line="360" w:lineRule="auto"/>
              <w:jc w:val="left"/>
            </w:pPr>
            <w:r>
              <w:t>80.71</w:t>
            </w:r>
          </w:p>
        </w:tc>
        <w:tc>
          <w:tcPr>
            <w:tcW w:w="1633" w:type="dxa"/>
          </w:tcPr>
          <w:p>
            <w:pPr>
              <w:spacing w:line="360" w:lineRule="auto"/>
              <w:jc w:val="left"/>
            </w:pPr>
            <w:r>
              <w:t>85.52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19" w:type="dxa"/>
            <w:tcBorders>
              <w:bottom w:val="single" w:color="000000" w:sz="12" w:space="0"/>
            </w:tcBorders>
          </w:tcPr>
          <w:p>
            <w:pPr>
              <w:spacing w:line="360" w:lineRule="auto"/>
              <w:jc w:val="left"/>
            </w:pPr>
            <w:r>
              <w:rPr>
                <w:rFonts w:hint="eastAsia"/>
              </w:rPr>
              <w:t>最大缸压所在时刻（°CA</w:t>
            </w:r>
            <w:r>
              <w:t xml:space="preserve"> ATDC</w:t>
            </w:r>
            <w:r>
              <w:rPr>
                <w:rFonts w:hint="eastAsia"/>
              </w:rPr>
              <w:t>）</w:t>
            </w:r>
          </w:p>
        </w:tc>
        <w:tc>
          <w:tcPr>
            <w:tcW w:w="1701" w:type="dxa"/>
            <w:tcBorders>
              <w:bottom w:val="single" w:color="000000" w:sz="12" w:space="0"/>
            </w:tcBorders>
          </w:tcPr>
          <w:p>
            <w:pPr>
              <w:spacing w:line="360" w:lineRule="auto"/>
              <w:jc w:val="left"/>
            </w:pPr>
            <w:r>
              <w:rPr>
                <w:rFonts w:hint="eastAsia"/>
              </w:rPr>
              <w:t>1</w:t>
            </w:r>
            <w:r>
              <w:t>2.40</w:t>
            </w:r>
          </w:p>
        </w:tc>
        <w:tc>
          <w:tcPr>
            <w:tcW w:w="1843" w:type="dxa"/>
            <w:tcBorders>
              <w:bottom w:val="single" w:color="000000" w:sz="12" w:space="0"/>
            </w:tcBorders>
          </w:tcPr>
          <w:p>
            <w:pPr>
              <w:spacing w:line="360" w:lineRule="auto"/>
              <w:jc w:val="left"/>
            </w:pPr>
            <w:r>
              <w:rPr>
                <w:rFonts w:hint="eastAsia"/>
              </w:rPr>
              <w:t>1</w:t>
            </w:r>
            <w:r>
              <w:t>2.53</w:t>
            </w:r>
          </w:p>
        </w:tc>
        <w:tc>
          <w:tcPr>
            <w:tcW w:w="1633" w:type="dxa"/>
            <w:tcBorders>
              <w:bottom w:val="single" w:color="000000" w:sz="12" w:space="0"/>
            </w:tcBorders>
          </w:tcPr>
          <w:p>
            <w:pPr>
              <w:spacing w:line="360" w:lineRule="auto"/>
              <w:jc w:val="left"/>
            </w:pPr>
            <w:r>
              <w:rPr>
                <w:rFonts w:hint="eastAsia"/>
              </w:rPr>
              <w:t>1</w:t>
            </w:r>
            <w:r>
              <w:t>3.50</w:t>
            </w:r>
          </w:p>
        </w:tc>
      </w:tr>
    </w:tbl>
    <w:p>
      <w:pPr>
        <w:spacing w:line="360" w:lineRule="auto"/>
        <w:ind w:firstLine="420" w:firstLineChars="200"/>
        <w:jc w:val="left"/>
      </w:pPr>
    </w:p>
    <w:p>
      <w:pPr>
        <w:spacing w:line="360" w:lineRule="auto"/>
        <w:ind w:firstLine="420" w:firstLineChars="200"/>
        <w:jc w:val="left"/>
      </w:pPr>
      <w:r>
        <w:rPr>
          <w:rFonts w:hint="eastAsia"/>
        </w:rPr>
        <w:t>由于机理的不同，三维仿真与一维仿真、实验数据之间存在着一定的差异性。根据表7的数据对比和分析可得到以下结论：</w:t>
      </w:r>
    </w:p>
    <w:p>
      <w:pPr>
        <w:pStyle w:val="18"/>
        <w:numPr>
          <w:ilvl w:val="0"/>
          <w:numId w:val="1"/>
        </w:numPr>
        <w:spacing w:line="360" w:lineRule="auto"/>
        <w:ind w:left="780" w:leftChars="0" w:hanging="360" w:firstLineChars="0"/>
        <w:jc w:val="left"/>
      </w:pPr>
      <w:r>
        <w:rPr>
          <w:rFonts w:hint="eastAsia"/>
        </w:rPr>
        <w:t>点火时刻存在差异：一维仿真采用的是经典的Wiebe方程</w:t>
      </w:r>
      <w:r>
        <w:rPr>
          <w:vertAlign w:val="superscript"/>
        </w:rPr>
        <w:t>[24]</w:t>
      </w:r>
      <w:r>
        <w:rPr>
          <w:rFonts w:hint="eastAsia"/>
        </w:rPr>
        <w:t>。即使该方程对于绝大部</w:t>
      </w:r>
      <w:r>
        <w:rPr>
          <w:rFonts w:hint="eastAsia"/>
          <w:lang w:val="en-US" w:eastAsia="zh-CN"/>
        </w:rPr>
        <w:t>分火花点火的</w:t>
      </w:r>
      <w:r>
        <w:rPr>
          <w:rFonts w:hint="eastAsia"/>
        </w:rPr>
        <w:t>燃烧循环均具有很强的可调性，但在描述燃烧延迟（A</w:t>
      </w:r>
      <w:r>
        <w:t>I0-10</w:t>
      </w:r>
      <w:r>
        <w:rPr>
          <w:rFonts w:hint="eastAsia"/>
        </w:rPr>
        <w:t>）以及燃烧末期（A</w:t>
      </w:r>
      <w:r>
        <w:t>I90-100</w:t>
      </w:r>
      <w:r>
        <w:rPr>
          <w:rFonts w:hint="eastAsia"/>
        </w:rPr>
        <w:t>）仍有局限性，特别是高E</w:t>
      </w:r>
      <w:r>
        <w:t>GR</w:t>
      </w:r>
      <w:r>
        <w:rPr>
          <w:rFonts w:hint="eastAsia"/>
        </w:rPr>
        <w:t>的工况。因此一维仿真的点火角与实验数据存在约4</w:t>
      </w:r>
      <w:r>
        <w:t xml:space="preserve">.5 </w:t>
      </w:r>
      <w:r>
        <w:rPr>
          <w:rFonts w:hint="eastAsia"/>
        </w:rPr>
        <w:t>度（曲轴转角）的差异。另外，实验数据的燃烧指标（A</w:t>
      </w:r>
      <w:r>
        <w:t>I10</w:t>
      </w:r>
      <w:r>
        <w:rPr>
          <w:rFonts w:hint="eastAsia"/>
        </w:rPr>
        <w:t>，A</w:t>
      </w:r>
      <w:r>
        <w:t>I50</w:t>
      </w:r>
      <w:r>
        <w:rPr>
          <w:rFonts w:hint="eastAsia"/>
        </w:rPr>
        <w:t>，A</w:t>
      </w:r>
      <w:r>
        <w:t>I90</w:t>
      </w:r>
      <w:r>
        <w:rPr>
          <w:rFonts w:hint="eastAsia"/>
        </w:rPr>
        <w:t>）并非直接的实验测量值，而是使用Wiebe方程的Two-</w:t>
      </w:r>
      <w:r>
        <w:t>Z</w:t>
      </w:r>
      <w:r>
        <w:rPr>
          <w:rFonts w:hint="eastAsia"/>
        </w:rPr>
        <w:t>one模型对实验测量的缸压数值进行反推计算所得到的。这种Two-Zone模型在反推计算过程中是以锚定实验缸压数据作为目标，反推计算中使用的是经验热损失模型，因此容易产生误差。三维仿真采用的是S</w:t>
      </w:r>
      <w:r>
        <w:t xml:space="preserve">AGE + </w:t>
      </w:r>
      <w:r>
        <w:rPr>
          <w:rFonts w:hint="eastAsia"/>
        </w:rPr>
        <w:t>简化化学反应机理，对于带有高E</w:t>
      </w:r>
      <w:r>
        <w:t>GR</w:t>
      </w:r>
      <w:r>
        <w:rPr>
          <w:rFonts w:hint="eastAsia"/>
        </w:rPr>
        <w:t>工况下初始火焰发展（特别是层流火焰速度）存在一定范围的差异。因此在校准模型过程中，以最大缸压数值、最大缸压时刻以及</w:t>
      </w:r>
      <w:r>
        <w:t>AI50</w:t>
      </w:r>
      <w:r>
        <w:rPr>
          <w:rFonts w:hint="eastAsia"/>
        </w:rPr>
        <w:t>时刻三者的平衡作为模型校准的评判标准。</w:t>
      </w:r>
    </w:p>
    <w:p>
      <w:pPr>
        <w:pStyle w:val="18"/>
        <w:numPr>
          <w:ilvl w:val="0"/>
          <w:numId w:val="1"/>
        </w:numPr>
        <w:spacing w:line="360" w:lineRule="auto"/>
        <w:ind w:left="780" w:leftChars="0" w:hanging="360" w:firstLineChars="0"/>
        <w:jc w:val="left"/>
      </w:pPr>
      <w:r>
        <w:rPr>
          <w:rFonts w:hint="eastAsia"/>
        </w:rPr>
        <w:t>A</w:t>
      </w:r>
      <w:r>
        <w:t>I50</w:t>
      </w:r>
      <w:r>
        <w:rPr>
          <w:rFonts w:hint="eastAsia"/>
        </w:rPr>
        <w:t>、A</w:t>
      </w:r>
      <w:r>
        <w:t>I90</w:t>
      </w:r>
      <w:r>
        <w:rPr>
          <w:rFonts w:hint="eastAsia"/>
        </w:rPr>
        <w:t>时刻存在差异：如上述解释，一维仿真和三维仿真均存在各自的限制性，因此最终以最大缸压数值、最大缸压时刻以及</w:t>
      </w:r>
      <w:r>
        <w:t>AI50</w:t>
      </w:r>
      <w:r>
        <w:rPr>
          <w:rFonts w:hint="eastAsia"/>
        </w:rPr>
        <w:t>时刻三者的平衡作为模型校准的评判标准。</w:t>
      </w:r>
    </w:p>
    <w:p>
      <w:pPr>
        <w:pStyle w:val="18"/>
        <w:numPr>
          <w:ilvl w:val="0"/>
          <w:numId w:val="1"/>
        </w:numPr>
        <w:spacing w:line="360" w:lineRule="auto"/>
        <w:ind w:left="780" w:leftChars="0" w:hanging="360" w:firstLineChars="0"/>
        <w:jc w:val="left"/>
      </w:pPr>
      <w:r>
        <w:rPr>
          <w:rFonts w:hint="eastAsia"/>
        </w:rPr>
        <w:t>三维仿真的最大缸压存在差异：由于在三维仿真过程中囊括了不同的经验机理模型（参考表2），因此在最大缸压点时缸内气体对外做功的能量流分布（Energy</w:t>
      </w:r>
      <w:r>
        <w:t xml:space="preserve"> </w:t>
      </w:r>
      <w:r>
        <w:rPr>
          <w:rFonts w:hint="eastAsia"/>
        </w:rPr>
        <w:t>flux）可能存在较大误差。</w:t>
      </w:r>
    </w:p>
    <w:p>
      <w:pPr>
        <w:pStyle w:val="18"/>
        <w:spacing w:line="360" w:lineRule="auto"/>
        <w:ind w:left="780" w:firstLine="0" w:firstLineChars="0"/>
        <w:jc w:val="left"/>
      </w:pPr>
    </w:p>
    <w:p>
      <w:pPr>
        <w:spacing w:line="360" w:lineRule="auto"/>
        <w:jc w:val="left"/>
      </w:pPr>
      <w:r>
        <mc:AlternateContent>
          <mc:Choice Requires="wps">
            <w:drawing>
              <wp:anchor distT="0" distB="0" distL="114300" distR="114300" simplePos="0" relativeHeight="251661312" behindDoc="0" locked="0" layoutInCell="1" allowOverlap="1">
                <wp:simplePos x="0" y="0"/>
                <wp:positionH relativeFrom="column">
                  <wp:posOffset>646430</wp:posOffset>
                </wp:positionH>
                <wp:positionV relativeFrom="paragraph">
                  <wp:posOffset>1339215</wp:posOffset>
                </wp:positionV>
                <wp:extent cx="91440" cy="109220"/>
                <wp:effectExtent l="0" t="0" r="3810" b="5715"/>
                <wp:wrapNone/>
                <wp:docPr id="19" name="闪电形 19"/>
                <wp:cNvGraphicFramePr/>
                <a:graphic xmlns:a="http://schemas.openxmlformats.org/drawingml/2006/main">
                  <a:graphicData uri="http://schemas.microsoft.com/office/word/2010/wordprocessingShape">
                    <wps:wsp>
                      <wps:cNvSpPr/>
                      <wps:spPr>
                        <a:xfrm>
                          <a:off x="0" y="0"/>
                          <a:ext cx="91643" cy="108962"/>
                        </a:xfrm>
                        <a:prstGeom prst="lightningBol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3" type="#_x0000_t73" style="position:absolute;left:0pt;margin-left:50.9pt;margin-top:105.45pt;height:8.6pt;width:7.2pt;z-index:251661312;v-text-anchor:middle;mso-width-relative:page;mso-height-relative:page;" fillcolor="#FF0000" filled="t" stroked="f" coordsize="21600,21600" o:gfxdata="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YAFHi2AAAAAsBAAAPAAAAAAAAAAEAIAAAACIAAABk&#10;cnMvZG93bnJldi54bWxQSwECFAAUAAAACACHTuJAOYXhOXgCAADXBAAADgAAAAAAAAABACAAAAAn&#10;AQAAZHJzL2Uyb0RvYy54bWxQSwUGAAAAAAYABgBZAQAAEQYAAAAA&#10;">
                <v:fill on="t" focussize="0,0"/>
                <v:stroke on="f" weight="1pt" miterlimit="8" joinstyle="miter"/>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3812540</wp:posOffset>
                </wp:positionH>
                <wp:positionV relativeFrom="paragraph">
                  <wp:posOffset>1153795</wp:posOffset>
                </wp:positionV>
                <wp:extent cx="91440" cy="109220"/>
                <wp:effectExtent l="0" t="0" r="3810" b="5715"/>
                <wp:wrapNone/>
                <wp:docPr id="16" name="闪电形 16"/>
                <wp:cNvGraphicFramePr/>
                <a:graphic xmlns:a="http://schemas.openxmlformats.org/drawingml/2006/main">
                  <a:graphicData uri="http://schemas.microsoft.com/office/word/2010/wordprocessingShape">
                    <wps:wsp>
                      <wps:cNvSpPr/>
                      <wps:spPr>
                        <a:xfrm>
                          <a:off x="0" y="0"/>
                          <a:ext cx="91643" cy="108962"/>
                        </a:xfrm>
                        <a:prstGeom prst="lightningBol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3" type="#_x0000_t73" style="position:absolute;left:0pt;margin-left:300.2pt;margin-top:90.85pt;height:8.6pt;width:7.2pt;z-index:251659264;v-text-anchor:middle;mso-width-relative:page;mso-height-relative:page;" fillcolor="#FF0000" filled="t" stroked="f" coordsize="21600,21600" o:gfxdata="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Nqx8OvaAAAACwEAAA8AAAAAAAAAAQAgAAAAIgAA&#10;AGRycy9kb3ducmV2LnhtbFBLAQIUABQAAAAIAIdO4kBCUrHweAIAANcEAAAOAAAAAAAAAAEAIAAA&#10;ACkBAABkcnMvZTJvRG9jLnhtbFBLBQYAAAAABgAGAFkBAAATBgAAAAA=&#10;">
                <v:fill on="t" focussize="0,0"/>
                <v:stroke on="f" weight="1pt" miterlimit="8" joinstyle="miter"/>
                <v:imagedata o:title=""/>
                <o:lock v:ext="edit" aspectratio="f"/>
              </v:shape>
            </w:pict>
          </mc:Fallback>
        </mc:AlternateContent>
      </w:r>
      <w:r>
        <w:drawing>
          <wp:inline distT="0" distB="0" distL="0" distR="0">
            <wp:extent cx="2495550" cy="1871980"/>
            <wp:effectExtent l="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5"/>
                    <a:stretch>
                      <a:fillRect/>
                    </a:stretch>
                  </pic:blipFill>
                  <pic:spPr>
                    <a:xfrm>
                      <a:off x="0" y="0"/>
                      <a:ext cx="2496000" cy="1872000"/>
                    </a:xfrm>
                    <a:prstGeom prst="rect">
                      <a:avLst/>
                    </a:prstGeom>
                  </pic:spPr>
                </pic:pic>
              </a:graphicData>
            </a:graphic>
          </wp:inline>
        </w:drawing>
      </w:r>
      <w:r>
        <w:t xml:space="preserve">   </w:t>
      </w:r>
      <w:r>
        <w:rPr>
          <w:rFonts w:hint="eastAsia"/>
        </w:rPr>
        <w:t xml:space="preserve"> </w:t>
      </w:r>
      <w:r>
        <w:drawing>
          <wp:inline distT="0" distB="0" distL="0" distR="0">
            <wp:extent cx="2495550" cy="1871980"/>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6"/>
                    <a:stretch>
                      <a:fillRect/>
                    </a:stretch>
                  </pic:blipFill>
                  <pic:spPr>
                    <a:xfrm>
                      <a:off x="0" y="0"/>
                      <a:ext cx="2496000" cy="1872000"/>
                    </a:xfrm>
                    <a:prstGeom prst="rect">
                      <a:avLst/>
                    </a:prstGeom>
                  </pic:spPr>
                </pic:pic>
              </a:graphicData>
            </a:graphic>
          </wp:inline>
        </w:drawing>
      </w:r>
    </w:p>
    <w:p>
      <w:pPr>
        <w:spacing w:line="360" w:lineRule="auto"/>
        <w:ind w:left="4868" w:leftChars="18" w:hanging="4830" w:hangingChars="2300"/>
        <w:jc w:val="left"/>
      </w:pPr>
      <w:r>
        <w:rPr>
          <w:rFonts w:hint="eastAsia"/>
        </w:rPr>
        <w:t>图1</w:t>
      </w:r>
      <w:r>
        <w:t xml:space="preserve"> </w:t>
      </w:r>
      <w:r>
        <w:rPr>
          <w:rFonts w:hint="eastAsia"/>
        </w:rPr>
        <w:t>放热率</w:t>
      </w:r>
      <w:r>
        <w:rPr>
          <w:rFonts w:hint="eastAsia"/>
          <w:lang w:val="en-US" w:eastAsia="zh-CN"/>
        </w:rPr>
        <w:t xml:space="preserve">  </w:t>
      </w:r>
      <w:r>
        <w:rPr>
          <w:rFonts w:hint="eastAsia"/>
        </w:rPr>
        <w:t>三维</w:t>
      </w:r>
      <w:r>
        <w:rPr>
          <w:rFonts w:hint="eastAsia"/>
          <w:lang w:val="en-US" w:eastAsia="zh-CN"/>
        </w:rPr>
        <w:t>/</w:t>
      </w:r>
      <w:r>
        <w:rPr>
          <w:rFonts w:hint="eastAsia"/>
        </w:rPr>
        <w:t xml:space="preserve">一维仿真对比 </w:t>
      </w:r>
      <w:r>
        <w:t xml:space="preserve">         </w:t>
      </w:r>
      <w:r>
        <w:rPr>
          <w:rFonts w:hint="eastAsia"/>
          <w:lang w:val="en-US" w:eastAsia="zh-CN"/>
        </w:rPr>
        <w:t xml:space="preserve">  </w:t>
      </w:r>
      <w:r>
        <w:rPr>
          <w:rFonts w:hint="eastAsia"/>
        </w:rPr>
        <w:t>图</w:t>
      </w:r>
      <w:r>
        <w:t xml:space="preserve">2 </w:t>
      </w:r>
      <w:r>
        <w:rPr>
          <w:rFonts w:hint="eastAsia"/>
        </w:rPr>
        <w:t>缸内温度（燃烧）</w:t>
      </w:r>
      <w:r>
        <w:rPr>
          <w:rFonts w:hint="eastAsia"/>
          <w:lang w:val="en-US" w:eastAsia="zh-CN"/>
        </w:rPr>
        <w:t xml:space="preserve"> </w:t>
      </w:r>
      <w:r>
        <w:rPr>
          <w:rFonts w:hint="eastAsia"/>
        </w:rPr>
        <w:t>三维</w:t>
      </w:r>
      <w:r>
        <w:rPr>
          <w:rFonts w:hint="eastAsia"/>
          <w:lang w:val="en-US" w:eastAsia="zh-CN"/>
        </w:rPr>
        <w:t>/</w:t>
      </w:r>
      <w:r>
        <w:rPr>
          <w:rFonts w:hint="eastAsia"/>
        </w:rPr>
        <w:t>一维仿真对比</w:t>
      </w:r>
    </w:p>
    <w:p>
      <w:pPr>
        <w:spacing w:line="360" w:lineRule="auto"/>
        <w:ind w:firstLine="420" w:firstLineChars="200"/>
        <w:jc w:val="center"/>
      </w:pPr>
      <w:r>
        <mc:AlternateContent>
          <mc:Choice Requires="wps">
            <w:drawing>
              <wp:anchor distT="0" distB="0" distL="114300" distR="114300" simplePos="0" relativeHeight="251660288" behindDoc="0" locked="0" layoutInCell="1" allowOverlap="1">
                <wp:simplePos x="0" y="0"/>
                <wp:positionH relativeFrom="column">
                  <wp:posOffset>2594610</wp:posOffset>
                </wp:positionH>
                <wp:positionV relativeFrom="paragraph">
                  <wp:posOffset>1070610</wp:posOffset>
                </wp:positionV>
                <wp:extent cx="91440" cy="109220"/>
                <wp:effectExtent l="0" t="0" r="3810" b="5715"/>
                <wp:wrapNone/>
                <wp:docPr id="17" name="闪电形 17"/>
                <wp:cNvGraphicFramePr/>
                <a:graphic xmlns:a="http://schemas.openxmlformats.org/drawingml/2006/main">
                  <a:graphicData uri="http://schemas.microsoft.com/office/word/2010/wordprocessingShape">
                    <wps:wsp>
                      <wps:cNvSpPr/>
                      <wps:spPr>
                        <a:xfrm>
                          <a:off x="0" y="0"/>
                          <a:ext cx="91643" cy="108962"/>
                        </a:xfrm>
                        <a:prstGeom prst="lightningBol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3" type="#_x0000_t73" style="position:absolute;left:0pt;margin-left:204.3pt;margin-top:84.3pt;height:8.6pt;width:7.2pt;z-index:251660288;v-text-anchor:middle;mso-width-relative:page;mso-height-relative:page;" fillcolor="#FF0000" filled="t" stroked="f" coordsize="21600,21600" o:gfxdata="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Lhw6vaAAAACwEAAA8AAAAAAAAAAQAgAAAAIgAA&#10;AGRycy9kb3ducmV2LnhtbFBLAQIUABQAAAAIAIdO4kAKEPGJeAIAANcEAAAOAAAAAAAAAAEAIAAA&#10;ACkBAABkcnMvZTJvRG9jLnhtbFBLBQYAAAAABgAGAFkBAAATBgAAAAA=&#10;">
                <v:fill on="t" focussize="0,0"/>
                <v:stroke on="f" weight="1pt" miterlimit="8" joinstyle="miter"/>
                <v:imagedata o:title=""/>
                <o:lock v:ext="edit" aspectratio="f"/>
              </v:shape>
            </w:pict>
          </mc:Fallback>
        </mc:AlternateContent>
      </w:r>
      <w:r>
        <w:drawing>
          <wp:inline distT="0" distB="0" distL="0" distR="0">
            <wp:extent cx="2399665" cy="1799590"/>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7"/>
                    <a:stretch>
                      <a:fillRect/>
                    </a:stretch>
                  </pic:blipFill>
                  <pic:spPr>
                    <a:xfrm>
                      <a:off x="0" y="0"/>
                      <a:ext cx="2400000" cy="1800000"/>
                    </a:xfrm>
                    <a:prstGeom prst="rect">
                      <a:avLst/>
                    </a:prstGeom>
                  </pic:spPr>
                </pic:pic>
              </a:graphicData>
            </a:graphic>
          </wp:inline>
        </w:drawing>
      </w:r>
    </w:p>
    <w:p>
      <w:pPr>
        <w:spacing w:line="360" w:lineRule="auto"/>
        <w:ind w:firstLine="420" w:firstLineChars="200"/>
        <w:jc w:val="center"/>
      </w:pPr>
      <w:r>
        <w:rPr>
          <w:rFonts w:hint="eastAsia"/>
        </w:rPr>
        <w:t>图</w:t>
      </w:r>
      <w:r>
        <w:t xml:space="preserve">3 </w:t>
      </w:r>
      <w:r>
        <w:rPr>
          <w:rFonts w:hint="eastAsia"/>
        </w:rPr>
        <w:t>缸内压力（燃烧）</w:t>
      </w:r>
      <w:r>
        <w:rPr>
          <w:rFonts w:hint="eastAsia"/>
          <w:lang w:val="en-US" w:eastAsia="zh-CN"/>
        </w:rPr>
        <w:t xml:space="preserve">  </w:t>
      </w:r>
      <w:r>
        <w:rPr>
          <w:rFonts w:hint="eastAsia"/>
        </w:rPr>
        <w:t>三维</w:t>
      </w:r>
      <w:r>
        <w:rPr>
          <w:rFonts w:hint="eastAsia"/>
          <w:lang w:val="en-US" w:eastAsia="zh-CN"/>
        </w:rPr>
        <w:t>/</w:t>
      </w:r>
      <w:r>
        <w:rPr>
          <w:rFonts w:hint="eastAsia"/>
        </w:rPr>
        <w:t>一维仿真对比</w:t>
      </w:r>
    </w:p>
    <w:p>
      <w:pPr>
        <w:spacing w:line="360" w:lineRule="auto"/>
        <w:ind w:firstLine="420" w:firstLineChars="200"/>
        <w:jc w:val="left"/>
        <w:rPr>
          <w:rFonts w:hint="eastAsia"/>
        </w:rPr>
      </w:pPr>
    </w:p>
    <w:p>
      <w:pPr>
        <w:spacing w:line="360" w:lineRule="auto"/>
        <w:ind w:firstLine="420" w:firstLineChars="200"/>
        <w:jc w:val="left"/>
      </w:pPr>
      <w:r>
        <w:rPr>
          <w:rFonts w:hint="eastAsia"/>
        </w:rPr>
        <w:t>如上述提及到，一维仿真是根据实验数据所校准的，因此接下来三维仿真结果将直接对比一维仿真结果。通过分析图1</w:t>
      </w:r>
      <w:r>
        <w:t>-</w:t>
      </w:r>
      <w:r>
        <w:rPr>
          <w:rFonts w:hint="eastAsia"/>
        </w:rPr>
        <w:t>图</w:t>
      </w:r>
      <w:r>
        <w:t>3</w:t>
      </w:r>
      <w:r>
        <w:rPr>
          <w:rFonts w:hint="eastAsia"/>
        </w:rPr>
        <w:t>可得出：</w:t>
      </w:r>
    </w:p>
    <w:p>
      <w:pPr>
        <w:pStyle w:val="18"/>
        <w:numPr>
          <w:ilvl w:val="0"/>
          <w:numId w:val="2"/>
        </w:numPr>
        <w:spacing w:line="360" w:lineRule="auto"/>
        <w:ind w:firstLineChars="0"/>
        <w:jc w:val="left"/>
      </w:pPr>
      <w:r>
        <w:rPr>
          <w:rFonts w:hint="eastAsia"/>
        </w:rPr>
        <w:t>在实验过程中没有温度或放热率的直接测量数据，仅缸压数值是实验测量值。因此图</w:t>
      </w:r>
      <w:r>
        <w:t>1-</w:t>
      </w:r>
      <w:r>
        <w:rPr>
          <w:rFonts w:hint="eastAsia"/>
        </w:rPr>
        <w:t>图3仅展示一维仿真与三维仿真的结果对比，实验数据不列入对比范围。</w:t>
      </w:r>
    </w:p>
    <w:p>
      <w:pPr>
        <w:pStyle w:val="18"/>
        <w:numPr>
          <w:ilvl w:val="0"/>
          <w:numId w:val="2"/>
        </w:numPr>
        <w:spacing w:line="360" w:lineRule="auto"/>
        <w:ind w:firstLineChars="0"/>
        <w:jc w:val="left"/>
      </w:pPr>
      <w:r>
        <w:rPr>
          <w:rFonts w:hint="eastAsia"/>
        </w:rPr>
        <w:t>图1</w:t>
      </w:r>
      <w:r>
        <w:t xml:space="preserve"> - </w:t>
      </w:r>
      <w:r>
        <w:rPr>
          <w:rFonts w:hint="eastAsia"/>
        </w:rPr>
        <w:t>相比三维仿真，一维仿真的放热更提前但峰值更低。由于在三维仿真中使用的大量经验机理模型，三维模型的放热率无法十分准确的对准一维模型；另一方面，实验的放热率曲线是通过缸压曲线进行一维Wiebe方程反推得到，因此一维仿真的放热率与真实放热率也可能存在差异。</w:t>
      </w:r>
    </w:p>
    <w:p>
      <w:pPr>
        <w:pStyle w:val="18"/>
        <w:numPr>
          <w:ilvl w:val="0"/>
          <w:numId w:val="2"/>
        </w:numPr>
        <w:spacing w:line="360" w:lineRule="auto"/>
        <w:ind w:firstLineChars="0"/>
        <w:jc w:val="left"/>
      </w:pPr>
      <w:r>
        <w:rPr>
          <w:rFonts w:hint="eastAsia"/>
        </w:rPr>
        <w:t>图2</w:t>
      </w:r>
      <w:r>
        <w:t xml:space="preserve"> - </w:t>
      </w:r>
      <w:r>
        <w:rPr>
          <w:rFonts w:hint="eastAsia"/>
        </w:rPr>
        <w:t>三维仿真与一维仿真在点火时刻前的缸内温度重合度高，基本满足了三维仿真在燃烧开始前的校准条件；温度的差异主要出现在燃烧开始后。</w:t>
      </w:r>
    </w:p>
    <w:p>
      <w:pPr>
        <w:pStyle w:val="18"/>
        <w:numPr>
          <w:ilvl w:val="0"/>
          <w:numId w:val="2"/>
        </w:numPr>
        <w:spacing w:line="360" w:lineRule="auto"/>
        <w:ind w:firstLineChars="0"/>
        <w:jc w:val="left"/>
      </w:pPr>
      <w:r>
        <w:rPr>
          <w:rFonts w:hint="eastAsia"/>
        </w:rPr>
        <w:t>图3</w:t>
      </w:r>
      <w:r>
        <w:t xml:space="preserve"> - </w:t>
      </w:r>
      <w:r>
        <w:rPr>
          <w:rFonts w:hint="eastAsia"/>
        </w:rPr>
        <w:t>三维仿真与一维仿真在点火时刻前的缸压重合度高，基本满足了三维仿真在燃烧开始前的校准条件；类似于缸内温度的差异对比，缸内压力的差异主要出现在燃烧开始后。</w:t>
      </w:r>
    </w:p>
    <w:p>
      <w:pPr>
        <w:spacing w:line="360" w:lineRule="auto"/>
        <w:ind w:firstLine="420" w:firstLineChars="200"/>
        <w:jc w:val="left"/>
      </w:pPr>
      <w:r>
        <w:rPr>
          <w:rFonts w:hint="eastAsia"/>
        </w:rPr>
        <w:t>总结：考虑到三维仿真的局限性以及接下来优化过程的通用性，经过校准4</w:t>
      </w:r>
      <w:r>
        <w:t>76ZQE BTE</w:t>
      </w:r>
      <w:r>
        <w:rPr>
          <w:rFonts w:hint="eastAsia"/>
        </w:rPr>
        <w:t>工况点的三维仿真结果与实验结果、已校准的一维仿真结果吻合度较高，满足其准确性的需求：仿真A</w:t>
      </w:r>
      <w:r>
        <w:t>I50</w:t>
      </w:r>
      <w:r>
        <w:rPr>
          <w:rFonts w:hint="eastAsia"/>
        </w:rPr>
        <w:t>对比实验数值相差1</w:t>
      </w:r>
      <w:r>
        <w:t xml:space="preserve"> </w:t>
      </w:r>
      <w:r>
        <w:rPr>
          <w:rFonts w:hint="eastAsia"/>
        </w:rPr>
        <w:t>度（曲轴转角），仿真的最大缸压对比实验数据相差3</w:t>
      </w:r>
      <w:r>
        <w:t xml:space="preserve">.61 </w:t>
      </w:r>
      <w:r>
        <w:rPr>
          <w:rFonts w:hint="eastAsia"/>
        </w:rPr>
        <w:t>bar，仿真的最大缸压时间点相比实验数据相差1</w:t>
      </w:r>
      <w:r>
        <w:t xml:space="preserve"> </w:t>
      </w:r>
      <w:r>
        <w:rPr>
          <w:rFonts w:hint="eastAsia"/>
        </w:rPr>
        <w:t>度（曲轴转角）。</w:t>
      </w:r>
    </w:p>
    <w:p>
      <w:pPr>
        <w:spacing w:line="360" w:lineRule="auto"/>
        <w:jc w:val="left"/>
        <w:rPr>
          <w:b/>
          <w:bCs/>
          <w:sz w:val="24"/>
          <w:szCs w:val="24"/>
        </w:rPr>
      </w:pPr>
      <w:r>
        <w:rPr>
          <w:b/>
          <w:bCs/>
          <w:sz w:val="24"/>
          <w:szCs w:val="24"/>
        </w:rPr>
        <w:t xml:space="preserve">3.2 </w:t>
      </w:r>
      <w:r>
        <w:rPr>
          <w:rFonts w:hint="eastAsia"/>
          <w:b/>
          <w:bCs/>
          <w:sz w:val="24"/>
          <w:szCs w:val="24"/>
        </w:rPr>
        <w:t>优化设计与对比</w:t>
      </w:r>
    </w:p>
    <w:p>
      <w:pPr>
        <w:spacing w:line="360" w:lineRule="auto"/>
        <w:ind w:firstLine="420" w:firstLineChars="200"/>
        <w:jc w:val="left"/>
      </w:pPr>
      <w:r>
        <w:rPr>
          <w:rFonts w:hint="eastAsia"/>
        </w:rPr>
        <w:t>在得到校准的原机设计三维模型后，将会展开优化设计的迭代过程。为了更好的横向对比结果，优化过程中所涉及的仿真模型边界是与上述的原机设计三维仿真保持一致。</w:t>
      </w:r>
    </w:p>
    <w:p>
      <w:pPr>
        <w:spacing w:line="360" w:lineRule="auto"/>
        <w:ind w:firstLine="420" w:firstLineChars="200"/>
        <w:jc w:val="left"/>
      </w:pPr>
      <w:r>
        <w:rPr>
          <w:rFonts w:hint="eastAsia"/>
        </w:rPr>
        <w:t>受到实际成本以及量产限制，本次优化设计需要遵循三个设计限制：a</w:t>
      </w:r>
      <w:r>
        <w:t xml:space="preserve">. </w:t>
      </w:r>
      <w:r>
        <w:rPr>
          <w:rFonts w:hint="eastAsia"/>
        </w:rPr>
        <w:t>保持同样的压缩比 b</w:t>
      </w:r>
      <w:r>
        <w:t xml:space="preserve">. </w:t>
      </w:r>
      <w:r>
        <w:rPr>
          <w:rFonts w:hint="eastAsia"/>
        </w:rPr>
        <w:t>进排气门的坐标系不可修改 c</w:t>
      </w:r>
      <w:r>
        <w:t xml:space="preserve">. </w:t>
      </w:r>
      <w:r>
        <w:rPr>
          <w:rFonts w:hint="eastAsia"/>
        </w:rPr>
        <w:t>进排气道设计与原机保持一致。为了直接横向对比，优化设计的基本尺寸与原机设计的维持一致（详见表1）。考虑到4</w:t>
      </w:r>
      <w:r>
        <w:t>76ZQE</w:t>
      </w:r>
      <w:r>
        <w:rPr>
          <w:rFonts w:hint="eastAsia"/>
        </w:rPr>
        <w:t>平台是同时具备能耗和动力需求的发动机平台，压缩比为</w:t>
      </w:r>
      <w:r>
        <w:t>13. 5是一个相对平衡的选择。由于实际生产模型修改涉及到大量关联修</w:t>
      </w:r>
      <w:r>
        <w:rPr>
          <w:rFonts w:hint="eastAsia"/>
        </w:rPr>
        <w:t>改，考虑到4</w:t>
      </w:r>
      <w:r>
        <w:t>76ZQE</w:t>
      </w:r>
      <w:r>
        <w:rPr>
          <w:rFonts w:hint="eastAsia"/>
        </w:rPr>
        <w:t>平台广泛应用在混动车型上，其进排气门的坐标系是不能修改的。同理，进排气道的修改也会同样面临缸盖重新开模的成本压力，另外4</w:t>
      </w:r>
      <w:r>
        <w:t>76ZQE</w:t>
      </w:r>
      <w:r>
        <w:rPr>
          <w:rFonts w:hint="eastAsia"/>
        </w:rPr>
        <w:t>的进排气道性能已经达到较好的水平，因此在本次优化设计中进排气道设计与原机的保持一致。</w:t>
      </w:r>
    </w:p>
    <w:p>
      <w:pPr>
        <w:spacing w:line="360" w:lineRule="auto"/>
        <w:ind w:firstLine="420" w:firstLineChars="200"/>
        <w:jc w:val="left"/>
      </w:pPr>
      <w:bookmarkStart w:id="0" w:name="_GoBack"/>
      <w:bookmarkEnd w:id="0"/>
    </w:p>
    <w:p>
      <w:pPr>
        <w:spacing w:line="360" w:lineRule="auto"/>
        <w:ind w:firstLine="420" w:firstLineChars="200"/>
        <w:jc w:val="center"/>
      </w:pPr>
      <w:r>
        <w:drawing>
          <wp:inline distT="0" distB="0" distL="0" distR="0">
            <wp:extent cx="2914015" cy="501142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2927596" cy="5034959"/>
                    </a:xfrm>
                    <a:prstGeom prst="rect">
                      <a:avLst/>
                    </a:prstGeom>
                  </pic:spPr>
                </pic:pic>
              </a:graphicData>
            </a:graphic>
          </wp:inline>
        </w:drawing>
      </w:r>
    </w:p>
    <w:p>
      <w:pPr>
        <w:spacing w:line="360" w:lineRule="auto"/>
        <w:ind w:firstLine="420" w:firstLineChars="200"/>
        <w:jc w:val="center"/>
      </w:pPr>
      <w:r>
        <w:rPr>
          <w:rFonts w:hint="eastAsia"/>
        </w:rPr>
        <w:t>图4</w:t>
      </w:r>
      <w:r>
        <w:t xml:space="preserve"> </w:t>
      </w:r>
      <w:r>
        <w:rPr>
          <w:rFonts w:hint="eastAsia"/>
        </w:rPr>
        <w:t>优化设计的迭代（部分）方案记录</w:t>
      </w:r>
    </w:p>
    <w:p>
      <w:pPr>
        <w:spacing w:line="360" w:lineRule="auto"/>
        <w:ind w:firstLine="420" w:firstLineChars="200"/>
        <w:jc w:val="center"/>
      </w:pPr>
      <w:r>
        <w:drawing>
          <wp:inline distT="0" distB="0" distL="0" distR="0">
            <wp:extent cx="4940935" cy="25196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941254" cy="2520000"/>
                    </a:xfrm>
                    <a:prstGeom prst="rect">
                      <a:avLst/>
                    </a:prstGeom>
                  </pic:spPr>
                </pic:pic>
              </a:graphicData>
            </a:graphic>
          </wp:inline>
        </w:drawing>
      </w:r>
    </w:p>
    <w:p>
      <w:pPr>
        <w:spacing w:line="360" w:lineRule="auto"/>
        <w:ind w:firstLine="420" w:firstLineChars="200"/>
        <w:jc w:val="center"/>
      </w:pPr>
      <w:r>
        <w:rPr>
          <w:rFonts w:hint="eastAsia"/>
        </w:rPr>
        <w:t>图</w:t>
      </w:r>
      <w:r>
        <w:t xml:space="preserve">5 BYD </w:t>
      </w:r>
      <w:r>
        <w:rPr>
          <w:rFonts w:hint="eastAsia"/>
        </w:rPr>
        <w:t>4</w:t>
      </w:r>
      <w:r>
        <w:t>76ZQE</w:t>
      </w:r>
      <w:r>
        <w:rPr>
          <w:rFonts w:hint="eastAsia"/>
        </w:rPr>
        <w:t>原机设计（左）与优化设计（右）</w:t>
      </w:r>
    </w:p>
    <w:p>
      <w:pPr>
        <w:spacing w:line="360" w:lineRule="auto"/>
        <w:ind w:firstLine="420" w:firstLineChars="200"/>
        <w:jc w:val="left"/>
      </w:pPr>
      <w:r>
        <w:rPr>
          <w:rFonts w:hint="eastAsia"/>
        </w:rPr>
        <w:t>在迭代过程中，针对燃烧室的五个关键部位进行了</w:t>
      </w:r>
      <w:r>
        <w:rPr>
          <w:rFonts w:hint="default"/>
          <w:lang w:val="en-US"/>
        </w:rPr>
        <w:t>32</w:t>
      </w:r>
      <w:r>
        <w:rPr>
          <w:rFonts w:hint="eastAsia"/>
        </w:rPr>
        <w:t>种方</w:t>
      </w:r>
      <w:r>
        <w:rPr>
          <w:rFonts w:hint="eastAsia"/>
          <w:lang w:val="en-US" w:eastAsia="zh-CN"/>
        </w:rPr>
        <w:t>不同</w:t>
      </w:r>
      <w:r>
        <w:rPr>
          <w:rFonts w:hint="eastAsia"/>
        </w:rPr>
        <w:t>案的修改</w:t>
      </w:r>
      <w:r>
        <w:rPr>
          <w:rFonts w:hint="eastAsia"/>
          <w:lang w:val="en-US" w:eastAsia="zh-CN"/>
        </w:rPr>
        <w:t>与</w:t>
      </w:r>
      <w:r>
        <w:rPr>
          <w:rFonts w:hint="eastAsia"/>
        </w:rPr>
        <w:t>尝试：a</w:t>
      </w:r>
      <w:r>
        <w:t xml:space="preserve">. </w:t>
      </w:r>
      <w:r>
        <w:rPr>
          <w:rFonts w:hint="eastAsia"/>
        </w:rPr>
        <w:t xml:space="preserve">活塞顶面形状（特别是活塞中心） </w:t>
      </w:r>
      <w:r>
        <w:t xml:space="preserve">b. </w:t>
      </w:r>
      <w:r>
        <w:rPr>
          <w:rFonts w:hint="eastAsia"/>
        </w:rPr>
        <w:t>进气端挤气区域设计c</w:t>
      </w:r>
      <w:r>
        <w:t xml:space="preserve">. </w:t>
      </w:r>
      <w:r>
        <w:rPr>
          <w:rFonts w:hint="eastAsia"/>
        </w:rPr>
        <w:t xml:space="preserve">排气端挤气区域设计 </w:t>
      </w:r>
      <w:r>
        <w:t xml:space="preserve">d. </w:t>
      </w:r>
      <w:r>
        <w:rPr>
          <w:rFonts w:hint="eastAsia"/>
        </w:rPr>
        <w:t xml:space="preserve">修改燃烧室“屋脊”的形状（即燃烧室顶面设计与过渡） </w:t>
      </w:r>
      <w:r>
        <w:t xml:space="preserve">e. </w:t>
      </w:r>
      <w:r>
        <w:rPr>
          <w:rFonts w:hint="eastAsia"/>
        </w:rPr>
        <w:t>火花塞设计。图</w:t>
      </w:r>
      <w:r>
        <w:t>4</w:t>
      </w:r>
      <w:r>
        <w:rPr>
          <w:rFonts w:hint="eastAsia"/>
        </w:rPr>
        <w:t>展示的是(部分)迭代方案记录。通过对五个关键部位进行多种组合方案、独立方案的横纵向对比，分析了燃烧室内气流运动和燃烧过程的特性。</w:t>
      </w:r>
    </w:p>
    <w:p>
      <w:pPr>
        <w:spacing w:line="360" w:lineRule="auto"/>
        <w:ind w:firstLine="420" w:firstLineChars="200"/>
        <w:jc w:val="left"/>
      </w:pPr>
      <w:r>
        <w:rPr>
          <w:rFonts w:hint="eastAsia"/>
        </w:rPr>
        <w:t>由于迭代过程经历的方案繁多，本次研究仅展示最佳的优化设计方案。图</w:t>
      </w:r>
      <w:r>
        <w:t>5</w:t>
      </w:r>
      <w:r>
        <w:rPr>
          <w:rFonts w:hint="eastAsia"/>
        </w:rPr>
        <w:t>展示的是4</w:t>
      </w:r>
      <w:r>
        <w:t>76ZQE</w:t>
      </w:r>
      <w:r>
        <w:rPr>
          <w:rFonts w:hint="eastAsia"/>
        </w:rPr>
        <w:t>原机设计与优化设计的对比。其中优化设计的关键修改点已用红色虚线圈标注，可以囊括为以下三点（红色虚线标注）：a</w:t>
      </w:r>
      <w:r>
        <w:t xml:space="preserve">. </w:t>
      </w:r>
      <w:r>
        <w:rPr>
          <w:rFonts w:hint="eastAsia"/>
        </w:rPr>
        <w:t xml:space="preserve">修改燃烧室“屋脊”的形状 </w:t>
      </w:r>
      <w:r>
        <w:t xml:space="preserve">b. </w:t>
      </w:r>
      <w:r>
        <w:rPr>
          <w:rFonts w:hint="eastAsia"/>
        </w:rPr>
        <w:t xml:space="preserve">修改排气端挤气区域设计 </w:t>
      </w:r>
      <w:r>
        <w:t xml:space="preserve">c. </w:t>
      </w:r>
      <w:r>
        <w:rPr>
          <w:rFonts w:hint="eastAsia"/>
        </w:rPr>
        <w:t>火花塞设计。</w:t>
      </w:r>
    </w:p>
    <w:p>
      <w:pPr>
        <w:spacing w:line="360" w:lineRule="auto"/>
        <w:ind w:firstLine="420" w:firstLineChars="200"/>
        <w:jc w:val="center"/>
      </w:pPr>
      <w:r>
        <w:rPr>
          <w:rFonts w:hint="eastAsia"/>
        </w:rPr>
        <w:t>表8</w:t>
      </w:r>
      <w:r>
        <w:t xml:space="preserve"> </w:t>
      </w:r>
      <w:r>
        <w:rPr>
          <w:rFonts w:hint="eastAsia"/>
        </w:rPr>
        <w:t>原机设计与优化设计的燃烧（三维仿真）对比</w:t>
      </w:r>
    </w:p>
    <w:tbl>
      <w:tblPr>
        <w:tblStyle w:val="8"/>
        <w:tblW w:w="499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10"/>
        <w:gridCol w:w="2047"/>
        <w:gridCol w:w="20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88" w:type="pct"/>
            <w:tcBorders>
              <w:top w:val="single" w:color="000000" w:sz="12" w:space="0"/>
              <w:bottom w:val="single" w:color="000000" w:sz="4" w:space="0"/>
            </w:tcBorders>
          </w:tcPr>
          <w:p>
            <w:pPr>
              <w:spacing w:line="360" w:lineRule="auto"/>
              <w:ind w:firstLine="420" w:firstLineChars="200"/>
              <w:jc w:val="left"/>
            </w:pPr>
          </w:p>
        </w:tc>
        <w:tc>
          <w:tcPr>
            <w:tcW w:w="1201" w:type="pct"/>
            <w:tcBorders>
              <w:top w:val="single" w:color="000000" w:sz="12" w:space="0"/>
              <w:bottom w:val="single" w:color="000000" w:sz="4" w:space="0"/>
            </w:tcBorders>
          </w:tcPr>
          <w:p>
            <w:pPr>
              <w:spacing w:line="360" w:lineRule="auto"/>
              <w:ind w:firstLine="420" w:firstLineChars="200"/>
              <w:jc w:val="left"/>
            </w:pPr>
            <w:r>
              <w:rPr>
                <w:rFonts w:hint="eastAsia"/>
              </w:rPr>
              <w:t>原机设计</w:t>
            </w:r>
          </w:p>
        </w:tc>
        <w:tc>
          <w:tcPr>
            <w:tcW w:w="1210" w:type="pct"/>
            <w:tcBorders>
              <w:top w:val="single" w:color="000000" w:sz="12" w:space="0"/>
              <w:bottom w:val="single" w:color="000000" w:sz="4" w:space="0"/>
            </w:tcBorders>
          </w:tcPr>
          <w:p>
            <w:pPr>
              <w:spacing w:line="360" w:lineRule="auto"/>
              <w:ind w:firstLine="420" w:firstLineChars="200"/>
              <w:jc w:val="left"/>
            </w:pPr>
            <w:r>
              <w:rPr>
                <w:rFonts w:hint="eastAsia"/>
              </w:rPr>
              <w:t>优化设计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88" w:type="pct"/>
            <w:tcBorders>
              <w:top w:val="single" w:color="000000" w:sz="4" w:space="0"/>
            </w:tcBorders>
          </w:tcPr>
          <w:p>
            <w:pPr>
              <w:spacing w:line="360" w:lineRule="auto"/>
              <w:ind w:firstLine="420" w:firstLineChars="200"/>
              <w:jc w:val="left"/>
            </w:pPr>
            <w:r>
              <w:rPr>
                <w:rFonts w:hint="eastAsia"/>
              </w:rPr>
              <w:t>转数</w:t>
            </w:r>
          </w:p>
        </w:tc>
        <w:tc>
          <w:tcPr>
            <w:tcW w:w="1201" w:type="pct"/>
            <w:tcBorders>
              <w:top w:val="single" w:color="000000" w:sz="4" w:space="0"/>
            </w:tcBorders>
          </w:tcPr>
          <w:p>
            <w:pPr>
              <w:spacing w:line="360" w:lineRule="auto"/>
              <w:ind w:firstLine="420" w:firstLineChars="200"/>
              <w:jc w:val="left"/>
            </w:pPr>
            <w:r>
              <w:rPr>
                <w:rFonts w:hint="eastAsia"/>
              </w:rPr>
              <w:t>2</w:t>
            </w:r>
            <w:r>
              <w:t>600</w:t>
            </w:r>
          </w:p>
        </w:tc>
        <w:tc>
          <w:tcPr>
            <w:tcW w:w="1210" w:type="pct"/>
            <w:tcBorders>
              <w:top w:val="single" w:color="000000" w:sz="4" w:space="0"/>
            </w:tcBorders>
          </w:tcPr>
          <w:p>
            <w:pPr>
              <w:spacing w:line="360" w:lineRule="auto"/>
              <w:ind w:firstLine="420" w:firstLineChars="200"/>
              <w:jc w:val="left"/>
            </w:pPr>
            <w:r>
              <w:rPr>
                <w:rFonts w:hint="eastAsia"/>
              </w:rPr>
              <w:t>2</w:t>
            </w:r>
            <w:r>
              <w:t>600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88" w:type="pct"/>
          </w:tcPr>
          <w:p>
            <w:pPr>
              <w:spacing w:line="360" w:lineRule="auto"/>
              <w:ind w:firstLine="420" w:firstLineChars="200"/>
              <w:jc w:val="left"/>
            </w:pPr>
            <w:r>
              <w:rPr>
                <w:rFonts w:hint="eastAsia"/>
              </w:rPr>
              <w:t>点火时刻（°C</w:t>
            </w:r>
            <w:r>
              <w:t xml:space="preserve">A </w:t>
            </w:r>
            <w:r>
              <w:rPr>
                <w:rFonts w:hint="eastAsia"/>
              </w:rPr>
              <w:t>A</w:t>
            </w:r>
            <w:r>
              <w:t>TDC</w:t>
            </w:r>
            <w:r>
              <w:rPr>
                <w:rFonts w:hint="eastAsia"/>
              </w:rPr>
              <w:t>）</w:t>
            </w:r>
          </w:p>
        </w:tc>
        <w:tc>
          <w:tcPr>
            <w:tcW w:w="1201" w:type="pct"/>
          </w:tcPr>
          <w:p>
            <w:pPr>
              <w:spacing w:line="360" w:lineRule="auto"/>
              <w:ind w:firstLine="420" w:firstLineChars="200"/>
              <w:jc w:val="left"/>
            </w:pPr>
            <w:r>
              <w:rPr>
                <w:rFonts w:hint="eastAsia"/>
              </w:rPr>
              <w:t>-</w:t>
            </w:r>
            <w:r>
              <w:t>17</w:t>
            </w:r>
          </w:p>
        </w:tc>
        <w:tc>
          <w:tcPr>
            <w:tcW w:w="1210" w:type="pct"/>
          </w:tcPr>
          <w:p>
            <w:pPr>
              <w:spacing w:line="360" w:lineRule="auto"/>
              <w:ind w:firstLine="420" w:firstLineChars="200"/>
              <w:jc w:val="left"/>
            </w:pPr>
            <w:r>
              <w:rPr>
                <w:rFonts w:hint="eastAsia"/>
              </w:rPr>
              <w:t>-</w:t>
            </w:r>
            <w: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88" w:type="pct"/>
          </w:tcPr>
          <w:p>
            <w:pPr>
              <w:spacing w:line="360" w:lineRule="auto"/>
              <w:ind w:firstLine="420" w:firstLineChars="200"/>
              <w:jc w:val="left"/>
            </w:pPr>
            <w:r>
              <w:rPr>
                <w:rFonts w:hint="eastAsia"/>
              </w:rPr>
              <w:t>燃油消耗量（毫克</w:t>
            </w:r>
            <w:r>
              <w:t>/</w:t>
            </w:r>
            <w:r>
              <w:rPr>
                <w:rFonts w:hint="eastAsia"/>
              </w:rPr>
              <w:t>循环）</w:t>
            </w:r>
          </w:p>
        </w:tc>
        <w:tc>
          <w:tcPr>
            <w:tcW w:w="1201" w:type="pct"/>
          </w:tcPr>
          <w:p>
            <w:pPr>
              <w:spacing w:line="360" w:lineRule="auto"/>
              <w:ind w:firstLine="420" w:firstLineChars="200"/>
              <w:jc w:val="left"/>
            </w:pPr>
            <w:r>
              <w:rPr>
                <w:rFonts w:hint="eastAsia"/>
              </w:rPr>
              <w:t>2</w:t>
            </w:r>
            <w:r>
              <w:t>5.40</w:t>
            </w:r>
          </w:p>
        </w:tc>
        <w:tc>
          <w:tcPr>
            <w:tcW w:w="1210" w:type="pct"/>
          </w:tcPr>
          <w:p>
            <w:pPr>
              <w:spacing w:line="360" w:lineRule="auto"/>
              <w:ind w:firstLine="420" w:firstLineChars="200"/>
              <w:jc w:val="left"/>
            </w:pPr>
            <w:r>
              <w:rPr>
                <w:rFonts w:hint="eastAsia"/>
              </w:rPr>
              <w:t>2</w:t>
            </w:r>
            <w:r>
              <w:t>5.40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88" w:type="pct"/>
          </w:tcPr>
          <w:p>
            <w:pPr>
              <w:spacing w:line="360" w:lineRule="auto"/>
              <w:ind w:firstLine="420" w:firstLineChars="200"/>
              <w:jc w:val="left"/>
            </w:pPr>
            <w:r>
              <w:rPr>
                <w:rFonts w:hint="eastAsia"/>
              </w:rPr>
              <w:t>外部E</w:t>
            </w:r>
            <w:r>
              <w:t>GR</w:t>
            </w:r>
            <w:r>
              <w:rPr>
                <w:rFonts w:hint="eastAsia"/>
              </w:rPr>
              <w:t>率（质量百分比）</w:t>
            </w:r>
          </w:p>
        </w:tc>
        <w:tc>
          <w:tcPr>
            <w:tcW w:w="1201" w:type="pct"/>
          </w:tcPr>
          <w:p>
            <w:pPr>
              <w:spacing w:line="360" w:lineRule="auto"/>
              <w:ind w:firstLine="420" w:firstLineChars="200"/>
              <w:jc w:val="left"/>
            </w:pPr>
            <w:r>
              <w:rPr>
                <w:rFonts w:hint="eastAsia"/>
              </w:rPr>
              <w:t>2</w:t>
            </w:r>
            <w:r>
              <w:t>1.98</w:t>
            </w:r>
          </w:p>
        </w:tc>
        <w:tc>
          <w:tcPr>
            <w:tcW w:w="1210" w:type="pct"/>
          </w:tcPr>
          <w:p>
            <w:pPr>
              <w:spacing w:line="360" w:lineRule="auto"/>
              <w:ind w:firstLine="420" w:firstLineChars="200"/>
              <w:jc w:val="left"/>
            </w:pPr>
            <w:r>
              <w:rPr>
                <w:rFonts w:hint="eastAsia"/>
              </w:rPr>
              <w:t>2</w:t>
            </w:r>
            <w:r>
              <w:t>1.98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88" w:type="pct"/>
          </w:tcPr>
          <w:p>
            <w:pPr>
              <w:spacing w:line="360" w:lineRule="auto"/>
              <w:ind w:firstLine="420" w:firstLineChars="200"/>
              <w:jc w:val="left"/>
            </w:pPr>
            <w:r>
              <w:rPr>
                <w:rFonts w:hint="eastAsia"/>
              </w:rPr>
              <w:t>A</w:t>
            </w:r>
            <w:r>
              <w:t>I10 (</w:t>
            </w:r>
            <w:r>
              <w:rPr>
                <w:rFonts w:hint="eastAsia"/>
              </w:rPr>
              <w:t>°CA</w:t>
            </w:r>
            <w:r>
              <w:t xml:space="preserve"> ATDC</w:t>
            </w:r>
            <w:r>
              <w:rPr>
                <w:rFonts w:hint="eastAsia"/>
              </w:rPr>
              <w:t>)</w:t>
            </w:r>
          </w:p>
        </w:tc>
        <w:tc>
          <w:tcPr>
            <w:tcW w:w="1201" w:type="pct"/>
          </w:tcPr>
          <w:p>
            <w:pPr>
              <w:spacing w:line="360" w:lineRule="auto"/>
              <w:ind w:firstLine="420" w:firstLineChars="200"/>
              <w:jc w:val="left"/>
            </w:pPr>
            <w:r>
              <w:t>-1.49</w:t>
            </w:r>
          </w:p>
        </w:tc>
        <w:tc>
          <w:tcPr>
            <w:tcW w:w="1210" w:type="pct"/>
          </w:tcPr>
          <w:p>
            <w:pPr>
              <w:spacing w:line="360" w:lineRule="auto"/>
              <w:ind w:firstLine="420" w:firstLineChars="200"/>
              <w:jc w:val="left"/>
            </w:pPr>
            <w:r>
              <w:rPr>
                <w:rFonts w:hint="eastAsia"/>
              </w:rPr>
              <w:t>-</w:t>
            </w:r>
            <w:r>
              <w:t>1.50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88" w:type="pct"/>
          </w:tcPr>
          <w:p>
            <w:pPr>
              <w:spacing w:line="360" w:lineRule="auto"/>
              <w:ind w:firstLine="420" w:firstLineChars="200"/>
              <w:jc w:val="left"/>
            </w:pPr>
            <w:r>
              <w:rPr>
                <w:rFonts w:hint="eastAsia"/>
              </w:rPr>
              <w:t>A</w:t>
            </w:r>
            <w:r>
              <w:t>I50 (</w:t>
            </w:r>
            <w:r>
              <w:rPr>
                <w:rFonts w:hint="eastAsia"/>
              </w:rPr>
              <w:t>°CA</w:t>
            </w:r>
            <w:r>
              <w:t xml:space="preserve"> ATDC</w:t>
            </w:r>
            <w:r>
              <w:rPr>
                <w:rFonts w:hint="eastAsia"/>
              </w:rPr>
              <w:t>)</w:t>
            </w:r>
          </w:p>
        </w:tc>
        <w:tc>
          <w:tcPr>
            <w:tcW w:w="1201" w:type="pct"/>
          </w:tcPr>
          <w:p>
            <w:pPr>
              <w:spacing w:line="360" w:lineRule="auto"/>
              <w:ind w:firstLine="420" w:firstLineChars="200"/>
              <w:jc w:val="left"/>
            </w:pPr>
            <w:r>
              <w:rPr>
                <w:rFonts w:hint="eastAsia"/>
              </w:rPr>
              <w:t>9</w:t>
            </w:r>
            <w:r>
              <w:t>.51</w:t>
            </w:r>
          </w:p>
        </w:tc>
        <w:tc>
          <w:tcPr>
            <w:tcW w:w="1210" w:type="pct"/>
          </w:tcPr>
          <w:p>
            <w:pPr>
              <w:spacing w:line="360" w:lineRule="auto"/>
              <w:ind w:firstLine="422" w:firstLineChars="200"/>
              <w:jc w:val="left"/>
              <w:rPr>
                <w:b/>
                <w:bCs/>
                <w:highlight w:val="none"/>
              </w:rPr>
            </w:pPr>
            <w:r>
              <w:rPr>
                <w:b/>
                <w:bCs/>
                <w:highlight w:val="none"/>
              </w:rPr>
              <w:t>6.50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88" w:type="pct"/>
          </w:tcPr>
          <w:p>
            <w:pPr>
              <w:spacing w:line="360" w:lineRule="auto"/>
              <w:ind w:firstLine="420" w:firstLineChars="200"/>
              <w:jc w:val="left"/>
            </w:pPr>
            <w:r>
              <w:rPr>
                <w:rFonts w:hint="eastAsia"/>
              </w:rPr>
              <w:t>A</w:t>
            </w:r>
            <w:r>
              <w:t>I90 (</w:t>
            </w:r>
            <w:r>
              <w:rPr>
                <w:rFonts w:hint="eastAsia"/>
              </w:rPr>
              <w:t>°CA</w:t>
            </w:r>
            <w:r>
              <w:t xml:space="preserve"> ATDC</w:t>
            </w:r>
            <w:r>
              <w:rPr>
                <w:rFonts w:hint="eastAsia"/>
              </w:rPr>
              <w:t>)</w:t>
            </w:r>
          </w:p>
        </w:tc>
        <w:tc>
          <w:tcPr>
            <w:tcW w:w="1201" w:type="pct"/>
          </w:tcPr>
          <w:p>
            <w:pPr>
              <w:spacing w:line="360" w:lineRule="auto"/>
              <w:ind w:firstLine="420" w:firstLineChars="200"/>
              <w:jc w:val="left"/>
            </w:pPr>
            <w:r>
              <w:rPr>
                <w:rFonts w:hint="eastAsia"/>
              </w:rPr>
              <w:t>2</w:t>
            </w:r>
            <w:r>
              <w:t>1.51</w:t>
            </w:r>
          </w:p>
        </w:tc>
        <w:tc>
          <w:tcPr>
            <w:tcW w:w="1210" w:type="pct"/>
          </w:tcPr>
          <w:p>
            <w:pPr>
              <w:spacing w:line="360" w:lineRule="auto"/>
              <w:ind w:firstLine="422" w:firstLineChars="200"/>
              <w:jc w:val="left"/>
              <w:rPr>
                <w:b/>
                <w:bCs/>
                <w:highlight w:val="none"/>
              </w:rPr>
            </w:pPr>
            <w:r>
              <w:rPr>
                <w:b/>
                <w:bCs/>
                <w:highlight w:val="none"/>
              </w:rPr>
              <w:t>16.51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88" w:type="pct"/>
          </w:tcPr>
          <w:p>
            <w:pPr>
              <w:spacing w:line="360" w:lineRule="auto"/>
              <w:ind w:firstLine="420" w:firstLineChars="200"/>
              <w:jc w:val="left"/>
            </w:pPr>
            <w:r>
              <w:rPr>
                <w:rFonts w:hint="eastAsia"/>
              </w:rPr>
              <w:t>最大缸压（bar）</w:t>
            </w:r>
          </w:p>
        </w:tc>
        <w:tc>
          <w:tcPr>
            <w:tcW w:w="1201" w:type="pct"/>
          </w:tcPr>
          <w:p>
            <w:pPr>
              <w:spacing w:line="360" w:lineRule="auto"/>
              <w:ind w:firstLine="420" w:firstLineChars="200"/>
              <w:jc w:val="left"/>
            </w:pPr>
            <w:r>
              <w:t>85.52</w:t>
            </w:r>
          </w:p>
        </w:tc>
        <w:tc>
          <w:tcPr>
            <w:tcW w:w="1210" w:type="pct"/>
          </w:tcPr>
          <w:p>
            <w:pPr>
              <w:spacing w:line="360" w:lineRule="auto"/>
              <w:ind w:firstLine="422" w:firstLineChars="200"/>
              <w:jc w:val="left"/>
              <w:rPr>
                <w:b/>
                <w:bCs/>
                <w:highlight w:val="none"/>
              </w:rPr>
            </w:pPr>
            <w:r>
              <w:rPr>
                <w:b/>
                <w:bCs/>
                <w:highlight w:val="none"/>
              </w:rPr>
              <w:t xml:space="preserve">96.54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88" w:type="pct"/>
            <w:tcBorders>
              <w:bottom w:val="single" w:color="000000" w:sz="12" w:space="0"/>
            </w:tcBorders>
          </w:tcPr>
          <w:p>
            <w:pPr>
              <w:spacing w:line="360" w:lineRule="auto"/>
              <w:ind w:firstLine="420" w:firstLineChars="200"/>
              <w:jc w:val="left"/>
            </w:pPr>
            <w:r>
              <w:rPr>
                <w:rFonts w:hint="eastAsia"/>
              </w:rPr>
              <w:t>最大缸压所在时刻（°CA</w:t>
            </w:r>
            <w:r>
              <w:t xml:space="preserve"> ATDC</w:t>
            </w:r>
            <w:r>
              <w:rPr>
                <w:rFonts w:hint="eastAsia"/>
              </w:rPr>
              <w:t>）</w:t>
            </w:r>
          </w:p>
        </w:tc>
        <w:tc>
          <w:tcPr>
            <w:tcW w:w="1201" w:type="pct"/>
            <w:tcBorders>
              <w:bottom w:val="single" w:color="000000" w:sz="12" w:space="0"/>
            </w:tcBorders>
          </w:tcPr>
          <w:p>
            <w:pPr>
              <w:spacing w:line="360" w:lineRule="auto"/>
              <w:ind w:firstLine="420" w:firstLineChars="200"/>
              <w:jc w:val="left"/>
            </w:pPr>
            <w:r>
              <w:rPr>
                <w:rFonts w:hint="eastAsia"/>
              </w:rPr>
              <w:t>1</w:t>
            </w:r>
            <w:r>
              <w:t>3.50</w:t>
            </w:r>
          </w:p>
        </w:tc>
        <w:tc>
          <w:tcPr>
            <w:tcW w:w="1210" w:type="pct"/>
            <w:tcBorders>
              <w:bottom w:val="single" w:color="000000" w:sz="12" w:space="0"/>
            </w:tcBorders>
          </w:tcPr>
          <w:p>
            <w:pPr>
              <w:spacing w:line="360" w:lineRule="auto"/>
              <w:ind w:firstLine="422" w:firstLineChars="200"/>
              <w:jc w:val="left"/>
              <w:rPr>
                <w:b/>
                <w:bCs/>
                <w:highlight w:val="none"/>
              </w:rPr>
            </w:pPr>
            <w:r>
              <w:rPr>
                <w:rFonts w:hint="eastAsia"/>
                <w:b/>
                <w:bCs/>
                <w:highlight w:val="none"/>
              </w:rPr>
              <w:t>1</w:t>
            </w:r>
            <w:r>
              <w:rPr>
                <w:b/>
                <w:bCs/>
                <w:highlight w:val="none"/>
              </w:rPr>
              <w:t>2.53</w:t>
            </w:r>
          </w:p>
        </w:tc>
      </w:tr>
    </w:tbl>
    <w:p>
      <w:pPr>
        <w:spacing w:line="360" w:lineRule="auto"/>
        <w:ind w:firstLine="420" w:firstLineChars="200"/>
        <w:jc w:val="left"/>
      </w:pPr>
    </w:p>
    <w:p>
      <w:pPr>
        <w:spacing w:line="360" w:lineRule="auto"/>
        <w:ind w:firstLine="420" w:firstLineChars="200"/>
        <w:jc w:val="left"/>
      </w:pPr>
      <w:r>
        <w:rPr>
          <w:rFonts w:hint="eastAsia"/>
        </w:rPr>
        <w:t>优化设计对比原机设计上有明显的燃烧提速。从表8可以得出，优化设计的A</w:t>
      </w:r>
      <w:r>
        <w:t>I50</w:t>
      </w:r>
      <w:r>
        <w:rPr>
          <w:rFonts w:hint="eastAsia"/>
        </w:rPr>
        <w:t>相比原机的有3</w:t>
      </w:r>
      <w:r>
        <w:t xml:space="preserve"> </w:t>
      </w:r>
      <w:r>
        <w:rPr>
          <w:rFonts w:hint="eastAsia"/>
        </w:rPr>
        <w:t>度（曲轴转角）的提升，而A</w:t>
      </w:r>
      <w:r>
        <w:t>I90</w:t>
      </w:r>
      <w:r>
        <w:rPr>
          <w:rFonts w:hint="eastAsia"/>
        </w:rPr>
        <w:t>有5度的提升。最大缸压从原机的8</w:t>
      </w:r>
      <w:r>
        <w:t xml:space="preserve">5.52 </w:t>
      </w:r>
      <w:r>
        <w:rPr>
          <w:rFonts w:hint="eastAsia"/>
        </w:rPr>
        <w:t>bar提升至9</w:t>
      </w:r>
      <w:r>
        <w:t xml:space="preserve">6.54 </w:t>
      </w:r>
      <w:r>
        <w:rPr>
          <w:rFonts w:hint="eastAsia"/>
        </w:rPr>
        <w:t>bar，对应时刻也有约1度的提高。接下来将从关键时刻的三维截面图进行技术点分析。</w:t>
      </w:r>
    </w:p>
    <w:p>
      <w:pPr>
        <w:spacing w:line="360" w:lineRule="auto"/>
        <w:ind w:firstLine="420" w:firstLineChars="200"/>
        <w:jc w:val="left"/>
      </w:pPr>
    </w:p>
    <w:p>
      <w:pPr>
        <w:spacing w:line="360" w:lineRule="auto"/>
        <w:ind w:firstLine="420" w:firstLineChars="200"/>
        <w:jc w:val="center"/>
      </w:pPr>
      <w:r>
        <w:drawing>
          <wp:inline distT="0" distB="0" distL="0" distR="0">
            <wp:extent cx="4679950" cy="89852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680000" cy="898700"/>
                    </a:xfrm>
                    <a:prstGeom prst="rect">
                      <a:avLst/>
                    </a:prstGeom>
                  </pic:spPr>
                </pic:pic>
              </a:graphicData>
            </a:graphic>
          </wp:inline>
        </w:drawing>
      </w:r>
    </w:p>
    <w:p>
      <w:pPr>
        <w:spacing w:line="360" w:lineRule="auto"/>
        <w:ind w:firstLine="420" w:firstLineChars="200"/>
        <w:jc w:val="center"/>
      </w:pPr>
      <w:r>
        <w:rPr>
          <w:rFonts w:hint="eastAsia"/>
        </w:rPr>
        <w:t>图</w:t>
      </w:r>
      <w:r>
        <w:t xml:space="preserve">6 </w:t>
      </w:r>
      <w:r>
        <w:rPr>
          <w:rFonts w:hint="eastAsia"/>
        </w:rPr>
        <w:t>点火时刻气流速度分布（标尺最大值为2</w:t>
      </w:r>
      <w:r>
        <w:t>0</w:t>
      </w:r>
      <w:r>
        <w:rPr>
          <w:rFonts w:hint="eastAsia"/>
        </w:rPr>
        <w:t>m</w:t>
      </w:r>
      <w:r>
        <w:t>/</w:t>
      </w:r>
      <w:r>
        <w:rPr>
          <w:rFonts w:hint="eastAsia"/>
        </w:rPr>
        <w:t>s，最小值为0m</w:t>
      </w:r>
      <w:r>
        <w:t>/</w:t>
      </w:r>
      <w:r>
        <w:rPr>
          <w:rFonts w:hint="eastAsia"/>
        </w:rPr>
        <w:t>s，Z</w:t>
      </w:r>
      <w:r>
        <w:t>-X</w:t>
      </w:r>
      <w:r>
        <w:rPr>
          <w:rFonts w:hint="eastAsia"/>
        </w:rPr>
        <w:t>方向）</w:t>
      </w:r>
    </w:p>
    <w:p>
      <w:pPr>
        <w:spacing w:line="360" w:lineRule="auto"/>
        <w:ind w:firstLine="420" w:firstLineChars="200"/>
        <w:jc w:val="left"/>
        <w:rPr>
          <w:rFonts w:hint="eastAsia"/>
        </w:rPr>
      </w:pPr>
    </w:p>
    <w:p>
      <w:pPr>
        <w:spacing w:line="360" w:lineRule="auto"/>
        <w:ind w:firstLine="420" w:firstLineChars="200"/>
        <w:jc w:val="left"/>
      </w:pPr>
      <w:r>
        <w:rPr>
          <w:rFonts w:hint="eastAsia"/>
        </w:rPr>
        <w:t>在同样的点火角下，优化设计在燃烧室上下层分布展示了与原机不一样的气流分布。从图</w:t>
      </w:r>
      <w:r>
        <w:t>6</w:t>
      </w:r>
      <w:r>
        <w:rPr>
          <w:rFonts w:hint="eastAsia"/>
        </w:rPr>
        <w:t>中可以得出以下信息：在原机设计中，（上方虚线部分）高速气流分布不足，导致整体漩涡趋向静止；（下方虚线部分）高速气流速度相对充足，且气流在点火时刻已经穿过火花塞电极。电极两侧的低速区域距离电极中心较近。在优化设计中，气体的速度分布结构呈现标准的夹层结构，燃烧室上下表面有高速气流的包裹，燃烧室底面没有出现原机设计的由下至上、向火花塞电极挤压的气流。这种夹层的分布主要得益于优化设计关键点的第一点 - 修改燃烧室“屋脊”的形状：通过减少上下漩涡流动的空间阻碍，使得气流在运动过程中保留更多的动能，从而保证后续火焰的扩散发展。</w:t>
      </w:r>
    </w:p>
    <w:p>
      <w:pPr>
        <w:spacing w:line="360" w:lineRule="auto"/>
        <w:ind w:firstLine="420" w:firstLineChars="200"/>
        <w:jc w:val="left"/>
      </w:pPr>
    </w:p>
    <w:p>
      <w:pPr>
        <w:spacing w:line="360" w:lineRule="auto"/>
        <w:ind w:firstLine="420" w:firstLineChars="200"/>
        <w:jc w:val="center"/>
      </w:pPr>
      <w:r>
        <w:drawing>
          <wp:inline distT="0" distB="0" distL="0" distR="0">
            <wp:extent cx="4679950" cy="86487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4680000" cy="864893"/>
                    </a:xfrm>
                    <a:prstGeom prst="rect">
                      <a:avLst/>
                    </a:prstGeom>
                  </pic:spPr>
                </pic:pic>
              </a:graphicData>
            </a:graphic>
          </wp:inline>
        </w:drawing>
      </w:r>
    </w:p>
    <w:p>
      <w:pPr>
        <w:spacing w:line="360" w:lineRule="auto"/>
        <w:ind w:firstLine="420" w:firstLineChars="200"/>
        <w:jc w:val="center"/>
      </w:pPr>
      <w:r>
        <w:rPr>
          <w:rFonts w:hint="eastAsia"/>
        </w:rPr>
        <w:t>图</w:t>
      </w:r>
      <w:r>
        <w:t xml:space="preserve">7 </w:t>
      </w:r>
      <w:r>
        <w:rPr>
          <w:rFonts w:hint="eastAsia"/>
        </w:rPr>
        <w:t>点火时刻气流速度分布（标尺最大值为2</w:t>
      </w:r>
      <w:r>
        <w:t>0</w:t>
      </w:r>
      <w:r>
        <w:rPr>
          <w:rFonts w:hint="eastAsia"/>
        </w:rPr>
        <w:t>m</w:t>
      </w:r>
      <w:r>
        <w:t>/</w:t>
      </w:r>
      <w:r>
        <w:rPr>
          <w:rFonts w:hint="eastAsia"/>
        </w:rPr>
        <w:t>s，最小值为0m</w:t>
      </w:r>
      <w:r>
        <w:t>/</w:t>
      </w:r>
      <w:r>
        <w:rPr>
          <w:rFonts w:hint="eastAsia"/>
        </w:rPr>
        <w:t>s，Z</w:t>
      </w:r>
      <w:r>
        <w:t>-Y</w:t>
      </w:r>
      <w:r>
        <w:rPr>
          <w:rFonts w:hint="eastAsia"/>
        </w:rPr>
        <w:t>方向）</w:t>
      </w:r>
    </w:p>
    <w:p>
      <w:pPr>
        <w:spacing w:line="360" w:lineRule="auto"/>
        <w:ind w:firstLine="420" w:firstLineChars="200"/>
        <w:jc w:val="left"/>
      </w:pPr>
      <w:r>
        <w:rPr>
          <w:rFonts w:hint="eastAsia"/>
        </w:rPr>
        <w:t>另一方面，优化设计在火花塞附近也展示了与原机设计完全不同的气流结构。从图</w:t>
      </w:r>
      <w:r>
        <w:t>7</w:t>
      </w:r>
      <w:r>
        <w:rPr>
          <w:rFonts w:hint="eastAsia"/>
        </w:rPr>
        <w:t>可以得出以下信息：在原机设计中，（上方虚线部分）气流速度严重不足，无法为火焰传递提供足够动能，顺时针漩涡被挤压至进气侧，并趋向于静止；（下方虚线部分）由于燃烧室上方的气流强度不足（几乎趋向静止状态），排气侧的挤流区产生的气流束没有受到气流相汇的影响，从右至左的趋向火花塞电极。在优化设计中，（右侧虚线部分）火花塞右侧的气流在点火角位置，有明显的顺时针转弯并下沉的趋势。对应图6，修改燃烧室“屋脊”形状是保证了燃烧室上方高速气流层的关键点（左侧虚线部分），使得气流维持充足的顺时针漩涡旋转。另一方面，修改排气端挤气区域设计是改变火花塞附近流场结构的关键。随着活塞的上行运动，排气端挤气区域会挤压出一股短暂快速的气流并趋向火花塞附近。通过修改该挤气区域的几何范围（图5），挤出气流所影响的范围将会放大但强度会降低。当缸内气流穿过火花塞电极时，会与该低强度的挤流碰撞并共同下沉，从而缩小气流漩涡半径和保持流速。</w:t>
      </w:r>
    </w:p>
    <w:p>
      <w:pPr>
        <w:spacing w:line="360" w:lineRule="auto"/>
        <w:ind w:firstLine="420" w:firstLineChars="200"/>
        <w:jc w:val="left"/>
      </w:pPr>
      <w:r>
        <w:rPr>
          <w:rFonts w:hint="eastAsia"/>
        </w:rPr>
        <w:t>火花塞设计对于气流的影响（特别是燃烧室上层的气流）也是至关重要的。在优化设计中，火花塞的陶瓷体相对较长，而金属壳体的位置相对较短。从迭代过程中关于火花塞设计以及位置的研究经验可以得出，短壳体搭配长陶瓷体的设计在减少对气流阻挡的同时，能够加速初期火焰发展。</w:t>
      </w:r>
    </w:p>
    <w:p>
      <w:pPr>
        <w:spacing w:line="360" w:lineRule="auto"/>
        <w:ind w:firstLine="420" w:firstLineChars="200"/>
        <w:jc w:val="left"/>
      </w:pPr>
    </w:p>
    <w:p>
      <w:pPr>
        <w:spacing w:line="360" w:lineRule="auto"/>
        <w:ind w:firstLine="420" w:firstLineChars="200"/>
        <w:jc w:val="center"/>
      </w:pPr>
      <w:r>
        <w:drawing>
          <wp:inline distT="0" distB="0" distL="114300" distR="114300">
            <wp:extent cx="4679950" cy="2236470"/>
            <wp:effectExtent l="0" t="0" r="6350" b="1143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2"/>
                    <a:stretch>
                      <a:fillRect/>
                    </a:stretch>
                  </pic:blipFill>
                  <pic:spPr>
                    <a:xfrm>
                      <a:off x="0" y="0"/>
                      <a:ext cx="4679950" cy="2236470"/>
                    </a:xfrm>
                    <a:prstGeom prst="rect">
                      <a:avLst/>
                    </a:prstGeom>
                    <a:noFill/>
                    <a:ln>
                      <a:noFill/>
                    </a:ln>
                  </pic:spPr>
                </pic:pic>
              </a:graphicData>
            </a:graphic>
          </wp:inline>
        </w:drawing>
      </w:r>
    </w:p>
    <w:p>
      <w:pPr>
        <w:spacing w:line="360" w:lineRule="auto"/>
        <w:ind w:firstLine="420" w:firstLineChars="200"/>
        <w:jc w:val="center"/>
      </w:pPr>
      <w:r>
        <w:rPr>
          <w:rFonts w:hint="eastAsia"/>
        </w:rPr>
        <w:t>图</w:t>
      </w:r>
      <w:r>
        <w:t xml:space="preserve">8 </w:t>
      </w:r>
      <w:r>
        <w:rPr>
          <w:rFonts w:hint="eastAsia"/>
        </w:rPr>
        <w:t>点火时刻气流速度分布（标尺最大值为2</w:t>
      </w:r>
      <w:r>
        <w:t>0</w:t>
      </w:r>
      <w:r>
        <w:rPr>
          <w:rFonts w:hint="eastAsia"/>
        </w:rPr>
        <w:t>m</w:t>
      </w:r>
      <w:r>
        <w:t>/</w:t>
      </w:r>
      <w:r>
        <w:rPr>
          <w:rFonts w:hint="eastAsia"/>
        </w:rPr>
        <w:t>s，最小值为0m</w:t>
      </w:r>
      <w:r>
        <w:t>/</w:t>
      </w:r>
      <w:r>
        <w:rPr>
          <w:rFonts w:hint="eastAsia"/>
        </w:rPr>
        <w:t>s，</w:t>
      </w:r>
      <w:r>
        <w:t>Y-X</w:t>
      </w:r>
      <w:r>
        <w:rPr>
          <w:rFonts w:hint="eastAsia"/>
        </w:rPr>
        <w:t>方向）</w:t>
      </w:r>
    </w:p>
    <w:p>
      <w:pPr>
        <w:spacing w:line="360" w:lineRule="auto"/>
        <w:ind w:firstLine="420" w:firstLineChars="200"/>
        <w:jc w:val="left"/>
      </w:pPr>
      <w:r>
        <w:rPr>
          <w:rFonts w:hint="eastAsia"/>
        </w:rPr>
        <w:t>在</w:t>
      </w:r>
      <w:r>
        <w:t>Y-X</w:t>
      </w:r>
      <w:r>
        <w:rPr>
          <w:rFonts w:hint="eastAsia"/>
        </w:rPr>
        <w:t>方向（即俯视角度）上，相比原机设计的气流单一性，优化设计的高速气流分布更广且贴近活塞表面。从图</w:t>
      </w:r>
      <w:r>
        <w:t>8</w:t>
      </w:r>
      <w:r>
        <w:rPr>
          <w:rFonts w:hint="eastAsia"/>
        </w:rPr>
        <w:t>中可以观察到，由于排气端挤气面的影响，原机设计中燃烧室的中心有一股高速气流贯穿中心线，而优化设计中高速气流呈大面积横向面的分布。</w:t>
      </w:r>
    </w:p>
    <w:p>
      <w:pPr>
        <w:spacing w:line="360" w:lineRule="auto"/>
        <w:ind w:firstLine="420" w:firstLineChars="200"/>
        <w:jc w:val="left"/>
      </w:pPr>
    </w:p>
    <w:p>
      <w:pPr>
        <w:spacing w:line="360" w:lineRule="auto"/>
        <w:ind w:firstLine="420" w:firstLineChars="200"/>
        <w:jc w:val="center"/>
      </w:pPr>
      <w:r>
        <w:drawing>
          <wp:inline distT="0" distB="0" distL="0" distR="0">
            <wp:extent cx="4679950" cy="86169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680000" cy="862076"/>
                    </a:xfrm>
                    <a:prstGeom prst="rect">
                      <a:avLst/>
                    </a:prstGeom>
                  </pic:spPr>
                </pic:pic>
              </a:graphicData>
            </a:graphic>
          </wp:inline>
        </w:drawing>
      </w:r>
    </w:p>
    <w:p>
      <w:pPr>
        <w:spacing w:line="360" w:lineRule="auto"/>
        <w:ind w:firstLine="210" w:firstLineChars="100"/>
        <w:jc w:val="left"/>
      </w:pPr>
      <w:r>
        <w:rPr>
          <w:rFonts w:hint="eastAsia"/>
        </w:rPr>
        <w:t>图</w:t>
      </w:r>
      <w:r>
        <w:t xml:space="preserve">9 </w:t>
      </w:r>
      <w:r>
        <w:rPr>
          <w:rFonts w:hint="eastAsia"/>
        </w:rPr>
        <w:t>点火时刻湍动能分布（标尺最大值为2</w:t>
      </w:r>
      <w:r>
        <w:t xml:space="preserve">00 </w:t>
      </w:r>
      <m:oMath>
        <m:sSup>
          <m:sSupPr>
            <m:ctrlPr>
              <w:rPr>
                <w:rFonts w:ascii="Cambria Math" w:hAnsi="Cambria Math"/>
              </w:rPr>
            </m:ctrlPr>
          </m:sSupPr>
          <m:e>
            <m:r>
              <m:rPr/>
              <w:rPr>
                <w:rFonts w:hint="eastAsia" w:ascii="Cambria Math" w:hAnsi="Cambria Math"/>
              </w:rPr>
              <m:t>m</m:t>
            </m:r>
            <m:ctrlPr>
              <w:rPr>
                <w:rFonts w:ascii="Cambria Math" w:hAnsi="Cambria Math"/>
              </w:rPr>
            </m:ctrlPr>
          </m:e>
          <m:sup>
            <m:r>
              <m:rPr/>
              <w:rPr>
                <w:rFonts w:ascii="Cambria Math" w:hAnsi="Cambria Math"/>
              </w:rPr>
              <m:t>2</m:t>
            </m:r>
            <m:ctrlPr>
              <w:rPr>
                <w:rFonts w:ascii="Cambria Math" w:hAnsi="Cambria Math"/>
              </w:rPr>
            </m:ctrlPr>
          </m:sup>
        </m:sSup>
        <m:r>
          <m:rPr/>
          <w:rPr>
            <w:rFonts w:ascii="Cambria Math" w:hAnsi="Cambria Math"/>
          </w:rPr>
          <m:t>/</m:t>
        </m:r>
        <m:sSup>
          <m:sSupPr>
            <m:ctrlPr>
              <w:rPr>
                <w:rFonts w:ascii="Cambria Math" w:hAnsi="Cambria Math"/>
                <w:i/>
              </w:rPr>
            </m:ctrlPr>
          </m:sSupPr>
          <m:e>
            <m:r>
              <m:rPr/>
              <w:rPr>
                <w:rFonts w:ascii="Cambria Math" w:hAnsi="Cambria Math"/>
              </w:rPr>
              <m:t>s</m:t>
            </m:r>
            <m:ctrlPr>
              <w:rPr>
                <w:rFonts w:ascii="Cambria Math" w:hAnsi="Cambria Math"/>
                <w:i/>
              </w:rPr>
            </m:ctrlPr>
          </m:e>
          <m:sup>
            <m:r>
              <m:rPr/>
              <w:rPr>
                <w:rFonts w:ascii="Cambria Math" w:hAnsi="Cambria Math"/>
              </w:rPr>
              <m:t>2</m:t>
            </m:r>
            <m:ctrlPr>
              <w:rPr>
                <w:rFonts w:ascii="Cambria Math" w:hAnsi="Cambria Math"/>
                <w:i/>
              </w:rPr>
            </m:ctrlPr>
          </m:sup>
        </m:sSup>
      </m:oMath>
      <w:r>
        <w:rPr>
          <w:rFonts w:hint="eastAsia"/>
        </w:rPr>
        <w:t xml:space="preserve">，最小值为0 </w:t>
      </w:r>
      <m:oMath>
        <m:sSup>
          <m:sSupPr>
            <m:ctrlPr>
              <w:rPr>
                <w:rFonts w:ascii="Cambria Math" w:hAnsi="Cambria Math"/>
              </w:rPr>
            </m:ctrlPr>
          </m:sSupPr>
          <m:e>
            <m:r>
              <m:rPr/>
              <w:rPr>
                <w:rFonts w:hint="eastAsia" w:ascii="Cambria Math" w:hAnsi="Cambria Math"/>
              </w:rPr>
              <m:t>m</m:t>
            </m:r>
            <m:ctrlPr>
              <w:rPr>
                <w:rFonts w:ascii="Cambria Math" w:hAnsi="Cambria Math"/>
              </w:rPr>
            </m:ctrlPr>
          </m:e>
          <m:sup>
            <m:r>
              <m:rPr/>
              <w:rPr>
                <w:rFonts w:ascii="Cambria Math" w:hAnsi="Cambria Math"/>
              </w:rPr>
              <m:t>2</m:t>
            </m:r>
            <m:ctrlPr>
              <w:rPr>
                <w:rFonts w:ascii="Cambria Math" w:hAnsi="Cambria Math"/>
              </w:rPr>
            </m:ctrlPr>
          </m:sup>
        </m:sSup>
        <m:r>
          <m:rPr/>
          <w:rPr>
            <w:rFonts w:ascii="Cambria Math" w:hAnsi="Cambria Math"/>
          </w:rPr>
          <m:t>/</m:t>
        </m:r>
        <m:sSup>
          <m:sSupPr>
            <m:ctrlPr>
              <w:rPr>
                <w:rFonts w:ascii="Cambria Math" w:hAnsi="Cambria Math"/>
                <w:i/>
              </w:rPr>
            </m:ctrlPr>
          </m:sSupPr>
          <m:e>
            <m:r>
              <m:rPr/>
              <w:rPr>
                <w:rFonts w:ascii="Cambria Math" w:hAnsi="Cambria Math"/>
              </w:rPr>
              <m:t>s</m:t>
            </m:r>
            <m:ctrlPr>
              <w:rPr>
                <w:rFonts w:ascii="Cambria Math" w:hAnsi="Cambria Math"/>
                <w:i/>
              </w:rPr>
            </m:ctrlPr>
          </m:e>
          <m:sup>
            <m:r>
              <m:rPr/>
              <w:rPr>
                <w:rFonts w:ascii="Cambria Math" w:hAnsi="Cambria Math"/>
              </w:rPr>
              <m:t>2</m:t>
            </m:r>
            <m:ctrlPr>
              <w:rPr>
                <w:rFonts w:ascii="Cambria Math" w:hAnsi="Cambria Math"/>
                <w:i/>
              </w:rPr>
            </m:ctrlPr>
          </m:sup>
        </m:sSup>
      </m:oMath>
      <w:r>
        <w:rPr>
          <w:rFonts w:hint="eastAsia"/>
        </w:rPr>
        <w:t>，</w:t>
      </w:r>
      <w:r>
        <w:t>Z-Y</w:t>
      </w:r>
      <w:r>
        <w:rPr>
          <w:rFonts w:hint="eastAsia"/>
        </w:rPr>
        <w:t>方向）</w:t>
      </w:r>
    </w:p>
    <w:p>
      <w:pPr>
        <w:spacing w:line="360" w:lineRule="auto"/>
        <w:ind w:firstLine="420" w:firstLineChars="200"/>
        <w:jc w:val="left"/>
      </w:pPr>
      <w:r>
        <w:rPr>
          <w:rFonts w:hint="eastAsia"/>
        </w:rPr>
        <w:t>湍动能的分布也呈现了与气流速度分布类似的空间结构。类似于图</w:t>
      </w:r>
      <w:r>
        <w:t>7</w:t>
      </w:r>
      <w:r>
        <w:rPr>
          <w:rFonts w:hint="eastAsia"/>
        </w:rPr>
        <w:t>的结论，从图</w:t>
      </w:r>
      <w:r>
        <w:t>9</w:t>
      </w:r>
      <w:r>
        <w:rPr>
          <w:rFonts w:hint="eastAsia"/>
        </w:rPr>
        <w:t>可以观察到，优化设计下湍动能的中心更集中在火花塞附近，并呈现了顺时针漩涡的趋势（帮助火焰传递）。而原机设计呈现的是气流从排气侧向进气侧的单向传递。</w:t>
      </w:r>
    </w:p>
    <w:p>
      <w:pPr>
        <w:spacing w:line="360" w:lineRule="auto"/>
        <w:ind w:firstLine="420" w:firstLineChars="200"/>
        <w:jc w:val="center"/>
      </w:pPr>
      <w:r>
        <w:drawing>
          <wp:inline distT="0" distB="0" distL="0" distR="0">
            <wp:extent cx="4679950" cy="455549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4680000" cy="4556041"/>
                    </a:xfrm>
                    <a:prstGeom prst="rect">
                      <a:avLst/>
                    </a:prstGeom>
                  </pic:spPr>
                </pic:pic>
              </a:graphicData>
            </a:graphic>
          </wp:inline>
        </w:drawing>
      </w:r>
    </w:p>
    <w:p>
      <w:pPr>
        <w:spacing w:line="360" w:lineRule="auto"/>
        <w:ind w:firstLine="420" w:firstLineChars="200"/>
        <w:jc w:val="center"/>
      </w:pPr>
      <w:r>
        <w:rPr>
          <w:rFonts w:hint="eastAsia"/>
        </w:rPr>
        <w:t>图</w:t>
      </w:r>
      <w:r>
        <w:t xml:space="preserve">10 </w:t>
      </w:r>
      <w:r>
        <w:rPr>
          <w:rFonts w:hint="eastAsia"/>
        </w:rPr>
        <w:t>点火时刻气流速度等值面（红：2</w:t>
      </w:r>
      <w:r>
        <w:t>0m/s</w:t>
      </w:r>
      <w:r>
        <w:rPr>
          <w:rFonts w:hint="eastAsia"/>
        </w:rPr>
        <w:t>，黄：1</w:t>
      </w:r>
      <w:r>
        <w:t>5</w:t>
      </w:r>
      <w:r>
        <w:rPr>
          <w:rFonts w:hint="eastAsia"/>
        </w:rPr>
        <w:t>m</w:t>
      </w:r>
      <w:r>
        <w:t>/</w:t>
      </w:r>
      <w:r>
        <w:rPr>
          <w:rFonts w:hint="eastAsia"/>
        </w:rPr>
        <w:t>s，X</w:t>
      </w:r>
      <w:r>
        <w:t xml:space="preserve">-Y </w:t>
      </w:r>
      <w:r>
        <w:rPr>
          <w:rFonts w:hint="eastAsia"/>
        </w:rPr>
        <w:t>方向）</w:t>
      </w:r>
    </w:p>
    <w:p>
      <w:pPr>
        <w:spacing w:line="360" w:lineRule="auto"/>
        <w:ind w:firstLine="420" w:firstLineChars="200"/>
        <w:jc w:val="left"/>
      </w:pPr>
      <w:r>
        <w:rPr>
          <w:rFonts w:hint="eastAsia"/>
        </w:rPr>
        <w:t>在高速气流分布上，原机设计与优化设计呈现了绝对量与分布区域的区别。除了经过通过图</w:t>
      </w:r>
      <w:r>
        <w:t>10</w:t>
      </w:r>
      <w:r>
        <w:rPr>
          <w:rFonts w:hint="eastAsia"/>
        </w:rPr>
        <w:t>的对比可以观察到，优化设计的缸内流场在点火时刻有着更多的高速气流（2</w:t>
      </w:r>
      <w:r>
        <w:t>0</w:t>
      </w:r>
      <w:r>
        <w:rPr>
          <w:rFonts w:hint="eastAsia"/>
        </w:rPr>
        <w:t>m</w:t>
      </w:r>
      <w:r>
        <w:t>/</w:t>
      </w:r>
      <w:r>
        <w:rPr>
          <w:rFonts w:hint="eastAsia"/>
        </w:rPr>
        <w:t>s），并且这些气流是呈现上下平整的夹层分布（对应图</w:t>
      </w:r>
      <w:r>
        <w:t>6</w:t>
      </w:r>
      <w:r>
        <w:rPr>
          <w:rFonts w:hint="eastAsia"/>
        </w:rPr>
        <w:t>与图</w:t>
      </w:r>
      <w:r>
        <w:t>7</w:t>
      </w:r>
      <w:r>
        <w:rPr>
          <w:rFonts w:hint="eastAsia"/>
        </w:rPr>
        <w:t>）。这种平整的夹层气流可以帮助火焰向外快速扩散。在原机设计的缸内流场中，有一股沿着中心线（图中红色虚线）的气流上下贯穿燃烧室，而其它区域的高速气流（2</w:t>
      </w:r>
      <w:r>
        <w:t>0</w:t>
      </w:r>
      <w:r>
        <w:rPr>
          <w:rFonts w:hint="eastAsia"/>
        </w:rPr>
        <w:t>m/s）较少。</w:t>
      </w:r>
    </w:p>
    <w:p>
      <w:pPr>
        <w:spacing w:line="360" w:lineRule="auto"/>
        <w:ind w:firstLine="420" w:firstLineChars="200"/>
        <w:jc w:val="center"/>
      </w:pPr>
      <w:r>
        <w:drawing>
          <wp:inline distT="0" distB="0" distL="0" distR="0">
            <wp:extent cx="4679950" cy="5668010"/>
            <wp:effectExtent l="0" t="0" r="635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4680000" cy="5668288"/>
                    </a:xfrm>
                    <a:prstGeom prst="rect">
                      <a:avLst/>
                    </a:prstGeom>
                  </pic:spPr>
                </pic:pic>
              </a:graphicData>
            </a:graphic>
          </wp:inline>
        </w:drawing>
      </w:r>
    </w:p>
    <w:p>
      <w:pPr>
        <w:spacing w:line="360" w:lineRule="auto"/>
        <w:ind w:firstLine="420" w:firstLineChars="200"/>
        <w:jc w:val="center"/>
      </w:pPr>
      <w:r>
        <w:rPr>
          <w:rFonts w:hint="eastAsia"/>
        </w:rPr>
        <w:t>图</w:t>
      </w:r>
      <w:r>
        <w:t xml:space="preserve">11 </w:t>
      </w:r>
      <w:r>
        <w:rPr>
          <w:rFonts w:hint="eastAsia"/>
        </w:rPr>
        <w:t>燃烧过程温度分布图（标尺最大值为</w:t>
      </w:r>
      <w:r>
        <w:t>2600 K</w:t>
      </w:r>
      <w:r>
        <w:rPr>
          <w:rFonts w:hint="eastAsia"/>
        </w:rPr>
        <w:t>，最小值为</w:t>
      </w:r>
      <w:r>
        <w:t>400 K</w:t>
      </w:r>
      <w:r>
        <w:rPr>
          <w:rFonts w:hint="eastAsia"/>
        </w:rPr>
        <w:t>，Z</w:t>
      </w:r>
      <w:r>
        <w:t>-Y</w:t>
      </w:r>
      <w:r>
        <w:rPr>
          <w:rFonts w:hint="eastAsia"/>
        </w:rPr>
        <w:t>方向）</w:t>
      </w:r>
    </w:p>
    <w:p>
      <w:pPr>
        <w:spacing w:line="360" w:lineRule="auto"/>
        <w:ind w:firstLine="420" w:firstLineChars="200"/>
        <w:jc w:val="left"/>
      </w:pPr>
      <w:r>
        <w:rPr>
          <w:rFonts w:hint="eastAsia"/>
        </w:rPr>
        <w:t>燃烧过程的对比可以更直接的展现原机设计与优化设计在不同时段下的区别。从图</w:t>
      </w:r>
      <w:r>
        <w:t>11</w:t>
      </w:r>
      <w:r>
        <w:rPr>
          <w:rFonts w:hint="eastAsia"/>
        </w:rPr>
        <w:t>的Z</w:t>
      </w:r>
      <w:r>
        <w:t>-Y</w:t>
      </w:r>
      <w:r>
        <w:rPr>
          <w:rFonts w:hint="eastAsia"/>
        </w:rPr>
        <w:t>方向对比可以观察到以下两点：a</w:t>
      </w:r>
      <w:r>
        <w:t xml:space="preserve">. </w:t>
      </w:r>
      <w:r>
        <w:rPr>
          <w:rFonts w:hint="eastAsia"/>
        </w:rPr>
        <w:t>受到缸内流场的影响，原机设计的初始火焰是从右至左的发展传播方向，而优化设计的初始火焰跟随着缸内顺时针漩涡发展，与进气完成后缸内气流的运动方向相同。</w:t>
      </w:r>
      <w:r>
        <w:t xml:space="preserve">b. </w:t>
      </w:r>
      <w:r>
        <w:rPr>
          <w:rFonts w:hint="eastAsia"/>
        </w:rPr>
        <w:t>得益于缸内气流的配合，优化设计的火焰传递在缸内迅速扩散并均匀地传播至进排气两侧的挤气区。</w:t>
      </w:r>
    </w:p>
    <w:p>
      <w:pPr>
        <w:spacing w:line="360" w:lineRule="auto"/>
        <w:ind w:firstLine="420" w:firstLineChars="200"/>
        <w:jc w:val="left"/>
      </w:pPr>
    </w:p>
    <w:p>
      <w:pPr>
        <w:spacing w:line="360" w:lineRule="auto"/>
        <w:ind w:firstLine="420" w:firstLineChars="200"/>
        <w:jc w:val="center"/>
      </w:pPr>
      <w:r>
        <w:drawing>
          <wp:inline distT="0" distB="0" distL="0" distR="0">
            <wp:extent cx="4679950" cy="5028565"/>
            <wp:effectExtent l="0" t="0" r="635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4680000" cy="5028867"/>
                    </a:xfrm>
                    <a:prstGeom prst="rect">
                      <a:avLst/>
                    </a:prstGeom>
                  </pic:spPr>
                </pic:pic>
              </a:graphicData>
            </a:graphic>
          </wp:inline>
        </w:drawing>
      </w:r>
    </w:p>
    <w:p>
      <w:pPr>
        <w:spacing w:line="360" w:lineRule="auto"/>
        <w:ind w:firstLine="420" w:firstLineChars="200"/>
        <w:jc w:val="center"/>
      </w:pPr>
      <w:r>
        <w:rPr>
          <w:rFonts w:hint="eastAsia"/>
        </w:rPr>
        <w:t>图</w:t>
      </w:r>
      <w:r>
        <w:t xml:space="preserve">12 </w:t>
      </w:r>
      <w:r>
        <w:rPr>
          <w:rFonts w:hint="eastAsia"/>
        </w:rPr>
        <w:t>燃烧过程温度分布图（标尺最大值为</w:t>
      </w:r>
      <w:r>
        <w:t>2600 K</w:t>
      </w:r>
      <w:r>
        <w:rPr>
          <w:rFonts w:hint="eastAsia"/>
        </w:rPr>
        <w:t>，最小值为</w:t>
      </w:r>
      <w:r>
        <w:t>400 K</w:t>
      </w:r>
      <w:r>
        <w:rPr>
          <w:rFonts w:hint="eastAsia"/>
        </w:rPr>
        <w:t>，Z</w:t>
      </w:r>
      <w:r>
        <w:t>-X</w:t>
      </w:r>
      <w:r>
        <w:rPr>
          <w:rFonts w:hint="eastAsia"/>
        </w:rPr>
        <w:t>方向）</w:t>
      </w:r>
    </w:p>
    <w:p>
      <w:pPr>
        <w:spacing w:line="360" w:lineRule="auto"/>
        <w:ind w:firstLine="420" w:firstLineChars="200"/>
        <w:jc w:val="left"/>
      </w:pPr>
      <w:r>
        <w:rPr>
          <w:rFonts w:hint="eastAsia"/>
        </w:rPr>
        <w:t>得益于燃烧室上下层高速气流的带动，优化设计在Z</w:t>
      </w:r>
      <w:r>
        <w:t>-X</w:t>
      </w:r>
      <w:r>
        <w:rPr>
          <w:rFonts w:hint="eastAsia"/>
        </w:rPr>
        <w:t>方向上的燃烧速度也更加均匀。图1</w:t>
      </w:r>
      <w:r>
        <w:t>2</w:t>
      </w:r>
      <w:r>
        <w:rPr>
          <w:rFonts w:hint="eastAsia"/>
        </w:rPr>
        <w:t>展示了在Z</w:t>
      </w:r>
      <w:r>
        <w:t>-X</w:t>
      </w:r>
      <w:r>
        <w:rPr>
          <w:rFonts w:hint="eastAsia"/>
        </w:rPr>
        <w:t>方向上的燃烧过程。联系上述的气流分布结果，原机设计中贯穿燃烧室中心的气流主要是集中在火花塞电极下方，这种分布也导致了在电极下方区域的火焰传递几乎不存在。相反，优化设计的流场呈顺时针漩涡趋势，使得初始火焰可以从电极之间快速扩散并传播至电极下方区域，然后向左右两端快速蔓延。</w:t>
      </w:r>
    </w:p>
    <w:p>
      <w:pPr>
        <w:spacing w:line="360" w:lineRule="auto"/>
        <w:ind w:firstLine="420" w:firstLineChars="200"/>
        <w:jc w:val="left"/>
      </w:pPr>
    </w:p>
    <w:p>
      <w:pPr>
        <w:spacing w:line="360" w:lineRule="auto"/>
        <w:ind w:firstLine="420" w:firstLineChars="200"/>
        <w:jc w:val="center"/>
      </w:pPr>
      <w:r>
        <w:drawing>
          <wp:inline distT="0" distB="0" distL="0" distR="0">
            <wp:extent cx="3895725" cy="66198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3895725" cy="6619875"/>
                    </a:xfrm>
                    <a:prstGeom prst="rect">
                      <a:avLst/>
                    </a:prstGeom>
                  </pic:spPr>
                </pic:pic>
              </a:graphicData>
            </a:graphic>
          </wp:inline>
        </w:drawing>
      </w:r>
    </w:p>
    <w:p>
      <w:pPr>
        <w:spacing w:line="360" w:lineRule="auto"/>
        <w:ind w:firstLine="420" w:firstLineChars="200"/>
        <w:jc w:val="center"/>
      </w:pPr>
      <w:r>
        <w:rPr>
          <w:rFonts w:hint="eastAsia"/>
        </w:rPr>
        <w:t>图</w:t>
      </w:r>
      <w:r>
        <w:t xml:space="preserve">13 </w:t>
      </w:r>
      <w:r>
        <w:rPr>
          <w:rFonts w:hint="eastAsia"/>
        </w:rPr>
        <w:t>燃烧过程等值面分布图（1</w:t>
      </w:r>
      <w:r>
        <w:t>500 K</w:t>
      </w:r>
      <w:r>
        <w:rPr>
          <w:rFonts w:hint="eastAsia"/>
        </w:rPr>
        <w:t>，</w:t>
      </w:r>
      <w:r>
        <w:t xml:space="preserve">Y-X </w:t>
      </w:r>
      <w:r>
        <w:rPr>
          <w:rFonts w:hint="eastAsia"/>
        </w:rPr>
        <w:t>方向）</w:t>
      </w:r>
    </w:p>
    <w:p>
      <w:pPr>
        <w:spacing w:line="360" w:lineRule="auto"/>
        <w:ind w:firstLine="420" w:firstLineChars="200"/>
        <w:jc w:val="left"/>
      </w:pPr>
      <w:r>
        <w:rPr>
          <w:rFonts w:hint="eastAsia"/>
        </w:rPr>
        <w:t>图1</w:t>
      </w:r>
      <w:r>
        <w:t>3</w:t>
      </w:r>
      <w:r>
        <w:rPr>
          <w:rFonts w:hint="eastAsia"/>
        </w:rPr>
        <w:t>展示的是1</w:t>
      </w:r>
      <w:r>
        <w:t>500 K</w:t>
      </w:r>
      <w:r>
        <w:rPr>
          <w:rFonts w:hint="eastAsia"/>
        </w:rPr>
        <w:t>温度等值面的分布。1</w:t>
      </w:r>
      <w:r>
        <w:t>500-1700 K</w:t>
      </w:r>
      <w:r>
        <w:rPr>
          <w:rFonts w:hint="eastAsia"/>
        </w:rPr>
        <w:t>是接近异辛烷绝热火焰温度（A</w:t>
      </w:r>
      <w:r>
        <w:t>diabatic Flame Temperature</w:t>
      </w:r>
      <w:r>
        <w:rPr>
          <w:rFonts w:hint="eastAsia"/>
        </w:rPr>
        <w:t>）的范围，因此该温度范围也是被常用于展示实时火焰位置。从图</w:t>
      </w:r>
      <w:r>
        <w:t>13</w:t>
      </w:r>
      <w:r>
        <w:rPr>
          <w:rFonts w:hint="eastAsia"/>
        </w:rPr>
        <w:t>中可以观察到，优化设计下的燃烧过程是呈现沿着进/排气中心线上下分割的对称分布，而原机设计的燃烧是偏向进气端发展。均匀分布的火焰传递过程，对于抑制爆震上有一定的收益。</w:t>
      </w:r>
    </w:p>
    <w:p>
      <w:pPr>
        <w:spacing w:line="360" w:lineRule="auto"/>
        <w:ind w:firstLine="420" w:firstLineChars="200"/>
        <w:jc w:val="left"/>
      </w:pPr>
      <w:r>
        <w:rPr>
          <w:rFonts w:hint="eastAsia"/>
        </w:rPr>
        <w:t>总结：通过仿真数值与三维结果的对比，4</w:t>
      </w:r>
      <w:r>
        <w:t>76ZQE</w:t>
      </w:r>
      <w:r>
        <w:rPr>
          <w:rFonts w:hint="eastAsia"/>
        </w:rPr>
        <w:t>优化设计在满足设计限制的情况下，可以总结为两点提升：</w:t>
      </w:r>
      <w:r>
        <w:t xml:space="preserve">a. </w:t>
      </w:r>
      <w:r>
        <w:rPr>
          <w:rFonts w:hint="eastAsia"/>
        </w:rPr>
        <w:t xml:space="preserve">通过对燃烧室几何形状的迭代优化，显著提高了缸内流场与火焰传递的配合度，从而带来更短的燃烧延迟 </w:t>
      </w:r>
      <w:r>
        <w:t xml:space="preserve">b. </w:t>
      </w:r>
      <w:r>
        <w:rPr>
          <w:rFonts w:hint="eastAsia"/>
        </w:rPr>
        <w:t>保持缸内高流速的气流场，帮助提前</w:t>
      </w:r>
      <w:r>
        <w:t>AI50</w:t>
      </w:r>
      <w:r>
        <w:rPr>
          <w:rFonts w:hint="eastAsia"/>
        </w:rPr>
        <w:t>时刻与A</w:t>
      </w:r>
      <w:r>
        <w:t>I90</w:t>
      </w:r>
      <w:r>
        <w:rPr>
          <w:rFonts w:hint="eastAsia"/>
        </w:rPr>
        <w:t>时刻，进而缩短后半段的燃烧时长。</w:t>
      </w:r>
    </w:p>
    <w:p>
      <w:pPr>
        <w:spacing w:line="360" w:lineRule="auto"/>
        <w:ind w:firstLine="420" w:firstLineChars="200"/>
        <w:jc w:val="left"/>
      </w:pPr>
    </w:p>
    <w:p>
      <w:r>
        <w:rPr>
          <w:b/>
          <w:bCs/>
          <w:sz w:val="28"/>
          <w:szCs w:val="28"/>
        </w:rPr>
        <w:t>4.</w:t>
      </w:r>
      <w:r>
        <w:rPr>
          <w:rFonts w:hint="eastAsia"/>
          <w:b/>
          <w:bCs/>
          <w:sz w:val="28"/>
          <w:szCs w:val="28"/>
        </w:rPr>
        <w:t>实验对比</w:t>
      </w:r>
    </w:p>
    <w:p>
      <w:pPr>
        <w:ind w:firstLine="435"/>
      </w:pPr>
      <w:r>
        <w:rPr>
          <w:rFonts w:hint="eastAsia"/>
        </w:rPr>
        <w:t>在初步的实验中，4</w:t>
      </w:r>
      <w:r>
        <w:t>76ZQE</w:t>
      </w:r>
      <w:r>
        <w:rPr>
          <w:rFonts w:hint="eastAsia"/>
        </w:rPr>
        <w:t>优化设计已展示了优秀的燃烧效率。</w:t>
      </w:r>
      <w:r>
        <w:rPr>
          <w:rFonts w:hint="eastAsia"/>
          <w:lang w:val="en-US" w:eastAsia="zh-CN"/>
        </w:rPr>
        <w:t>由于天然气的燃烧方式同样是火花点燃（</w:t>
      </w:r>
      <w:r>
        <w:rPr>
          <w:rFonts w:hint="default"/>
          <w:lang w:val="en-US" w:eastAsia="zh-CN"/>
        </w:rPr>
        <w:t>Spark Ignition</w:t>
      </w:r>
      <w:r>
        <w:rPr>
          <w:rFonts w:hint="eastAsia"/>
          <w:lang w:val="en-US" w:eastAsia="zh-CN"/>
        </w:rPr>
        <w:t>），因此首次实验对比是在天然气项目上完成。</w:t>
      </w:r>
      <w:r>
        <w:rPr>
          <w:rFonts w:hint="eastAsia"/>
        </w:rPr>
        <w:t>对标市场上其它天然气发动机，优化设计（弗迪1</w:t>
      </w:r>
      <w:r>
        <w:t>.5T</w:t>
      </w:r>
      <w:r>
        <w:rPr>
          <w:rFonts w:hint="eastAsia"/>
        </w:rPr>
        <w:t>）在保持同排量最高的功率同时，给出了最低的气耗率表现。这对于后续同平台多样化燃料的路线尝试，提供了一定的参考基础。</w:t>
      </w:r>
    </w:p>
    <w:p>
      <w:pPr>
        <w:ind w:firstLine="435"/>
      </w:pPr>
    </w:p>
    <w:p>
      <w:pPr>
        <w:ind w:firstLine="435"/>
        <w:jc w:val="center"/>
      </w:pPr>
      <w:r>
        <w:drawing>
          <wp:inline distT="0" distB="0" distL="0" distR="0">
            <wp:extent cx="4679950" cy="255270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4680000" cy="2552983"/>
                    </a:xfrm>
                    <a:prstGeom prst="rect">
                      <a:avLst/>
                    </a:prstGeom>
                  </pic:spPr>
                </pic:pic>
              </a:graphicData>
            </a:graphic>
          </wp:inline>
        </w:drawing>
      </w:r>
    </w:p>
    <w:p>
      <w:pPr>
        <w:ind w:firstLine="435"/>
        <w:jc w:val="center"/>
      </w:pPr>
      <w:r>
        <w:rPr>
          <w:rFonts w:hint="eastAsia"/>
        </w:rPr>
        <w:t>图1</w:t>
      </w:r>
      <w:r>
        <w:t>4 F22TH</w:t>
      </w:r>
      <w:r>
        <w:rPr>
          <w:rFonts w:hint="eastAsia"/>
        </w:rPr>
        <w:t>发动机性能对标</w:t>
      </w:r>
    </w:p>
    <w:p>
      <w:r>
        <w:rPr>
          <w:b/>
          <w:bCs/>
          <w:sz w:val="28"/>
          <w:szCs w:val="28"/>
        </w:rPr>
        <w:t>5.</w:t>
      </w:r>
      <w:r>
        <w:rPr>
          <w:rFonts w:hint="eastAsia"/>
          <w:b/>
          <w:bCs/>
          <w:sz w:val="28"/>
          <w:szCs w:val="28"/>
        </w:rPr>
        <w:t>结论</w:t>
      </w:r>
    </w:p>
    <w:p>
      <w:pPr>
        <w:spacing w:line="360" w:lineRule="auto"/>
        <w:ind w:firstLine="420" w:firstLineChars="200"/>
        <w:jc w:val="left"/>
      </w:pPr>
      <w:r>
        <w:rPr>
          <w:rFonts w:hint="eastAsia"/>
        </w:rPr>
        <w:t>本文对B</w:t>
      </w:r>
      <w:r>
        <w:t>YD 476ZQE</w:t>
      </w:r>
      <w:r>
        <w:rPr>
          <w:rFonts w:hint="eastAsia"/>
        </w:rPr>
        <w:t>进行了仿真研究，主要结论如下：</w:t>
      </w:r>
    </w:p>
    <w:p>
      <w:pPr>
        <w:pStyle w:val="18"/>
        <w:numPr>
          <w:ilvl w:val="0"/>
          <w:numId w:val="3"/>
        </w:numPr>
        <w:spacing w:line="360" w:lineRule="auto"/>
        <w:ind w:firstLineChars="0"/>
        <w:jc w:val="left"/>
      </w:pPr>
      <w:r>
        <w:rPr>
          <w:rFonts w:hint="eastAsia"/>
        </w:rPr>
        <w:t>本次研究涉及的三维仿真时通过Converge</w:t>
      </w:r>
      <w:r>
        <w:t xml:space="preserve"> CFD</w:t>
      </w:r>
      <w:r>
        <w:rPr>
          <w:rFonts w:hint="eastAsia"/>
        </w:rPr>
        <w:t>搭建完成的。其中发动机循环使用的湍流模型为</w:t>
      </w:r>
      <w:r>
        <w:t>RNG</w:t>
      </w:r>
      <w:r>
        <w:rPr>
          <w:rFonts w:hint="eastAsia"/>
        </w:rPr>
        <w:t xml:space="preserve"> k</w:t>
      </w:r>
      <w:r>
        <w:t>-epsilon</w:t>
      </w:r>
      <w:r>
        <w:rPr>
          <w:rFonts w:hint="eastAsia"/>
        </w:rPr>
        <w:t>，燃烧模型是S</w:t>
      </w:r>
      <w:r>
        <w:t xml:space="preserve">AGE + </w:t>
      </w:r>
      <w:r>
        <w:rPr>
          <w:rFonts w:hint="eastAsia"/>
        </w:rPr>
        <w:t>简化化学反应机理。边界输入主要参照已校准的4</w:t>
      </w:r>
      <w:r>
        <w:t>76ZQE</w:t>
      </w:r>
      <w:r>
        <w:rPr>
          <w:rFonts w:hint="eastAsia"/>
        </w:rPr>
        <w:t>原机一维仿真模型。</w:t>
      </w:r>
    </w:p>
    <w:p>
      <w:pPr>
        <w:pStyle w:val="18"/>
        <w:numPr>
          <w:ilvl w:val="0"/>
          <w:numId w:val="3"/>
        </w:numPr>
        <w:spacing w:line="360" w:lineRule="auto"/>
        <w:ind w:firstLineChars="0"/>
        <w:jc w:val="left"/>
      </w:pPr>
      <w:r>
        <w:rPr>
          <w:rFonts w:hint="eastAsia"/>
        </w:rPr>
        <w:t>考虑到三维模型使用的模型与边界（参考表2、3、4、6），以A</w:t>
      </w:r>
      <w:r>
        <w:t>I50</w:t>
      </w:r>
      <w:r>
        <w:rPr>
          <w:rFonts w:hint="eastAsia"/>
        </w:rPr>
        <w:t>时刻、最大缸压以及其时间点作为模型准确性的评判标准，4</w:t>
      </w:r>
      <w:r>
        <w:t>76ZQE</w:t>
      </w:r>
      <w:r>
        <w:rPr>
          <w:rFonts w:hint="eastAsia"/>
        </w:rPr>
        <w:t>原机设计的三维模型校准是在可接受范围内：仿真A</w:t>
      </w:r>
      <w:r>
        <w:t>I50</w:t>
      </w:r>
      <w:r>
        <w:rPr>
          <w:rFonts w:hint="eastAsia"/>
        </w:rPr>
        <w:t>对比实验数值相差1</w:t>
      </w:r>
      <w:r>
        <w:t xml:space="preserve"> </w:t>
      </w:r>
      <w:r>
        <w:rPr>
          <w:rFonts w:hint="eastAsia"/>
        </w:rPr>
        <w:t>度（曲轴转角），仿真最大缸压对比实验数据相差3</w:t>
      </w:r>
      <w:r>
        <w:t xml:space="preserve">.61 </w:t>
      </w:r>
      <w:r>
        <w:rPr>
          <w:rFonts w:hint="eastAsia"/>
        </w:rPr>
        <w:t>bar，仿真最大缸压时间点相比实验数据相差1</w:t>
      </w:r>
      <w:r>
        <w:t xml:space="preserve"> </w:t>
      </w:r>
      <w:r>
        <w:rPr>
          <w:rFonts w:hint="eastAsia"/>
        </w:rPr>
        <w:t>度（曲轴转角）。</w:t>
      </w:r>
    </w:p>
    <w:p>
      <w:pPr>
        <w:pStyle w:val="18"/>
        <w:numPr>
          <w:ilvl w:val="0"/>
          <w:numId w:val="3"/>
        </w:numPr>
        <w:spacing w:line="360" w:lineRule="auto"/>
        <w:ind w:firstLineChars="0"/>
        <w:jc w:val="left"/>
      </w:pPr>
      <w:r>
        <w:rPr>
          <w:rFonts w:hint="eastAsia"/>
        </w:rPr>
        <w:t>相较于原机设计，在相同初始边界条件下，优化设计展示了显著的性能提升：优化设计的A</w:t>
      </w:r>
      <w:r>
        <w:t>I50</w:t>
      </w:r>
      <w:r>
        <w:rPr>
          <w:rFonts w:hint="eastAsia"/>
        </w:rPr>
        <w:t>相比原机的有3</w:t>
      </w:r>
      <w:r>
        <w:t xml:space="preserve"> </w:t>
      </w:r>
      <w:r>
        <w:rPr>
          <w:rFonts w:hint="eastAsia"/>
        </w:rPr>
        <w:t>度（曲轴转角）的提升，而A</w:t>
      </w:r>
      <w:r>
        <w:t>I90</w:t>
      </w:r>
      <w:r>
        <w:rPr>
          <w:rFonts w:hint="eastAsia"/>
        </w:rPr>
        <w:t>有5度的提升。最大缸压从原机的8</w:t>
      </w:r>
      <w:r>
        <w:t xml:space="preserve">5.52 </w:t>
      </w:r>
      <w:r>
        <w:rPr>
          <w:rFonts w:hint="eastAsia"/>
        </w:rPr>
        <w:t>bar提升至9</w:t>
      </w:r>
      <w:r>
        <w:t xml:space="preserve">6.54 </w:t>
      </w:r>
      <w:r>
        <w:rPr>
          <w:rFonts w:hint="eastAsia"/>
        </w:rPr>
        <w:t>bar，对应的时间也有约1度的提高。同时，优化设计对于缸内流场的改动，主要体现在以下三点：a</w:t>
      </w:r>
      <w:r>
        <w:t xml:space="preserve">. </w:t>
      </w:r>
      <w:r>
        <w:rPr>
          <w:rFonts w:hint="eastAsia"/>
        </w:rPr>
        <w:t>在上止点前保留更多的高速气流 b</w:t>
      </w:r>
      <w:r>
        <w:t xml:space="preserve">. </w:t>
      </w:r>
      <w:r>
        <w:rPr>
          <w:rFonts w:hint="eastAsia"/>
        </w:rPr>
        <w:t>流场方向与初始火焰发展的配合度更高 c</w:t>
      </w:r>
      <w:r>
        <w:t xml:space="preserve">. </w:t>
      </w:r>
      <w:r>
        <w:rPr>
          <w:rFonts w:hint="eastAsia"/>
        </w:rPr>
        <w:t>初始火焰在扩散后能够更均匀、快速地向四周传播。</w:t>
      </w:r>
    </w:p>
    <w:p/>
    <w:p>
      <w:pPr>
        <w:spacing w:line="360" w:lineRule="auto"/>
        <w:rPr>
          <w:b/>
          <w:sz w:val="28"/>
          <w:szCs w:val="28"/>
        </w:rPr>
      </w:pPr>
      <w:r>
        <w:rPr>
          <w:rFonts w:hint="eastAsia"/>
          <w:b/>
          <w:sz w:val="28"/>
          <w:szCs w:val="28"/>
        </w:rPr>
        <w:t>致谢</w:t>
      </w:r>
    </w:p>
    <w:p>
      <w:pPr>
        <w:spacing w:line="360" w:lineRule="auto"/>
        <w:ind w:firstLine="420" w:firstLineChars="200"/>
        <w:jc w:val="left"/>
      </w:pPr>
      <w:r>
        <w:rPr>
          <w:rFonts w:hint="eastAsia"/>
        </w:rPr>
        <w:t>感谢弗迪动力发动机研究部葛亚军先生对本次优化方案中涉及的C</w:t>
      </w:r>
      <w:r>
        <w:t>AD</w:t>
      </w:r>
      <w:r>
        <w:rPr>
          <w:rFonts w:hint="eastAsia"/>
        </w:rPr>
        <w:t>模型搭建与方案修改。</w:t>
      </w:r>
    </w:p>
    <w:p/>
    <w:p>
      <w:pPr>
        <w:spacing w:line="360" w:lineRule="auto"/>
        <w:rPr>
          <w:b/>
          <w:sz w:val="28"/>
          <w:szCs w:val="28"/>
        </w:rPr>
      </w:pPr>
      <w:r>
        <w:rPr>
          <w:rFonts w:hint="eastAsia"/>
          <w:b/>
          <w:sz w:val="28"/>
          <w:szCs w:val="28"/>
        </w:rPr>
        <w:t>参考文献</w:t>
      </w:r>
    </w:p>
    <w:p>
      <w:pPr>
        <w:spacing w:line="360" w:lineRule="auto"/>
        <w:jc w:val="left"/>
      </w:pPr>
      <w:r>
        <w:t>[1] “FOTW #1254, September 5, 2022: 2021 Hybrid-Electric Vehicle Sales Increased by 76% over 2020.” Energy.Gov, 5 Sept. 2022, www.energy.gov/eere/vehicles/articles/fotw-1254-september-5-2022-2021-hybrid-electric-vehicle-sales-increased-76.</w:t>
      </w:r>
    </w:p>
    <w:p>
      <w:pPr>
        <w:spacing w:line="360" w:lineRule="auto"/>
        <w:jc w:val="left"/>
      </w:pPr>
      <w:r>
        <w:t>[2] Sens, Marc. “Hybrid Powertrains with Dedicated Internal Combustion Engines Are the Perfect Basis for Future Global Mobility Demands.” Transportation Engineering, 8 Nov. 2022, https://doi.org/10.1016/j.treng.2022.100146.</w:t>
      </w:r>
    </w:p>
    <w:p>
      <w:pPr>
        <w:spacing w:line="360" w:lineRule="auto"/>
        <w:jc w:val="left"/>
      </w:pPr>
      <w:r>
        <w:t>[3] Heywood, John. Internal Combustion Engine Fundamentals 2E /. New York, N.Y., Mcgraw-Hill Education, 2019, pp. 300–301.</w:t>
      </w:r>
    </w:p>
    <w:p>
      <w:pPr>
        <w:spacing w:line="360" w:lineRule="auto"/>
        <w:jc w:val="left"/>
      </w:pPr>
      <w:r>
        <w:t>[4] Yu, Shui, and Ming Zheng. “Future Gasoline Engine Ignition: A Review on Advanced Concepts.” International Journal of Engine Research, vol. 22, no. 6, 19 Sept. 2020, pp. 1743–1775, https://doi.org/10.1177/1468087420953085.</w:t>
      </w:r>
    </w:p>
    <w:p>
      <w:pPr>
        <w:spacing w:line="360" w:lineRule="auto"/>
        <w:jc w:val="left"/>
      </w:pPr>
      <w:r>
        <w:t>[5] Heywood, John. Internal Combustion Engine Fundamentals 2E /. New York, N.Y., Mcgraw-Hill Education, 2019, pp. 1480–1493.</w:t>
      </w:r>
    </w:p>
    <w:p>
      <w:pPr>
        <w:spacing w:line="360" w:lineRule="auto"/>
        <w:jc w:val="left"/>
      </w:pPr>
      <w:r>
        <w:t>[6] Wong, Victor W., and Simon C. Tung. “Overview of Automotive Engine Friction and Reduction Trends–Effects of Surface, Material, and Lubricant-Additive Technologies.” Friction, vol. 4, no. 1, Mar. 2016, pp. 1–28, https://doi.org/10.1007/s40544-016-0107-9.</w:t>
      </w:r>
    </w:p>
    <w:p>
      <w:pPr>
        <w:spacing w:line="360" w:lineRule="auto"/>
        <w:jc w:val="left"/>
      </w:pPr>
      <w:r>
        <w:t>[7] Heywood, John. Internal Combustion Engine Fundamentals 2E /. New York, N.Y., Mcgraw-Hill Education, 2019, pp. 1285–1292.</w:t>
      </w:r>
    </w:p>
    <w:p>
      <w:pPr>
        <w:spacing w:line="360" w:lineRule="auto"/>
        <w:jc w:val="left"/>
      </w:pPr>
      <w:r>
        <w:t>[8] Omori, Soichi, et al. “Effect of Intake Port Flow Pattern on the In-Cylinder Tumbling Air Flow in Multi-Valve SI Engines.” SAE, 1 Feb. 1991, https://doi.org/10.4271/910477.</w:t>
      </w:r>
    </w:p>
    <w:p>
      <w:pPr>
        <w:spacing w:line="360" w:lineRule="auto"/>
        <w:jc w:val="left"/>
      </w:pPr>
      <w:r>
        <w:t>[9] O Hadded, and Ingemar Denbratt. “Turbulence Characteristics of Tumbling Air Motion in Four-Valve S.I. Engines and Their Correlation with Combustion Parameters.” SAE, 1 Feb. 1991, https://doi.org/10.4271/910478.</w:t>
      </w:r>
    </w:p>
    <w:p>
      <w:pPr>
        <w:spacing w:line="360" w:lineRule="auto"/>
        <w:jc w:val="left"/>
      </w:pPr>
      <w:r>
        <w:t>[10] Endres, Helmut, et al. “Influence of Swirl and Tumble on Economy and Emissions of Multi Valve SI Engines.” SAE, 1 Feb. 1992, https://doi.org/10.4271/920516.</w:t>
      </w:r>
    </w:p>
    <w:p>
      <w:pPr>
        <w:spacing w:line="360" w:lineRule="auto"/>
        <w:jc w:val="left"/>
      </w:pPr>
      <w:r>
        <w:t>[11] Dai, Wen, et al. “Predictions of In-Cylinder Tumble Flow and Combustion in SI Engines with a Quasi-Dimensional Model.” SAE, 1 Oct. 1996, https://doi.org/10.4271/961962.</w:t>
      </w:r>
    </w:p>
    <w:p>
      <w:pPr>
        <w:spacing w:line="360" w:lineRule="auto"/>
        <w:jc w:val="left"/>
      </w:pPr>
      <w:r>
        <w:t>[12] Stephen George Russ, et al. “Measurements of the Effect of In-Cylinder Motion on Flame Development and Cycle-To-Cycle Variations Using an Ionization Probe Head Gasket.” SAE, 24 Feb. 1997, https://doi.org/10.4271/970507.</w:t>
      </w:r>
    </w:p>
    <w:p>
      <w:pPr>
        <w:spacing w:line="360" w:lineRule="auto"/>
        <w:jc w:val="left"/>
      </w:pPr>
      <w:r>
        <w:t>[13] Hascher, Hans G, et al. “The 3-D In-Cylinder Charge Motion of a Four-Valve SI Engine under Stroke, Speed, and Load Variation.” SAE, 16 Oct. 2000, https://doi.org/10.4271/2000-01-2798.</w:t>
      </w:r>
    </w:p>
    <w:p>
      <w:pPr>
        <w:spacing w:line="360" w:lineRule="auto"/>
        <w:jc w:val="left"/>
      </w:pPr>
      <w:r>
        <w:t>[14] Szekely, Gerald A, et al. “Optimization of the Stratified-Charge Regime of the Reverse-Tumble Wall-Controlled Gasoline Direct-Injection Engine.” SAE, 8 Mar. 2004, https://doi.org/10.4271/2004-01-0037.</w:t>
      </w:r>
    </w:p>
    <w:p>
      <w:pPr>
        <w:spacing w:line="360" w:lineRule="auto"/>
        <w:jc w:val="left"/>
      </w:pPr>
      <w:r>
        <w:t>[15] Malcolm, John B, et al. “Characterisation of Flow Structures in a Direct-Injection Spark-Ignition Engine Using PIV, LDV and CFD.” SAE, 12 Apr. 2011, https://doi.org/10.4271/2011-01-1290.</w:t>
      </w:r>
    </w:p>
    <w:p>
      <w:pPr>
        <w:spacing w:line="360" w:lineRule="auto"/>
        <w:jc w:val="left"/>
      </w:pPr>
      <w:r>
        <w:t>[16] Surendra Gaikwad, et al. “Charge Motion Analysis to Guide Engine Port Development and Enhance Combustion Stability for High Cooled Exhaust Gas Recirculation.” SAE, 8 Apr. 2013, https://doi.org/10.4271/2013-01-1313.</w:t>
      </w:r>
    </w:p>
    <w:p>
      <w:pPr>
        <w:spacing w:line="360" w:lineRule="auto"/>
        <w:jc w:val="left"/>
      </w:pPr>
      <w:r>
        <w:t>[17] Takahashi, Daishi, et al. “Combustion Development to Realize High Thermal Efficiency Engines.” SAE International Journal of Engines, vol. 9, no. 3, 5 Apr. 2016, pp. 1486–1493, https://doi.org/10.4271/2016-01-0693.</w:t>
      </w:r>
    </w:p>
    <w:p>
      <w:pPr>
        <w:spacing w:line="360" w:lineRule="auto"/>
        <w:jc w:val="left"/>
      </w:pPr>
      <w:r>
        <w:t>[18] Richards, K. J., Senecal, P. K., and Pomraning, E., CONVERGE 3.0, Convergent Science. Madison, WI (2022).</w:t>
      </w:r>
    </w:p>
    <w:p>
      <w:pPr>
        <w:spacing w:line="360" w:lineRule="auto"/>
        <w:jc w:val="left"/>
      </w:pPr>
      <w:r>
        <w:t>[19] Senecal, P.K., Pomraning, E., and Richards, K.J., "Multi-Dimensional Modeling of Direct-</w:t>
      </w:r>
    </w:p>
    <w:p>
      <w:pPr>
        <w:spacing w:line="360" w:lineRule="auto"/>
        <w:jc w:val="left"/>
      </w:pPr>
      <w:r>
        <w:t>Injection Diesel Spray Liquid Length and Flame Lift-off Length using CFD and Parallel</w:t>
      </w:r>
    </w:p>
    <w:p>
      <w:pPr>
        <w:spacing w:line="360" w:lineRule="auto"/>
        <w:jc w:val="left"/>
      </w:pPr>
      <w:r>
        <w:t>Detailed Chemistry," SAE Paper 2003-01-1043, 2003. DOI: 10.4271/2003-01-1043.</w:t>
      </w:r>
    </w:p>
    <w:p>
      <w:pPr>
        <w:spacing w:line="360" w:lineRule="auto"/>
        <w:jc w:val="left"/>
      </w:pPr>
      <w:r>
        <w:t>[20] Liu, Yaodong, et al. “Enhancement on a Skeletal Kinetic Model for Primary Reference Fuel Oxidation by Using a Semidecoupling Methodology.” Energy&amp;Fuels, vol. 26, no. 12, 12 Nov. 2012, pp. 7069–7083, https://doi.org/10.1021/ef301242b.</w:t>
      </w:r>
    </w:p>
    <w:p>
      <w:pPr>
        <w:spacing w:line="360" w:lineRule="auto"/>
        <w:jc w:val="left"/>
      </w:pPr>
      <w:r>
        <w:t>[21] Wang, B., Miles, P., Reitz, R., and Han, Z., "Assessment of RNG Turbulence Modeling and</w:t>
      </w:r>
    </w:p>
    <w:p>
      <w:pPr>
        <w:spacing w:line="360" w:lineRule="auto"/>
        <w:jc w:val="left"/>
      </w:pPr>
      <w:r>
        <w:t>the Development of a Generalized RNG Closure Model," SAE Paper 2011-01-0829, 2011.</w:t>
      </w:r>
    </w:p>
    <w:p>
      <w:pPr>
        <w:spacing w:line="360" w:lineRule="auto"/>
        <w:jc w:val="left"/>
      </w:pPr>
      <w:r>
        <w:t>DOI: 10.4271/2011-01-0829</w:t>
      </w:r>
    </w:p>
    <w:p>
      <w:pPr>
        <w:spacing w:line="360" w:lineRule="auto"/>
        <w:jc w:val="left"/>
      </w:pPr>
      <w:r>
        <w:t>[22] Bowman, C. T.: “Kinetics of Pollutant Formation and Destruction in Combustion,” Prog. Energy Combust. Sci., vol. 1, pp. 33–45, 1975.</w:t>
      </w:r>
    </w:p>
    <w:p>
      <w:pPr>
        <w:spacing w:line="360" w:lineRule="auto"/>
        <w:jc w:val="left"/>
      </w:pPr>
      <w:r>
        <w:t>[23] O’Rourke, P.J. and Amsden, A.A., "A Spray/Wall Interaction Submodel for the KIVA-3 Wall</w:t>
      </w:r>
    </w:p>
    <w:p>
      <w:pPr>
        <w:spacing w:line="360" w:lineRule="auto"/>
        <w:jc w:val="left"/>
      </w:pPr>
      <w:r>
        <w:t>Film Model," SAE Paper 2000-01-0271, 2000. DOI: 10.4271/2000-01-0271</w:t>
      </w:r>
    </w:p>
    <w:p>
      <w:pPr>
        <w:spacing w:line="360" w:lineRule="auto"/>
        <w:jc w:val="left"/>
      </w:pPr>
      <w:r>
        <w:t>[24] Heywood, John. Internal Combustion Engine Fundamentals 2E /. New York, N.Y., Mcgraw-Hill Education, 2019, p. 672.</w:t>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left"/>
    </w:pPr>
    <w:r>
      <w:rPr>
        <w:rFonts w:hint="eastAsia"/>
      </w:rPr>
      <w:t xml:space="preserve">【基于BYD476ZQE 燃烧室的三维仿真分析与优化】                      </w:t>
    </w:r>
    <w:r>
      <w:t xml:space="preserve">         </w:t>
    </w:r>
    <w:r>
      <w:rPr>
        <w:rFonts w:hint="eastAsia"/>
      </w:rPr>
      <w:t xml:space="preserve">  ★机 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F766A1"/>
    <w:multiLevelType w:val="multilevel"/>
    <w:tmpl w:val="11F766A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D553D78"/>
    <w:multiLevelType w:val="multilevel"/>
    <w:tmpl w:val="1D553D7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2EB7DF9"/>
    <w:multiLevelType w:val="multilevel"/>
    <w:tmpl w:val="42EB7DF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640E"/>
    <w:rsid w:val="00002967"/>
    <w:rsid w:val="00005848"/>
    <w:rsid w:val="000066D5"/>
    <w:rsid w:val="00021424"/>
    <w:rsid w:val="000220B9"/>
    <w:rsid w:val="00027D5F"/>
    <w:rsid w:val="00032EC8"/>
    <w:rsid w:val="000346C6"/>
    <w:rsid w:val="00034FEF"/>
    <w:rsid w:val="0003769F"/>
    <w:rsid w:val="00045FDF"/>
    <w:rsid w:val="0005723D"/>
    <w:rsid w:val="0006527E"/>
    <w:rsid w:val="000737D8"/>
    <w:rsid w:val="00073D28"/>
    <w:rsid w:val="00074F9D"/>
    <w:rsid w:val="00082A9B"/>
    <w:rsid w:val="00083C31"/>
    <w:rsid w:val="0008532E"/>
    <w:rsid w:val="00085815"/>
    <w:rsid w:val="00085C04"/>
    <w:rsid w:val="00096C27"/>
    <w:rsid w:val="000A130D"/>
    <w:rsid w:val="000A7A3A"/>
    <w:rsid w:val="000B2BA5"/>
    <w:rsid w:val="000B4E4A"/>
    <w:rsid w:val="000C03A7"/>
    <w:rsid w:val="000C50CE"/>
    <w:rsid w:val="000C543F"/>
    <w:rsid w:val="000C7CEC"/>
    <w:rsid w:val="000D6890"/>
    <w:rsid w:val="000E1840"/>
    <w:rsid w:val="000E581D"/>
    <w:rsid w:val="000E7B18"/>
    <w:rsid w:val="000F0C52"/>
    <w:rsid w:val="000F1086"/>
    <w:rsid w:val="000F38B6"/>
    <w:rsid w:val="000F4FC5"/>
    <w:rsid w:val="00103CC7"/>
    <w:rsid w:val="00105622"/>
    <w:rsid w:val="00111BDA"/>
    <w:rsid w:val="00113A72"/>
    <w:rsid w:val="00115F2A"/>
    <w:rsid w:val="001218ED"/>
    <w:rsid w:val="00122AA9"/>
    <w:rsid w:val="00141543"/>
    <w:rsid w:val="00142343"/>
    <w:rsid w:val="00145711"/>
    <w:rsid w:val="00164E75"/>
    <w:rsid w:val="00167A7B"/>
    <w:rsid w:val="0017002C"/>
    <w:rsid w:val="001706EF"/>
    <w:rsid w:val="001905B6"/>
    <w:rsid w:val="001911EF"/>
    <w:rsid w:val="00191C34"/>
    <w:rsid w:val="00194D6E"/>
    <w:rsid w:val="00195C14"/>
    <w:rsid w:val="00197363"/>
    <w:rsid w:val="001A1B89"/>
    <w:rsid w:val="001B43FF"/>
    <w:rsid w:val="001B7103"/>
    <w:rsid w:val="001C0E44"/>
    <w:rsid w:val="001C4602"/>
    <w:rsid w:val="001D228E"/>
    <w:rsid w:val="001D690F"/>
    <w:rsid w:val="001E0580"/>
    <w:rsid w:val="001E0DF4"/>
    <w:rsid w:val="001E5EA3"/>
    <w:rsid w:val="001F656E"/>
    <w:rsid w:val="00200415"/>
    <w:rsid w:val="00212FD3"/>
    <w:rsid w:val="00216849"/>
    <w:rsid w:val="00216886"/>
    <w:rsid w:val="00217AD4"/>
    <w:rsid w:val="0022625F"/>
    <w:rsid w:val="0024145B"/>
    <w:rsid w:val="00241CCE"/>
    <w:rsid w:val="00247D04"/>
    <w:rsid w:val="00250E73"/>
    <w:rsid w:val="00251983"/>
    <w:rsid w:val="00260388"/>
    <w:rsid w:val="0026696D"/>
    <w:rsid w:val="00271C22"/>
    <w:rsid w:val="00276F39"/>
    <w:rsid w:val="00292388"/>
    <w:rsid w:val="002929C4"/>
    <w:rsid w:val="00293937"/>
    <w:rsid w:val="00294D5E"/>
    <w:rsid w:val="00295A06"/>
    <w:rsid w:val="00295A0A"/>
    <w:rsid w:val="002A5347"/>
    <w:rsid w:val="002B0E76"/>
    <w:rsid w:val="002B188E"/>
    <w:rsid w:val="002B3C1C"/>
    <w:rsid w:val="002D0750"/>
    <w:rsid w:val="002D0F8A"/>
    <w:rsid w:val="002E3A17"/>
    <w:rsid w:val="002E4443"/>
    <w:rsid w:val="002F16C9"/>
    <w:rsid w:val="002F657A"/>
    <w:rsid w:val="00301C0E"/>
    <w:rsid w:val="003032F7"/>
    <w:rsid w:val="0030647C"/>
    <w:rsid w:val="00313C8C"/>
    <w:rsid w:val="00315EC7"/>
    <w:rsid w:val="00320ACF"/>
    <w:rsid w:val="003370A1"/>
    <w:rsid w:val="0034238D"/>
    <w:rsid w:val="003520E1"/>
    <w:rsid w:val="003534A8"/>
    <w:rsid w:val="003572CE"/>
    <w:rsid w:val="003617C5"/>
    <w:rsid w:val="0037033E"/>
    <w:rsid w:val="003713E7"/>
    <w:rsid w:val="003719E2"/>
    <w:rsid w:val="0037230D"/>
    <w:rsid w:val="0037338F"/>
    <w:rsid w:val="0037609C"/>
    <w:rsid w:val="00383861"/>
    <w:rsid w:val="0038399D"/>
    <w:rsid w:val="00386184"/>
    <w:rsid w:val="003935C6"/>
    <w:rsid w:val="00395BC5"/>
    <w:rsid w:val="003B4D7E"/>
    <w:rsid w:val="003B5DBE"/>
    <w:rsid w:val="003C0412"/>
    <w:rsid w:val="003C7DBB"/>
    <w:rsid w:val="003D4278"/>
    <w:rsid w:val="003E1F2B"/>
    <w:rsid w:val="003E2079"/>
    <w:rsid w:val="003E2F21"/>
    <w:rsid w:val="003E53D8"/>
    <w:rsid w:val="003E57A6"/>
    <w:rsid w:val="003F54D1"/>
    <w:rsid w:val="003F7AD9"/>
    <w:rsid w:val="00400539"/>
    <w:rsid w:val="00400AC9"/>
    <w:rsid w:val="004171DD"/>
    <w:rsid w:val="004304B6"/>
    <w:rsid w:val="00431E5F"/>
    <w:rsid w:val="00434CE7"/>
    <w:rsid w:val="004368E5"/>
    <w:rsid w:val="00444587"/>
    <w:rsid w:val="00452999"/>
    <w:rsid w:val="00455E2A"/>
    <w:rsid w:val="004571A6"/>
    <w:rsid w:val="00472033"/>
    <w:rsid w:val="00473BF7"/>
    <w:rsid w:val="00477A01"/>
    <w:rsid w:val="0048110E"/>
    <w:rsid w:val="004824DD"/>
    <w:rsid w:val="00490751"/>
    <w:rsid w:val="00491DE1"/>
    <w:rsid w:val="00492342"/>
    <w:rsid w:val="00494496"/>
    <w:rsid w:val="004A1A54"/>
    <w:rsid w:val="004B17E5"/>
    <w:rsid w:val="004B2ADD"/>
    <w:rsid w:val="004B4B2F"/>
    <w:rsid w:val="004C09B3"/>
    <w:rsid w:val="004C32CF"/>
    <w:rsid w:val="004D350E"/>
    <w:rsid w:val="004E2497"/>
    <w:rsid w:val="004E7002"/>
    <w:rsid w:val="004E7C6A"/>
    <w:rsid w:val="004F3325"/>
    <w:rsid w:val="004F51F3"/>
    <w:rsid w:val="00502652"/>
    <w:rsid w:val="00513F9B"/>
    <w:rsid w:val="005257EF"/>
    <w:rsid w:val="00530D9A"/>
    <w:rsid w:val="0055316F"/>
    <w:rsid w:val="005546EE"/>
    <w:rsid w:val="00554D5B"/>
    <w:rsid w:val="00557FF1"/>
    <w:rsid w:val="00563242"/>
    <w:rsid w:val="00566C36"/>
    <w:rsid w:val="0056702A"/>
    <w:rsid w:val="005760AA"/>
    <w:rsid w:val="00583AC3"/>
    <w:rsid w:val="00585587"/>
    <w:rsid w:val="00594FE8"/>
    <w:rsid w:val="00594FF1"/>
    <w:rsid w:val="00597367"/>
    <w:rsid w:val="005A25ED"/>
    <w:rsid w:val="005B1062"/>
    <w:rsid w:val="005B34A4"/>
    <w:rsid w:val="005B3ADC"/>
    <w:rsid w:val="005B7E75"/>
    <w:rsid w:val="005C3491"/>
    <w:rsid w:val="005D6BD9"/>
    <w:rsid w:val="005D7717"/>
    <w:rsid w:val="005E26E2"/>
    <w:rsid w:val="005E3422"/>
    <w:rsid w:val="005F3C3B"/>
    <w:rsid w:val="005F4901"/>
    <w:rsid w:val="005F6887"/>
    <w:rsid w:val="005F75A3"/>
    <w:rsid w:val="00601C1B"/>
    <w:rsid w:val="0060767C"/>
    <w:rsid w:val="00622D96"/>
    <w:rsid w:val="00627627"/>
    <w:rsid w:val="006322F9"/>
    <w:rsid w:val="00632A92"/>
    <w:rsid w:val="00635465"/>
    <w:rsid w:val="00635DFD"/>
    <w:rsid w:val="006371A9"/>
    <w:rsid w:val="00637EC2"/>
    <w:rsid w:val="006402E2"/>
    <w:rsid w:val="006566DD"/>
    <w:rsid w:val="00665B6C"/>
    <w:rsid w:val="00666ABB"/>
    <w:rsid w:val="0067206F"/>
    <w:rsid w:val="00672FFB"/>
    <w:rsid w:val="006762CA"/>
    <w:rsid w:val="00677DC6"/>
    <w:rsid w:val="0068055D"/>
    <w:rsid w:val="00684DDE"/>
    <w:rsid w:val="006A30C7"/>
    <w:rsid w:val="006A6B89"/>
    <w:rsid w:val="006B51B8"/>
    <w:rsid w:val="006B6548"/>
    <w:rsid w:val="006C10DF"/>
    <w:rsid w:val="006C1CED"/>
    <w:rsid w:val="006C7388"/>
    <w:rsid w:val="006D1711"/>
    <w:rsid w:val="006D4F34"/>
    <w:rsid w:val="006D63A9"/>
    <w:rsid w:val="006E393D"/>
    <w:rsid w:val="006F495C"/>
    <w:rsid w:val="006F5F66"/>
    <w:rsid w:val="006F7E31"/>
    <w:rsid w:val="007071B1"/>
    <w:rsid w:val="0071010D"/>
    <w:rsid w:val="00720AE5"/>
    <w:rsid w:val="00721F46"/>
    <w:rsid w:val="00722034"/>
    <w:rsid w:val="0072405C"/>
    <w:rsid w:val="00731EF9"/>
    <w:rsid w:val="007416AA"/>
    <w:rsid w:val="00742302"/>
    <w:rsid w:val="00743DFE"/>
    <w:rsid w:val="007476F7"/>
    <w:rsid w:val="00750110"/>
    <w:rsid w:val="007520DB"/>
    <w:rsid w:val="007535E9"/>
    <w:rsid w:val="00773B84"/>
    <w:rsid w:val="007947A4"/>
    <w:rsid w:val="007954C9"/>
    <w:rsid w:val="0079649B"/>
    <w:rsid w:val="00796858"/>
    <w:rsid w:val="007A533F"/>
    <w:rsid w:val="007A53AB"/>
    <w:rsid w:val="007A6FE7"/>
    <w:rsid w:val="007B0202"/>
    <w:rsid w:val="007B600F"/>
    <w:rsid w:val="007B68CB"/>
    <w:rsid w:val="007B6A84"/>
    <w:rsid w:val="007C1DF3"/>
    <w:rsid w:val="007D1B5D"/>
    <w:rsid w:val="007D5581"/>
    <w:rsid w:val="007D6B2D"/>
    <w:rsid w:val="007D6E49"/>
    <w:rsid w:val="007D7509"/>
    <w:rsid w:val="007D7D87"/>
    <w:rsid w:val="007E04E4"/>
    <w:rsid w:val="007E0E28"/>
    <w:rsid w:val="007E6F76"/>
    <w:rsid w:val="007F33DA"/>
    <w:rsid w:val="008101CD"/>
    <w:rsid w:val="0081626B"/>
    <w:rsid w:val="008304DB"/>
    <w:rsid w:val="0083515C"/>
    <w:rsid w:val="00842DFB"/>
    <w:rsid w:val="0084590D"/>
    <w:rsid w:val="00857B7F"/>
    <w:rsid w:val="00857EA6"/>
    <w:rsid w:val="00865CA0"/>
    <w:rsid w:val="00871CAE"/>
    <w:rsid w:val="00874E1C"/>
    <w:rsid w:val="008769EF"/>
    <w:rsid w:val="008853E4"/>
    <w:rsid w:val="00886332"/>
    <w:rsid w:val="008954C9"/>
    <w:rsid w:val="00897BE8"/>
    <w:rsid w:val="008A1B61"/>
    <w:rsid w:val="008A2163"/>
    <w:rsid w:val="008A2273"/>
    <w:rsid w:val="008A6EE1"/>
    <w:rsid w:val="008A7C86"/>
    <w:rsid w:val="008B3E60"/>
    <w:rsid w:val="008B7D71"/>
    <w:rsid w:val="008C6609"/>
    <w:rsid w:val="008D1480"/>
    <w:rsid w:val="008E3746"/>
    <w:rsid w:val="008E5723"/>
    <w:rsid w:val="008F0499"/>
    <w:rsid w:val="009005CB"/>
    <w:rsid w:val="0091121A"/>
    <w:rsid w:val="00911DE5"/>
    <w:rsid w:val="00922317"/>
    <w:rsid w:val="00922F8D"/>
    <w:rsid w:val="009343BA"/>
    <w:rsid w:val="0093586B"/>
    <w:rsid w:val="00936977"/>
    <w:rsid w:val="0094485B"/>
    <w:rsid w:val="00945F8B"/>
    <w:rsid w:val="00946088"/>
    <w:rsid w:val="00956D7A"/>
    <w:rsid w:val="00957850"/>
    <w:rsid w:val="0096549E"/>
    <w:rsid w:val="00976116"/>
    <w:rsid w:val="00992029"/>
    <w:rsid w:val="00993464"/>
    <w:rsid w:val="009A2EC6"/>
    <w:rsid w:val="009A3F46"/>
    <w:rsid w:val="009B1706"/>
    <w:rsid w:val="009B27B9"/>
    <w:rsid w:val="009B45D5"/>
    <w:rsid w:val="009C62FE"/>
    <w:rsid w:val="009D70D5"/>
    <w:rsid w:val="00A020D1"/>
    <w:rsid w:val="00A039A6"/>
    <w:rsid w:val="00A06163"/>
    <w:rsid w:val="00A10340"/>
    <w:rsid w:val="00A1281D"/>
    <w:rsid w:val="00A252A6"/>
    <w:rsid w:val="00A32F31"/>
    <w:rsid w:val="00A33143"/>
    <w:rsid w:val="00A33DA6"/>
    <w:rsid w:val="00A3605F"/>
    <w:rsid w:val="00A46594"/>
    <w:rsid w:val="00A62907"/>
    <w:rsid w:val="00A63FFA"/>
    <w:rsid w:val="00A71956"/>
    <w:rsid w:val="00A7411C"/>
    <w:rsid w:val="00A75B09"/>
    <w:rsid w:val="00A826AE"/>
    <w:rsid w:val="00A82D1D"/>
    <w:rsid w:val="00A8314C"/>
    <w:rsid w:val="00A9153D"/>
    <w:rsid w:val="00A948E2"/>
    <w:rsid w:val="00A95C15"/>
    <w:rsid w:val="00AA065D"/>
    <w:rsid w:val="00AA39E3"/>
    <w:rsid w:val="00AA542C"/>
    <w:rsid w:val="00AB1FE2"/>
    <w:rsid w:val="00AB43C2"/>
    <w:rsid w:val="00AB459B"/>
    <w:rsid w:val="00AB4FE6"/>
    <w:rsid w:val="00AC1B11"/>
    <w:rsid w:val="00AC1C81"/>
    <w:rsid w:val="00AC1E74"/>
    <w:rsid w:val="00AC355A"/>
    <w:rsid w:val="00AC370D"/>
    <w:rsid w:val="00AD2B9D"/>
    <w:rsid w:val="00AD2CCD"/>
    <w:rsid w:val="00AD2DF6"/>
    <w:rsid w:val="00AD41BF"/>
    <w:rsid w:val="00AD451B"/>
    <w:rsid w:val="00AE1513"/>
    <w:rsid w:val="00AE2D0F"/>
    <w:rsid w:val="00AF19E1"/>
    <w:rsid w:val="00B03FFB"/>
    <w:rsid w:val="00B06055"/>
    <w:rsid w:val="00B11261"/>
    <w:rsid w:val="00B11BDC"/>
    <w:rsid w:val="00B1480E"/>
    <w:rsid w:val="00B22FA8"/>
    <w:rsid w:val="00B22FE3"/>
    <w:rsid w:val="00B32B38"/>
    <w:rsid w:val="00B344E1"/>
    <w:rsid w:val="00B34F01"/>
    <w:rsid w:val="00B37D9D"/>
    <w:rsid w:val="00B415E7"/>
    <w:rsid w:val="00B43F1B"/>
    <w:rsid w:val="00B464CE"/>
    <w:rsid w:val="00B66A2A"/>
    <w:rsid w:val="00B70272"/>
    <w:rsid w:val="00B71796"/>
    <w:rsid w:val="00B741C1"/>
    <w:rsid w:val="00B768A3"/>
    <w:rsid w:val="00B76DE3"/>
    <w:rsid w:val="00B822C2"/>
    <w:rsid w:val="00B84D9C"/>
    <w:rsid w:val="00B84EBD"/>
    <w:rsid w:val="00B92039"/>
    <w:rsid w:val="00BA3B3D"/>
    <w:rsid w:val="00BB1412"/>
    <w:rsid w:val="00BB35F5"/>
    <w:rsid w:val="00BB6FD1"/>
    <w:rsid w:val="00BB7CC8"/>
    <w:rsid w:val="00BC0232"/>
    <w:rsid w:val="00BC2981"/>
    <w:rsid w:val="00BC5D8F"/>
    <w:rsid w:val="00BD3473"/>
    <w:rsid w:val="00BD4758"/>
    <w:rsid w:val="00BD73F6"/>
    <w:rsid w:val="00BE02A3"/>
    <w:rsid w:val="00BE1F35"/>
    <w:rsid w:val="00BE376D"/>
    <w:rsid w:val="00BE7CFA"/>
    <w:rsid w:val="00BF1678"/>
    <w:rsid w:val="00BF3B70"/>
    <w:rsid w:val="00BF634E"/>
    <w:rsid w:val="00BF70C6"/>
    <w:rsid w:val="00BF721B"/>
    <w:rsid w:val="00C05441"/>
    <w:rsid w:val="00C0553E"/>
    <w:rsid w:val="00C06BD5"/>
    <w:rsid w:val="00C11345"/>
    <w:rsid w:val="00C11E19"/>
    <w:rsid w:val="00C12F96"/>
    <w:rsid w:val="00C25E9A"/>
    <w:rsid w:val="00C30B0D"/>
    <w:rsid w:val="00C37BE3"/>
    <w:rsid w:val="00C415A0"/>
    <w:rsid w:val="00C43018"/>
    <w:rsid w:val="00C53DBD"/>
    <w:rsid w:val="00C55F20"/>
    <w:rsid w:val="00C65883"/>
    <w:rsid w:val="00C6636C"/>
    <w:rsid w:val="00C6732A"/>
    <w:rsid w:val="00C676F9"/>
    <w:rsid w:val="00C7021C"/>
    <w:rsid w:val="00C933BB"/>
    <w:rsid w:val="00C9349D"/>
    <w:rsid w:val="00C95104"/>
    <w:rsid w:val="00CA1123"/>
    <w:rsid w:val="00CA2743"/>
    <w:rsid w:val="00CB07A3"/>
    <w:rsid w:val="00CC5C29"/>
    <w:rsid w:val="00CC640E"/>
    <w:rsid w:val="00CD03DF"/>
    <w:rsid w:val="00CD567B"/>
    <w:rsid w:val="00CD5EEC"/>
    <w:rsid w:val="00CD6C2F"/>
    <w:rsid w:val="00CD7095"/>
    <w:rsid w:val="00CE276A"/>
    <w:rsid w:val="00CF4F51"/>
    <w:rsid w:val="00D072D6"/>
    <w:rsid w:val="00D14FC9"/>
    <w:rsid w:val="00D16746"/>
    <w:rsid w:val="00D20626"/>
    <w:rsid w:val="00D226C7"/>
    <w:rsid w:val="00D25DF5"/>
    <w:rsid w:val="00D27AAB"/>
    <w:rsid w:val="00D3123E"/>
    <w:rsid w:val="00D33AAE"/>
    <w:rsid w:val="00D340BD"/>
    <w:rsid w:val="00D370A2"/>
    <w:rsid w:val="00D4214A"/>
    <w:rsid w:val="00D42416"/>
    <w:rsid w:val="00D5203C"/>
    <w:rsid w:val="00D533DF"/>
    <w:rsid w:val="00D57C30"/>
    <w:rsid w:val="00D62688"/>
    <w:rsid w:val="00D626CA"/>
    <w:rsid w:val="00D640F5"/>
    <w:rsid w:val="00D67E8B"/>
    <w:rsid w:val="00D75247"/>
    <w:rsid w:val="00D92614"/>
    <w:rsid w:val="00D92C1E"/>
    <w:rsid w:val="00D963B7"/>
    <w:rsid w:val="00D97616"/>
    <w:rsid w:val="00DA06A6"/>
    <w:rsid w:val="00DA09EE"/>
    <w:rsid w:val="00DA43EE"/>
    <w:rsid w:val="00DB31E8"/>
    <w:rsid w:val="00DB6A5E"/>
    <w:rsid w:val="00DC473C"/>
    <w:rsid w:val="00DC69B1"/>
    <w:rsid w:val="00DD5F5B"/>
    <w:rsid w:val="00DD6439"/>
    <w:rsid w:val="00DD747D"/>
    <w:rsid w:val="00DF10C9"/>
    <w:rsid w:val="00DF24BF"/>
    <w:rsid w:val="00DF285A"/>
    <w:rsid w:val="00DF31C7"/>
    <w:rsid w:val="00DF3B3F"/>
    <w:rsid w:val="00DF46A2"/>
    <w:rsid w:val="00DF5029"/>
    <w:rsid w:val="00E00220"/>
    <w:rsid w:val="00E0799F"/>
    <w:rsid w:val="00E159CC"/>
    <w:rsid w:val="00E1699E"/>
    <w:rsid w:val="00E216ED"/>
    <w:rsid w:val="00E234BB"/>
    <w:rsid w:val="00E26481"/>
    <w:rsid w:val="00E310C5"/>
    <w:rsid w:val="00E34616"/>
    <w:rsid w:val="00E50E8B"/>
    <w:rsid w:val="00E551DA"/>
    <w:rsid w:val="00E56D65"/>
    <w:rsid w:val="00E635D5"/>
    <w:rsid w:val="00E6368D"/>
    <w:rsid w:val="00E6586F"/>
    <w:rsid w:val="00E70096"/>
    <w:rsid w:val="00E700F8"/>
    <w:rsid w:val="00E81A97"/>
    <w:rsid w:val="00E875F4"/>
    <w:rsid w:val="00E91FDF"/>
    <w:rsid w:val="00E926D2"/>
    <w:rsid w:val="00EA0C6F"/>
    <w:rsid w:val="00EA282D"/>
    <w:rsid w:val="00EA7440"/>
    <w:rsid w:val="00EA7F93"/>
    <w:rsid w:val="00EC7611"/>
    <w:rsid w:val="00ED2C1F"/>
    <w:rsid w:val="00ED4F7A"/>
    <w:rsid w:val="00EE22E3"/>
    <w:rsid w:val="00EE5671"/>
    <w:rsid w:val="00EE7D81"/>
    <w:rsid w:val="00EF1E41"/>
    <w:rsid w:val="00EF328D"/>
    <w:rsid w:val="00EF74F3"/>
    <w:rsid w:val="00F01156"/>
    <w:rsid w:val="00F117D3"/>
    <w:rsid w:val="00F139C0"/>
    <w:rsid w:val="00F14912"/>
    <w:rsid w:val="00F220A6"/>
    <w:rsid w:val="00F22FA2"/>
    <w:rsid w:val="00F2595E"/>
    <w:rsid w:val="00F30DE6"/>
    <w:rsid w:val="00F40F0A"/>
    <w:rsid w:val="00F436D7"/>
    <w:rsid w:val="00F47169"/>
    <w:rsid w:val="00F52FB0"/>
    <w:rsid w:val="00F61206"/>
    <w:rsid w:val="00F63B30"/>
    <w:rsid w:val="00F73B43"/>
    <w:rsid w:val="00F7486E"/>
    <w:rsid w:val="00F83908"/>
    <w:rsid w:val="00F91702"/>
    <w:rsid w:val="00F95B34"/>
    <w:rsid w:val="00FA54A2"/>
    <w:rsid w:val="00FA69ED"/>
    <w:rsid w:val="00FA7236"/>
    <w:rsid w:val="00FB1770"/>
    <w:rsid w:val="00FB192A"/>
    <w:rsid w:val="00FB33B7"/>
    <w:rsid w:val="00FB43B2"/>
    <w:rsid w:val="00FB68FA"/>
    <w:rsid w:val="00FC446A"/>
    <w:rsid w:val="00FC745F"/>
    <w:rsid w:val="00FD1B10"/>
    <w:rsid w:val="00FD2671"/>
    <w:rsid w:val="00FD6BB5"/>
    <w:rsid w:val="00FE56B0"/>
    <w:rsid w:val="00FE7EBB"/>
    <w:rsid w:val="00FF1F1F"/>
    <w:rsid w:val="00FF772F"/>
    <w:rsid w:val="011A39C8"/>
    <w:rsid w:val="03803F4C"/>
    <w:rsid w:val="072F4956"/>
    <w:rsid w:val="07D43776"/>
    <w:rsid w:val="0A450D80"/>
    <w:rsid w:val="195B397A"/>
    <w:rsid w:val="1A825FF6"/>
    <w:rsid w:val="1C904234"/>
    <w:rsid w:val="20C17AEF"/>
    <w:rsid w:val="21155E5D"/>
    <w:rsid w:val="252126F1"/>
    <w:rsid w:val="2B477567"/>
    <w:rsid w:val="2EF72702"/>
    <w:rsid w:val="301163F8"/>
    <w:rsid w:val="35F92B47"/>
    <w:rsid w:val="3C865574"/>
    <w:rsid w:val="4B4C0EEA"/>
    <w:rsid w:val="4D5E7317"/>
    <w:rsid w:val="54D30557"/>
    <w:rsid w:val="54F060E7"/>
    <w:rsid w:val="636C7202"/>
    <w:rsid w:val="64DD619A"/>
    <w:rsid w:val="68533B8B"/>
    <w:rsid w:val="6C670A25"/>
    <w:rsid w:val="6D40677C"/>
    <w:rsid w:val="6EB91964"/>
    <w:rsid w:val="71E71EDF"/>
    <w:rsid w:val="738F11F7"/>
    <w:rsid w:val="7C1C7F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annotation text"/>
    <w:basedOn w:val="1"/>
    <w:link w:val="14"/>
    <w:semiHidden/>
    <w:unhideWhenUsed/>
    <w:qFormat/>
    <w:uiPriority w:val="99"/>
    <w:pPr>
      <w:jc w:val="left"/>
    </w:pPr>
  </w:style>
  <w:style w:type="paragraph" w:styleId="3">
    <w:name w:val="Date"/>
    <w:basedOn w:val="1"/>
    <w:next w:val="1"/>
    <w:link w:val="13"/>
    <w:semiHidden/>
    <w:unhideWhenUsed/>
    <w:qFormat/>
    <w:uiPriority w:val="99"/>
    <w:pPr>
      <w:ind w:left="100" w:leftChars="2500"/>
    </w:pPr>
  </w:style>
  <w:style w:type="paragraph" w:styleId="4">
    <w:name w:val="Balloon Text"/>
    <w:basedOn w:val="1"/>
    <w:link w:val="15"/>
    <w:semiHidden/>
    <w:unhideWhenUsed/>
    <w:qFormat/>
    <w:uiPriority w:val="99"/>
    <w:rPr>
      <w:sz w:val="18"/>
      <w:szCs w:val="18"/>
    </w:rPr>
  </w:style>
  <w:style w:type="paragraph" w:styleId="5">
    <w:name w:val="footer"/>
    <w:basedOn w:val="1"/>
    <w:link w:val="12"/>
    <w:unhideWhenUsed/>
    <w:qFormat/>
    <w:uiPriority w:val="99"/>
    <w:pPr>
      <w:tabs>
        <w:tab w:val="center" w:pos="4153"/>
        <w:tab w:val="right" w:pos="8306"/>
      </w:tabs>
      <w:snapToGrid w:val="0"/>
      <w:jc w:val="left"/>
    </w:pPr>
    <w:rPr>
      <w:sz w:val="18"/>
      <w:szCs w:val="18"/>
    </w:rPr>
  </w:style>
  <w:style w:type="paragraph" w:styleId="6">
    <w:name w:val="header"/>
    <w:basedOn w:val="1"/>
    <w:link w:val="11"/>
    <w:unhideWhenUsed/>
    <w:qFormat/>
    <w:uiPriority w:val="0"/>
    <w:pPr>
      <w:pBdr>
        <w:bottom w:val="single" w:color="auto" w:sz="6" w:space="1"/>
      </w:pBdr>
      <w:tabs>
        <w:tab w:val="center" w:pos="4153"/>
        <w:tab w:val="right" w:pos="8306"/>
      </w:tabs>
      <w:snapToGrid w:val="0"/>
      <w:jc w:val="center"/>
    </w:pPr>
    <w:rPr>
      <w:sz w:val="18"/>
      <w:szCs w:val="18"/>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annotation reference"/>
    <w:basedOn w:val="9"/>
    <w:semiHidden/>
    <w:unhideWhenUsed/>
    <w:qFormat/>
    <w:uiPriority w:val="99"/>
    <w:rPr>
      <w:sz w:val="21"/>
      <w:szCs w:val="21"/>
    </w:rPr>
  </w:style>
  <w:style w:type="character" w:customStyle="1" w:styleId="11">
    <w:name w:val="页眉 字符"/>
    <w:basedOn w:val="9"/>
    <w:link w:val="6"/>
    <w:qFormat/>
    <w:uiPriority w:val="99"/>
    <w:rPr>
      <w:rFonts w:ascii="Times New Roman" w:hAnsi="Times New Roman" w:eastAsia="宋体" w:cs="Times New Roman"/>
      <w:sz w:val="18"/>
      <w:szCs w:val="18"/>
    </w:rPr>
  </w:style>
  <w:style w:type="character" w:customStyle="1" w:styleId="12">
    <w:name w:val="页脚 字符"/>
    <w:basedOn w:val="9"/>
    <w:link w:val="5"/>
    <w:qFormat/>
    <w:uiPriority w:val="99"/>
    <w:rPr>
      <w:rFonts w:ascii="Times New Roman" w:hAnsi="Times New Roman" w:eastAsia="宋体" w:cs="Times New Roman"/>
      <w:sz w:val="18"/>
      <w:szCs w:val="18"/>
    </w:rPr>
  </w:style>
  <w:style w:type="character" w:customStyle="1" w:styleId="13">
    <w:name w:val="日期 字符"/>
    <w:basedOn w:val="9"/>
    <w:link w:val="3"/>
    <w:semiHidden/>
    <w:qFormat/>
    <w:uiPriority w:val="99"/>
    <w:rPr>
      <w:rFonts w:ascii="Times New Roman" w:hAnsi="Times New Roman" w:eastAsia="宋体" w:cs="Times New Roman"/>
      <w:szCs w:val="20"/>
    </w:rPr>
  </w:style>
  <w:style w:type="character" w:customStyle="1" w:styleId="14">
    <w:name w:val="批注文字 字符"/>
    <w:basedOn w:val="9"/>
    <w:link w:val="2"/>
    <w:semiHidden/>
    <w:qFormat/>
    <w:uiPriority w:val="99"/>
    <w:rPr>
      <w:rFonts w:ascii="Times New Roman" w:hAnsi="Times New Roman" w:eastAsia="宋体" w:cs="Times New Roman"/>
      <w:kern w:val="2"/>
      <w:sz w:val="21"/>
    </w:rPr>
  </w:style>
  <w:style w:type="character" w:customStyle="1" w:styleId="15">
    <w:name w:val="批注框文本 字符"/>
    <w:basedOn w:val="9"/>
    <w:link w:val="4"/>
    <w:semiHidden/>
    <w:qFormat/>
    <w:uiPriority w:val="99"/>
    <w:rPr>
      <w:rFonts w:ascii="Times New Roman" w:hAnsi="Times New Roman" w:eastAsia="宋体" w:cs="Times New Roman"/>
      <w:kern w:val="2"/>
      <w:sz w:val="18"/>
      <w:szCs w:val="18"/>
    </w:rPr>
  </w:style>
  <w:style w:type="paragraph" w:customStyle="1" w:styleId="16">
    <w:name w:val="Revision"/>
    <w:hidden/>
    <w:semiHidden/>
    <w:qFormat/>
    <w:uiPriority w:val="99"/>
    <w:rPr>
      <w:rFonts w:ascii="Times New Roman" w:hAnsi="Times New Roman" w:eastAsia="宋体" w:cs="Times New Roman"/>
      <w:kern w:val="2"/>
      <w:sz w:val="21"/>
      <w:lang w:val="en-US" w:eastAsia="zh-CN" w:bidi="ar-SA"/>
    </w:rPr>
  </w:style>
  <w:style w:type="character" w:styleId="17">
    <w:name w:val="Placeholder Text"/>
    <w:basedOn w:val="9"/>
    <w:semiHidden/>
    <w:qFormat/>
    <w:uiPriority w:val="99"/>
    <w:rPr>
      <w:color w:val="808080"/>
    </w:rPr>
  </w:style>
  <w:style w:type="paragraph" w:styleId="18">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emf"/><Relationship Id="rId6" Type="http://schemas.openxmlformats.org/officeDocument/2006/relationships/image" Target="media/image2.emf"/><Relationship Id="rId5" Type="http://schemas.openxmlformats.org/officeDocument/2006/relationships/image" Target="media/image1.emf"/><Relationship Id="rId4" Type="http://schemas.openxmlformats.org/officeDocument/2006/relationships/theme" Target="theme/theme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21</Pages>
  <Words>9237</Words>
  <Characters>14785</Characters>
  <Lines>114</Lines>
  <Paragraphs>32</Paragraphs>
  <TotalTime>35</TotalTime>
  <ScaleCrop>false</ScaleCrop>
  <LinksUpToDate>false</LinksUpToDate>
  <CharactersWithSpaces>15727</CharactersWithSpaces>
  <Application>WPS Office_11.8.2.10912_F1E327BC-269C-435d-A152-05C5408002CA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2023-05-22T05:39:00Z</dcterms:created>
  <dc:creator>袁雨婕</dc:creator>
  <cp:lastModifiedBy>chen.shanghua</cp:lastModifiedBy>
  <cp:lastPrinted>2023-06-13T00:55:00Z</cp:lastPrinted>
  <dcterms:modified xsi:type="dcterms:W3CDTF">2023-06-14T05:57:30Z</dcterms:modified>
  <cp:revision>559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2052-11.8.2.10912</vt:lpwstr>
  </property>
  <property fmtid="{D5CDD505-2E9C-101B-9397-08002B2CF9AE}" pid="3" name="ICV">
    <vt:lpwstr>82516C0CE8C041FCAEC03BAE66D21598</vt:lpwstr>
  </property>
</Properties>
</file>