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7B465" w14:textId="5D77C40A" w:rsidR="00AD6897" w:rsidRPr="00AD6897" w:rsidRDefault="00AD6897" w:rsidP="00AD6897">
      <w:pPr>
        <w:pStyle w:val="Caption"/>
        <w:jc w:val="both"/>
        <w:rPr>
          <w:rFonts w:asciiTheme="majorHAnsi" w:hAnsiTheme="majorHAnsi"/>
          <w:b/>
          <w:bCs/>
          <w:i w:val="0"/>
          <w:iCs w:val="0"/>
          <w:sz w:val="24"/>
          <w:szCs w:val="24"/>
          <w:u w:val="single"/>
        </w:rPr>
      </w:pP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  <w:u w:val="single"/>
        </w:rPr>
        <w:t xml:space="preserve">Decision table scheme I designed for the application of pesticide 2plus2 over the land use type GRAS, each year across timeframe 2013-2020 </w:t>
      </w:r>
    </w:p>
    <w:p w14:paraId="1F6CDCE9" w14:textId="32B6E020" w:rsidR="00AD6897" w:rsidRPr="00AD6897" w:rsidRDefault="00AD6897" w:rsidP="00AD6897">
      <w:pPr>
        <w:rPr>
          <w:rFonts w:asciiTheme="majorHAnsi" w:hAnsiTheme="majorHAnsi"/>
          <w:i/>
          <w:iCs/>
        </w:rPr>
      </w:pPr>
      <w:r w:rsidRPr="00AD6897">
        <w:rPr>
          <w:rFonts w:asciiTheme="majorHAnsi" w:hAnsiTheme="majorHAnsi"/>
          <w:i/>
          <w:iCs/>
        </w:rPr>
        <w:t>How to read the document: please find attached the screenshot of my decision table (opened in Notepad)</w:t>
      </w:r>
    </w:p>
    <w:p w14:paraId="013E1776" w14:textId="77777777" w:rsidR="00AD6897" w:rsidRDefault="00AD6897" w:rsidP="00AD6897">
      <w:pPr>
        <w:pStyle w:val="Caption"/>
        <w:jc w:val="both"/>
        <w:rPr>
          <w:rFonts w:asciiTheme="majorHAnsi" w:hAnsiTheme="majorHAnsi"/>
          <w:i w:val="0"/>
          <w:iCs w:val="0"/>
          <w:sz w:val="24"/>
          <w:szCs w:val="24"/>
        </w:rPr>
      </w:pPr>
      <w:r w:rsidRPr="00AD6897">
        <w:rPr>
          <w:rFonts w:asciiTheme="majorHAnsi" w:hAnsiTheme="majorHAnsi"/>
          <w:i w:val="0"/>
          <w:iCs w:val="0"/>
          <w:sz w:val="24"/>
          <w:szCs w:val="24"/>
        </w:rPr>
        <w:t>I gave the Decision table a name, "</w:t>
      </w:r>
      <w:r w:rsidRPr="00AD6897">
        <w:rPr>
          <w:rFonts w:asciiTheme="majorHAnsi" w:hAnsiTheme="majorHAnsi"/>
          <w:sz w:val="24"/>
          <w:szCs w:val="24"/>
        </w:rPr>
        <w:t>pst_2plus2_app1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 xml:space="preserve">", and specified one alternative, one condition and one action. </w:t>
      </w:r>
    </w:p>
    <w:p w14:paraId="728FDD73" w14:textId="77777777" w:rsidR="00AD6897" w:rsidRDefault="00AD6897" w:rsidP="00AD6897">
      <w:pPr>
        <w:pStyle w:val="Caption"/>
        <w:jc w:val="both"/>
        <w:rPr>
          <w:rFonts w:asciiTheme="majorHAnsi" w:hAnsiTheme="majorHAnsi"/>
          <w:i w:val="0"/>
          <w:iCs w:val="0"/>
          <w:sz w:val="24"/>
          <w:szCs w:val="24"/>
        </w:rPr>
      </w:pPr>
      <w:r w:rsidRPr="00AD6897">
        <w:rPr>
          <w:rFonts w:asciiTheme="majorHAnsi" w:hAnsiTheme="majorHAnsi"/>
          <w:i w:val="0"/>
          <w:iCs w:val="0"/>
          <w:sz w:val="24"/>
          <w:szCs w:val="24"/>
        </w:rPr>
        <w:t xml:space="preserve">The DT consists of two lines: </w:t>
      </w:r>
    </w:p>
    <w:p w14:paraId="7A336F36" w14:textId="77777777" w:rsidR="00AD6897" w:rsidRDefault="00AD6897" w:rsidP="00AD6897">
      <w:pPr>
        <w:pStyle w:val="Caption"/>
        <w:jc w:val="both"/>
        <w:rPr>
          <w:rFonts w:asciiTheme="majorHAnsi" w:hAnsiTheme="majorHAnsi"/>
          <w:i w:val="0"/>
          <w:iCs w:val="0"/>
          <w:sz w:val="24"/>
          <w:szCs w:val="24"/>
        </w:rPr>
      </w:pPr>
      <w:r w:rsidRPr="00AD6897">
        <w:rPr>
          <w:rFonts w:asciiTheme="majorHAnsi" w:hAnsiTheme="majorHAnsi"/>
          <w:i w:val="0"/>
          <w:iCs w:val="0"/>
          <w:sz w:val="24"/>
          <w:szCs w:val="24"/>
        </w:rPr>
        <w:t>1) the first line attributes a name to the variable (“var”): in my case the Julian day (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jday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), then an object (‘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obj’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): “null”, by default.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obj_num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“ and “lim_const“ were set to 121 and 181 respectively, to set the temporal limits for application.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alt1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 xml:space="preserve">“stands for alternative and is set to ‘=’ to make sure SWAT+Editor stops at jday = 181. </w:t>
      </w:r>
    </w:p>
    <w:p w14:paraId="757681A6" w14:textId="142F6B48" w:rsidR="00AD6897" w:rsidRPr="00AD6897" w:rsidRDefault="00AD6897" w:rsidP="00AD6897">
      <w:pPr>
        <w:pStyle w:val="Caption"/>
        <w:jc w:val="both"/>
        <w:rPr>
          <w:rFonts w:asciiTheme="majorHAnsi" w:hAnsiTheme="majorHAnsi"/>
          <w:i w:val="0"/>
          <w:iCs w:val="0"/>
          <w:sz w:val="24"/>
          <w:szCs w:val="24"/>
        </w:rPr>
      </w:pPr>
      <w:r w:rsidRPr="00AD6897">
        <w:rPr>
          <w:rFonts w:asciiTheme="majorHAnsi" w:hAnsiTheme="majorHAnsi"/>
          <w:i w:val="0"/>
          <w:iCs w:val="0"/>
          <w:sz w:val="24"/>
          <w:szCs w:val="24"/>
        </w:rPr>
        <w:t>2) Second line sets the action type: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act_typ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“, as its name suggests, refers to the type of action to be undertaken: in my case I want the pesticide 2Plus2 to be applied hence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pest_apply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“, which is a commonly used type of action whose syntax is embedded within SWAT+Editor’s setup. “obj“ is set to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hru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“, which is very important there, as it makes the link between the DT and the Management schedule I created.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name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“ was set to “2plus2_app“, of my choice and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option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“ to “2plus2“. The most important part lies in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const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“ being set to ‘8’ which refers to the 8.00 kg/year applied.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const2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“ is also relevant in the sense that it sets the number of applications to “1“ (per year).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fp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 xml:space="preserve">“ stands for </w:t>
      </w:r>
      <w:r w:rsidRPr="00AD6897">
        <w:rPr>
          <w:rFonts w:asciiTheme="majorHAnsi" w:hAnsiTheme="majorHAnsi"/>
          <w:sz w:val="24"/>
          <w:szCs w:val="24"/>
        </w:rPr>
        <w:t>field practice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 xml:space="preserve">, i.e. the specific agricultural management practices to implement, here </w:t>
      </w:r>
      <w:r w:rsidRPr="00AD6897">
        <w:rPr>
          <w:rFonts w:asciiTheme="majorHAnsi" w:hAnsiTheme="majorHAnsi"/>
          <w:sz w:val="24"/>
          <w:szCs w:val="24"/>
        </w:rPr>
        <w:t>inject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>, which I assumed was the method by which the pesticide was applied. Finally, the “</w:t>
      </w:r>
      <w:r w:rsidRPr="00AD6897">
        <w:rPr>
          <w:rFonts w:asciiTheme="majorHAnsi" w:hAnsiTheme="majorHAnsi"/>
          <w:b/>
          <w:bCs/>
          <w:i w:val="0"/>
          <w:iCs w:val="0"/>
          <w:sz w:val="24"/>
          <w:szCs w:val="24"/>
        </w:rPr>
        <w:t>outcome</w:t>
      </w:r>
      <w:r w:rsidRPr="00AD6897">
        <w:rPr>
          <w:rFonts w:asciiTheme="majorHAnsi" w:hAnsiTheme="majorHAnsi"/>
          <w:i w:val="0"/>
          <w:iCs w:val="0"/>
          <w:sz w:val="24"/>
          <w:szCs w:val="24"/>
        </w:rPr>
        <w:t xml:space="preserve">“ was indeed set to ‘yes’ (y). I enabled comments using an exclamation point (“!”) to describe what the DT does. </w:t>
      </w:r>
    </w:p>
    <w:p w14:paraId="2AFEBCFD" w14:textId="222FEC1E" w:rsidR="00AD6897" w:rsidRPr="00AD6897" w:rsidRDefault="00AD6897" w:rsidP="00AD6897">
      <w:r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238205C1" wp14:editId="0E5B7FF7">
            <wp:extent cx="5760720" cy="1218035"/>
            <wp:effectExtent l="0" t="0" r="0" b="1270"/>
            <wp:docPr id="1532254591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54591" name="Picture 8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0953" w14:textId="77777777" w:rsidR="007A4726" w:rsidRDefault="007A4726"/>
    <w:sectPr w:rsidR="007A4726" w:rsidSect="00450A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FF8FE" w14:textId="77777777" w:rsidR="003C5CED" w:rsidRDefault="003C5CED" w:rsidP="003C5CED">
      <w:pPr>
        <w:spacing w:after="0" w:line="240" w:lineRule="auto"/>
      </w:pPr>
      <w:r>
        <w:separator/>
      </w:r>
    </w:p>
  </w:endnote>
  <w:endnote w:type="continuationSeparator" w:id="0">
    <w:p w14:paraId="3C639AD7" w14:textId="77777777" w:rsidR="003C5CED" w:rsidRDefault="003C5CED" w:rsidP="003C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BC85" w14:textId="77777777" w:rsidR="003C5CED" w:rsidRDefault="003C5C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E5A9E" w14:textId="77777777" w:rsidR="003C5CED" w:rsidRDefault="003C5C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6AF19" w14:textId="77777777" w:rsidR="003C5CED" w:rsidRDefault="003C5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DC3AB" w14:textId="77777777" w:rsidR="003C5CED" w:rsidRDefault="003C5CED" w:rsidP="003C5CED">
      <w:pPr>
        <w:spacing w:after="0" w:line="240" w:lineRule="auto"/>
      </w:pPr>
      <w:r>
        <w:separator/>
      </w:r>
    </w:p>
  </w:footnote>
  <w:footnote w:type="continuationSeparator" w:id="0">
    <w:p w14:paraId="7B78B6ED" w14:textId="77777777" w:rsidR="003C5CED" w:rsidRDefault="003C5CED" w:rsidP="003C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09C8E" w14:textId="77777777" w:rsidR="003C5CED" w:rsidRDefault="003C5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73878" w14:textId="72A7671D" w:rsidR="003C5CED" w:rsidRPr="003C5CED" w:rsidRDefault="003C5CED">
    <w:pPr>
      <w:pStyle w:val="Header"/>
    </w:pPr>
    <w:r w:rsidRPr="003C5CED">
      <w:t>Etienne Delaloye</w:t>
    </w:r>
    <w:r w:rsidRPr="003C5CED">
      <w:tab/>
      <w:t xml:space="preserve">Master thesis 2024 </w:t>
    </w:r>
    <w:r w:rsidRPr="003C5CED">
      <w:tab/>
      <w:t>Decision tab</w:t>
    </w:r>
    <w:r>
      <w:t>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0B407" w14:textId="77777777" w:rsidR="003C5CED" w:rsidRDefault="003C5C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96"/>
    <w:rsid w:val="00150F47"/>
    <w:rsid w:val="003C5CED"/>
    <w:rsid w:val="00450A3E"/>
    <w:rsid w:val="00456996"/>
    <w:rsid w:val="004754A6"/>
    <w:rsid w:val="004D663E"/>
    <w:rsid w:val="00535782"/>
    <w:rsid w:val="00676534"/>
    <w:rsid w:val="007A4726"/>
    <w:rsid w:val="0090272C"/>
    <w:rsid w:val="009079EF"/>
    <w:rsid w:val="00AD6897"/>
    <w:rsid w:val="00FD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37AF"/>
  <w15:chartTrackingRefBased/>
  <w15:docId w15:val="{CE6F1B2A-3D70-4148-8EA2-5F5AC243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0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D689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5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CED"/>
  </w:style>
  <w:style w:type="paragraph" w:styleId="Footer">
    <w:name w:val="footer"/>
    <w:basedOn w:val="Normal"/>
    <w:link w:val="FooterChar"/>
    <w:uiPriority w:val="99"/>
    <w:unhideWhenUsed/>
    <w:rsid w:val="003C5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Delaloye</dc:creator>
  <cp:keywords/>
  <dc:description/>
  <cp:lastModifiedBy>Etienne Delaloye</cp:lastModifiedBy>
  <cp:revision>3</cp:revision>
  <dcterms:created xsi:type="dcterms:W3CDTF">2024-12-30T19:08:00Z</dcterms:created>
  <dcterms:modified xsi:type="dcterms:W3CDTF">2025-01-10T13:40:00Z</dcterms:modified>
</cp:coreProperties>
</file>