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To</w:t>
      </w:r>
      <w:r>
        <w:rPr>
          <w:rFonts w:ascii="Times New Roman" w:cs="Times New Roman" w:hAnsi="Times New Roman"/>
          <w:sz w:val="24"/>
          <w:szCs w:val="24"/>
        </w:rPr>
        <w:t>:</w:t>
      </w:r>
      <w:r>
        <w:rPr>
          <w:rFonts w:ascii="Times New Roman" w:cs="Times New Roman" w:hAnsi="Times New Roman"/>
          <w:sz w:val="24"/>
          <w:szCs w:val="24"/>
        </w:rPr>
        <w:t xml:space="preserve"> The Board of Directors of Amazon Inc.</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From</w:t>
      </w:r>
      <w:r>
        <w:rPr>
          <w:rFonts w:ascii="Times New Roman" w:cs="Times New Roman" w:hAnsi="Times New Roman"/>
          <w:sz w:val="24"/>
          <w:szCs w:val="24"/>
        </w:rPr>
        <w:t>:</w:t>
      </w:r>
      <w:r>
        <w:rPr>
          <w:rFonts w:ascii="Times New Roman" w:cs="Times New Roman" w:hAnsi="Times New Roman"/>
          <w:sz w:val="24"/>
          <w:szCs w:val="24"/>
        </w:rPr>
        <w:t xml:space="preserve"> Financial Analyst</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Date</w:t>
      </w:r>
      <w:r>
        <w:rPr>
          <w:rFonts w:ascii="Times New Roman" w:cs="Times New Roman" w:hAnsi="Times New Roman"/>
          <w:sz w:val="24"/>
          <w:szCs w:val="24"/>
        </w:rPr>
        <w:t>: 3</w:t>
      </w:r>
      <w:r>
        <w:rPr>
          <w:rFonts w:ascii="Times New Roman" w:cs="Times New Roman" w:hAnsi="Times New Roman"/>
          <w:sz w:val="24"/>
          <w:szCs w:val="24"/>
          <w:vertAlign w:val="superscript"/>
        </w:rPr>
        <w:t>rd</w:t>
      </w:r>
      <w:r>
        <w:rPr>
          <w:rFonts w:ascii="Times New Roman" w:cs="Times New Roman" w:hAnsi="Times New Roman"/>
          <w:sz w:val="24"/>
          <w:szCs w:val="24"/>
        </w:rPr>
        <w:t xml:space="preserve"> September 2026</w:t>
      </w:r>
    </w:p>
    <w:p>
      <w:pPr>
        <w:pStyle w:val="style0"/>
        <w:spacing w:lineRule="auto" w:line="360"/>
        <w:rPr>
          <w:rFonts w:ascii="Times New Roman" w:cs="Times New Roman" w:hAnsi="Times New Roman"/>
          <w:sz w:val="24"/>
          <w:szCs w:val="24"/>
          <w:u w:val="single"/>
        </w:rPr>
      </w:pPr>
      <w:r>
        <w:rPr>
          <w:rFonts w:ascii="Times New Roman" w:cs="Times New Roman" w:hAnsi="Times New Roman"/>
          <w:b/>
          <w:sz w:val="24"/>
          <w:szCs w:val="24"/>
        </w:rPr>
        <w:t>Subject</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u w:val="single"/>
        </w:rPr>
        <w:t xml:space="preserve">Financial analysis report and assessment of Amazon Inc.’s performance and financial health for the </w:t>
      </w:r>
      <w:r>
        <w:rPr>
          <w:rFonts w:ascii="Times New Roman" w:cs="Times New Roman" w:hAnsi="Times New Roman"/>
          <w:sz w:val="24"/>
          <w:szCs w:val="24"/>
          <w:u w:val="single"/>
        </w:rPr>
        <w:t>year ended 31st December 2021, 2022</w:t>
      </w:r>
      <w:r>
        <w:rPr>
          <w:rFonts w:ascii="Times New Roman" w:cs="Times New Roman" w:hAnsi="Times New Roman"/>
          <w:sz w:val="24"/>
          <w:szCs w:val="24"/>
          <w:u w:val="single"/>
        </w:rPr>
        <w:t xml:space="preserve"> and 2023</w:t>
      </w:r>
      <w:r>
        <w:rPr>
          <w:rFonts w:ascii="Times New Roman" w:cs="Times New Roman" w:hAnsi="Times New Roman"/>
          <w:sz w:val="24"/>
          <w:szCs w:val="24"/>
          <w:u w:val="single"/>
        </w:rPr>
        <w:t>.</w:t>
      </w:r>
    </w:p>
    <w:p>
      <w:pPr>
        <w:pStyle w:val="style0"/>
        <w:spacing w:lineRule="auto" w:line="360"/>
        <w:rPr>
          <w:rFonts w:ascii="Times New Roman" w:cs="Times New Roman" w:hAnsi="Times New Roman"/>
          <w:sz w:val="24"/>
          <w:szCs w:val="24"/>
          <w:u w:val="single"/>
        </w:rPr>
      </w:pPr>
    </w:p>
    <w:p>
      <w:pPr>
        <w:pStyle w:val="style0"/>
        <w:spacing w:lineRule="auto" w:line="360"/>
        <w:rPr>
          <w:rFonts w:ascii="Times New Roman" w:cs="Times New Roman" w:hAnsi="Times New Roman"/>
          <w:b/>
          <w:sz w:val="24"/>
          <w:szCs w:val="24"/>
          <w:u w:val="single"/>
        </w:rPr>
      </w:pPr>
      <w:r>
        <w:rPr>
          <w:rFonts w:ascii="Times New Roman" w:cs="Times New Roman" w:hAnsi="Times New Roman"/>
          <w:b/>
          <w:sz w:val="24"/>
          <w:szCs w:val="24"/>
          <w:u w:val="single"/>
        </w:rPr>
        <w:t>Operating Performance</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Amazon Inc.’s operating performance is highlighted by massive, sustained growth in Total Revenue, which has reached $1,558,590M. This indicates a dominant market position and strong consumer demand for its various services and products. Another very positive indicator is the exceptionally strong Operating Cash Flow of $178,025M. This shows that the company's core day-to-day operations are generating substantial cash, which is essential for both reinvestment and running the business.</w:t>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b/>
          <w:sz w:val="24"/>
          <w:szCs w:val="24"/>
          <w:u w:val="single"/>
        </w:rPr>
      </w:pPr>
      <w:r>
        <w:rPr>
          <w:rFonts w:ascii="Times New Roman" w:cs="Times New Roman" w:hAnsi="Times New Roman"/>
          <w:b/>
          <w:sz w:val="24"/>
          <w:szCs w:val="24"/>
          <w:u w:val="single"/>
        </w:rPr>
        <w:t>Profitability</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While Revenue and Operating Cash Flow have reached historic highs, a detailed look at profitability shows that profit margins have been under pressure. The Net Profit Margin is 3.92%. This figure is relatively slim for a company of this scale, meaning that even a small increase in costs can have a large impact on the final profit. A concerning trend is visible: despite the growth in total revenues, both the gross profit margin (profit after product costs) and the return o</w:t>
      </w:r>
      <w:r>
        <w:rPr>
          <w:rFonts w:ascii="Times New Roman" w:cs="Times New Roman" w:hAnsi="Times New Roman"/>
          <w:sz w:val="24"/>
          <w:szCs w:val="24"/>
        </w:rPr>
        <w:t>n capital employed (ROCE)</w:t>
      </w:r>
      <w:r>
        <w:rPr>
          <w:rFonts w:ascii="Times New Roman" w:cs="Times New Roman" w:hAnsi="Times New Roman"/>
          <w:sz w:val="24"/>
          <w:szCs w:val="24"/>
        </w:rPr>
        <w:t xml:space="preserve"> have been trending slightly downward over the 2021-2023 period. This suggests that total costs have been rising faster than sales income, putting pressure on bottom-line profits.</w:t>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b/>
          <w:sz w:val="24"/>
          <w:szCs w:val="24"/>
          <w:u w:val="single"/>
        </w:rPr>
      </w:pPr>
      <w:r>
        <w:rPr>
          <w:rFonts w:ascii="Times New Roman" w:cs="Times New Roman" w:hAnsi="Times New Roman"/>
          <w:b/>
          <w:sz w:val="24"/>
          <w:szCs w:val="24"/>
          <w:u w:val="single"/>
        </w:rPr>
        <w:t>Liquidity Position</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liqui</w:t>
      </w:r>
      <w:r>
        <w:rPr>
          <w:rFonts w:ascii="Times New Roman" w:cs="Times New Roman" w:hAnsi="Times New Roman"/>
          <w:sz w:val="24"/>
          <w:szCs w:val="24"/>
        </w:rPr>
        <w:t xml:space="preserve">dity position of the company </w:t>
      </w:r>
      <w:r>
        <w:rPr>
          <w:rFonts w:ascii="Times New Roman" w:cs="Times New Roman" w:hAnsi="Times New Roman"/>
          <w:sz w:val="24"/>
          <w:szCs w:val="24"/>
        </w:rPr>
        <w:t>is a cause for serious concern. The current ratio, which compares short-ter</w:t>
      </w:r>
      <w:r>
        <w:rPr>
          <w:rFonts w:ascii="Times New Roman" w:cs="Times New Roman" w:hAnsi="Times New Roman"/>
          <w:sz w:val="24"/>
          <w:szCs w:val="24"/>
        </w:rPr>
        <w:t>m assets to short-term debts</w:t>
      </w:r>
      <w:r>
        <w:rPr>
          <w:rFonts w:ascii="Times New Roman" w:cs="Times New Roman" w:hAnsi="Times New Roman"/>
          <w:sz w:val="24"/>
          <w:szCs w:val="24"/>
        </w:rPr>
        <w:t xml:space="preserve"> should ideally be comfortably above 1.0, is calculated at a critical 1.00:1. This mean</w:t>
      </w:r>
      <w:r>
        <w:rPr>
          <w:rFonts w:ascii="Times New Roman" w:cs="Times New Roman" w:hAnsi="Times New Roman"/>
          <w:sz w:val="24"/>
          <w:szCs w:val="24"/>
        </w:rPr>
        <w:t>s current assets are only just</w:t>
      </w:r>
      <w:r>
        <w:rPr>
          <w:rFonts w:ascii="Times New Roman" w:cs="Times New Roman" w:hAnsi="Times New Roman"/>
          <w:sz w:val="24"/>
          <w:szCs w:val="24"/>
        </w:rPr>
        <w:t xml:space="preserve"> enough to cover immediate liabilities, leaving no safety margin for unexpected </w:t>
      </w:r>
      <w:r>
        <w:rPr>
          <w:rFonts w:ascii="Times New Roman" w:cs="Times New Roman" w:hAnsi="Times New Roman"/>
          <w:sz w:val="24"/>
          <w:szCs w:val="24"/>
        </w:rPr>
        <w:t>expenses or delays in payments from customers. This critical situation is further confirmed by extremely low quick</w:t>
      </w:r>
      <w:r>
        <w:rPr>
          <w:rFonts w:ascii="Times New Roman" w:cs="Times New Roman" w:hAnsi="Times New Roman"/>
          <w:sz w:val="24"/>
          <w:szCs w:val="24"/>
        </w:rPr>
        <w:t xml:space="preserve"> ratios</w:t>
      </w:r>
      <w:r>
        <w:rPr>
          <w:rFonts w:ascii="Times New Roman" w:cs="Times New Roman" w:hAnsi="Times New Roman"/>
          <w:sz w:val="24"/>
          <w:szCs w:val="24"/>
        </w:rPr>
        <w:t>. This indicates that the company depends heavily on selling inventory quickly to generate cash. Any slowdown in inventory sales could create an immediate issue in paying bills. This tight liquidity position limits the company’s flexibility to respond to difficult economic conditions.</w:t>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b/>
          <w:sz w:val="24"/>
          <w:szCs w:val="24"/>
          <w:u w:val="single"/>
        </w:rPr>
      </w:pPr>
      <w:r>
        <w:rPr>
          <w:rFonts w:ascii="Times New Roman" w:cs="Times New Roman" w:hAnsi="Times New Roman"/>
          <w:b/>
          <w:sz w:val="24"/>
          <w:szCs w:val="24"/>
          <w:u w:val="single"/>
        </w:rPr>
        <w:t>Conclusion</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In conclusion, and based on the analysis above, Amazon Inc.’s financial performance and position are a mix of massive scale and dominant market performance, but also a dangerously thin cash position and a slight decline in efficiency. The impressive growth in total revenues and cash flow must be balanced against the slim net profit margin and critical short-term debt ratios. The long-term stability of this performance depends on management’s ability to aggressively control rising costs and maintain exceptional speed in selling inventory to avoid cash flow problems.</w:t>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b/>
          <w:sz w:val="24"/>
          <w:szCs w:val="24"/>
          <w:u w:val="single"/>
        </w:rPr>
      </w:pPr>
      <w:r>
        <w:rPr>
          <w:rFonts w:ascii="Times New Roman" w:cs="Times New Roman" w:hAnsi="Times New Roman"/>
          <w:b/>
          <w:sz w:val="24"/>
          <w:szCs w:val="24"/>
          <w:u w:val="single"/>
        </w:rPr>
        <w:t>Recommendation</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Based on the conclusion above, the following recommendations are made for the Board of Directors' consideration:</w:t>
      </w:r>
    </w:p>
    <w:p>
      <w:pPr>
        <w:pStyle w:val="style179"/>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rPr>
        <w:t>Prioritize immediately strengthening the company’s cash cushion. This should include increasing cash reserves and managing short-term finances more effectively.</w:t>
      </w:r>
    </w:p>
    <w:p>
      <w:pPr>
        <w:pStyle w:val="style179"/>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rPr>
        <w:t xml:space="preserve">Launch a comprehensive cost </w:t>
      </w:r>
      <w:r>
        <w:rPr>
          <w:rFonts w:ascii="Times New Roman" w:cs="Times New Roman" w:hAnsi="Times New Roman"/>
          <w:sz w:val="24"/>
          <w:szCs w:val="24"/>
        </w:rPr>
        <w:t>control initiative across all parts of the business to reverse the downward trend in overall profit margins and investment returns.</w:t>
      </w:r>
    </w:p>
    <w:p>
      <w:pPr>
        <w:pStyle w:val="style179"/>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rPr>
        <w:t>Implement tighter monitoring of how quickly inventory is selling across all product categories to prevent any potential bottlenecks.</w:t>
      </w:r>
    </w:p>
    <w:p>
      <w:pPr>
        <w:pStyle w:val="style179"/>
        <w:numPr>
          <w:ilvl w:val="0"/>
          <w:numId w:val="1"/>
        </w:numPr>
        <w:spacing w:lineRule="auto" w:line="360"/>
        <w:rPr>
          <w:rFonts w:ascii="Times New Roman" w:cs="Times New Roman" w:hAnsi="Times New Roman"/>
          <w:sz w:val="24"/>
          <w:szCs w:val="24"/>
        </w:rPr>
      </w:pPr>
      <w:r>
        <w:rPr>
          <w:rFonts w:ascii="Times New Roman" w:cs="Times New Roman" w:hAnsi="Times New Roman"/>
          <w:sz w:val="24"/>
          <w:szCs w:val="24"/>
        </w:rPr>
        <w:t>Review payment terms with customers to speed up cash collections and explore strategic options to manage short-term debts more effectively.</w:t>
      </w:r>
    </w:p>
    <w:p>
      <w:pPr>
        <w:pStyle w:val="style0"/>
        <w:spacing w:lineRule="auto" w:line="360"/>
        <w:rPr>
          <w:rFonts w:ascii="Times New Roman" w:cs="Times New Roman" w:hAnsi="Times New Roman"/>
          <w:sz w:val="24"/>
          <w:szCs w:val="24"/>
        </w:rPr>
      </w:pPr>
    </w:p>
    <w:sectPr>
      <w:pgSz w:w="11906" w:h="16838" w:orient="portrait"/>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等线">
    <w:altName w:val="Arial Unicode MS"/>
    <w:panose1 w:val="00000000000000000000"/>
    <w:charset w:val="86"/>
    <w:family w:val="auto"/>
    <w:pitch w:val="variable"/>
    <w:sig w:usb0="00000000" w:usb1="38CF7CFA" w:usb2="00000016" w:usb3="00000000" w:csb0="0004000F" w:csb1="00000000"/>
  </w:font>
  <w:font w:name="Arial">
    <w:altName w:val="Arial"/>
    <w:panose1 w:val="020b0604020002020204"/>
    <w:charset w:val="00"/>
    <w:family w:val="swiss"/>
    <w:pitch w:val="variable"/>
    <w:sig w:usb0="E0002EFF" w:usb1="C000785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Cambria">
    <w:altName w:val="Cambria"/>
    <w:panose1 w:val="02040503050004030204"/>
    <w:charset w:val="00"/>
    <w:family w:val="roman"/>
    <w:pitch w:val="variable"/>
    <w:sig w:usb0="E00006FF" w:usb1="420024FF" w:usb2="02000000" w:usb3="00000000" w:csb0="0000019F" w:csb1="00000000"/>
  </w:font>
  <w:font w:name="Calibri">
    <w:altName w:val="Calibri"/>
    <w:panose1 w:val="020f05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3740A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
  <m:mathPr>
    <m:mathFont m:val="Cambria Math"/>
    <m:brkBin m:val="before"/>
    <m:brkBinSub m:val="--"/>
    <m:smallFrac m:val="1"/>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zh-CN"/>
      </w:rPr>
    </w:rPrDefault>
    <w:pPrDefault>
      <w:pPr/>
    </w:pPrDefault>
  </w:docDefaults>
  <w:style w:type="paragraph" w:default="1" w:styleId="style0">
    <w:name w:val="Normal"/>
    <w:next w:val="style0"/>
    <w:pPr>
      <w:widowControl w:val="false"/>
      <w:jc w:val="both"/>
    </w:pPr>
    <w:rPr>
      <w:rFonts w:ascii="等线" w:cs="Arial" w:hAnsi="等线"/>
      <w:kern w:val="2"/>
      <w:sz w:val="21"/>
      <w:szCs w:val="22"/>
    </w:rPr>
  </w:style>
  <w:style w:type="paragraph" w:styleId="style1">
    <w:name w:val="heading 1"/>
    <w:basedOn w:val="style0"/>
    <w:next w:val="style0"/>
    <w:pPr>
      <w:keepNext/>
      <w:keepLines/>
      <w:spacing w:before="340" w:after="330" w:lineRule="auto" w:line="578"/>
      <w:outlineLvl w:val="0"/>
    </w:pPr>
    <w:rPr>
      <w:b/>
      <w:bCs/>
      <w:kern w:val="44"/>
      <w:sz w:val="44"/>
    </w:rPr>
  </w:style>
  <w:style w:type="paragraph" w:styleId="style2">
    <w:name w:val="heading 2"/>
    <w:basedOn w:val="style0"/>
    <w:next w:val="style0"/>
    <w:pPr>
      <w:keepNext/>
      <w:keepLines/>
      <w:spacing w:before="260" w:after="260" w:lineRule="auto" w:line="415"/>
      <w:outlineLvl w:val="1"/>
    </w:pPr>
    <w:rPr>
      <w:rFonts w:ascii="Luxi Sans" w:eastAsia="OPPO black body" w:hAnsi="Luxi Sans"/>
      <w:b/>
      <w:sz w:val="32"/>
    </w:rPr>
  </w:style>
  <w:style w:type="paragraph" w:styleId="style3">
    <w:name w:val="heading 3"/>
    <w:basedOn w:val="style0"/>
    <w:next w:val="style0"/>
    <w:pPr>
      <w:keepNext/>
      <w:keepLines/>
      <w:spacing w:before="260" w:after="260" w:lineRule="auto" w:line="415"/>
      <w:outlineLvl w:val="2"/>
    </w:pPr>
    <w:rPr>
      <w:b/>
      <w:sz w:val="32"/>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样式1"/>
    <w:basedOn w:val="style0"/>
    <w:next w:val="style4097"/>
    <w:pPr/>
  </w:style>
  <w:style w:type="paragraph" w:customStyle="1" w:styleId="style4098">
    <w:name w:val="样式2"/>
    <w:basedOn w:val="style0"/>
    <w:next w:val="style4098"/>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Words>518</Words>
  <Pages>2</Pages>
  <Characters>3001</Characters>
  <Application>WPS Office</Application>
  <DocSecurity>0</DocSecurity>
  <Paragraphs>24</Paragraphs>
  <ScaleCrop>false</ScaleCrop>
  <LinksUpToDate>false</LinksUpToDate>
  <CharactersWithSpaces>3501</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2022-12-07T08:34:00Z</dcterms:created>
  <dc:creator>Li Xiongmei</dc:creator>
  <lastModifiedBy>CPH2727</lastModifiedBy>
  <dcterms:modified xsi:type="dcterms:W3CDTF">2026-09-03T19:09:49Z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23aa801b97d14285bc0a17395e1c89a8</vt:lpwstr>
  </property>
</Properties>
</file>