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163103"/>
            <wp:docPr id="1" name="Picture 1"/>
            <wp:cNvGraphicFramePr>
              <a:graphicFrameLocks noChangeAspect="1"/>
            </wp:cNvGraphicFramePr>
            <a:graphic>
              <a:graphicData uri="http://schemas.openxmlformats.org/drawingml/2006/picture">
                <pic:pic>
                  <pic:nvPicPr>
                    <pic:cNvPr id="0" name="ytu_logo.png"/>
                    <pic:cNvPicPr/>
                  </pic:nvPicPr>
                  <pic:blipFill>
                    <a:blip r:embed="rId9"/>
                    <a:stretch>
                      <a:fillRect/>
                    </a:stretch>
                  </pic:blipFill>
                  <pic:spPr>
                    <a:xfrm>
                      <a:off x="0" y="0"/>
                      <a:ext cx="1143000" cy="1163103"/>
                    </a:xfrm>
                    <a:prstGeom prst="rect"/>
                  </pic:spPr>
                </pic:pic>
              </a:graphicData>
            </a:graphic>
          </wp:inline>
        </w:drawing>
      </w:r>
    </w:p>
    <w:p>
      <w:pPr>
        <w:spacing w:after="40"/>
        <w:jc w:val="center"/>
      </w:pPr>
      <w:r>
        <w:rPr>
          <w:rFonts w:ascii="Calibri" w:hAnsi="Calibri"/>
          <w:b/>
          <w:color w:val="000000"/>
          <w:sz w:val="36"/>
        </w:rPr>
        <w:t>YILDIZ TEKNİK ÜNİVERSİTESİ</w:t>
      </w:r>
    </w:p>
    <w:p>
      <w:pPr>
        <w:spacing w:after="680"/>
        <w:jc w:val="center"/>
      </w:pPr>
      <w:r>
        <w:rPr>
          <w:rFonts w:ascii="Calibri" w:hAnsi="Calibri"/>
          <w:b w:val="0"/>
          <w:color w:val="585858"/>
          <w:sz w:val="26"/>
        </w:rPr>
        <w:t>İstatistik Bölümü</w:t>
      </w:r>
    </w:p>
    <w:p>
      <w:pPr>
        <w:spacing w:after="200"/>
        <w:jc w:val="center"/>
      </w:pPr>
      <w:r>
        <w:rPr>
          <w:rFonts w:ascii="Calibri" w:hAnsi="Calibri"/>
          <w:b/>
          <w:color w:val="2E74B5"/>
          <w:sz w:val="36"/>
        </w:rPr>
        <w:t>VERİ MADENCİLİĞİNE GİRİŞ DÖNEM ÖDEVİ</w:t>
      </w:r>
    </w:p>
    <w:p>
      <w:pPr>
        <w:spacing w:after="680"/>
        <w:jc w:val="center"/>
      </w:pPr>
      <w:r>
        <w:rPr>
          <w:rFonts w:ascii="Calibri" w:hAnsi="Calibri"/>
          <w:b/>
          <w:color w:val="000000"/>
          <w:sz w:val="30"/>
        </w:rPr>
        <w:t>Tedarikçi Risk Değerlendirmesi: Veri Madenciliği Yaklaşımı</w:t>
      </w:r>
    </w:p>
    <w:p>
      <w:pPr>
        <w:spacing w:after="60"/>
        <w:jc w:val="center"/>
      </w:pPr>
      <w:r>
        <w:rPr>
          <w:rFonts w:ascii="Calibri" w:hAnsi="Calibri"/>
          <w:b w:val="0"/>
          <w:color w:val="000000"/>
          <w:sz w:val="22"/>
        </w:rPr>
        <w:t>Öğrenci Adı Soyadı: ........................................</w:t>
      </w:r>
    </w:p>
    <w:p>
      <w:pPr>
        <w:spacing w:after="360"/>
        <w:jc w:val="center"/>
      </w:pPr>
      <w:r>
        <w:rPr>
          <w:rFonts w:ascii="Calibri" w:hAnsi="Calibri"/>
          <w:b w:val="0"/>
          <w:color w:val="000000"/>
          <w:sz w:val="22"/>
        </w:rPr>
        <w:t>Öğrenci No: ................................................</w:t>
      </w:r>
    </w:p>
    <w:p>
      <w:pPr>
        <w:spacing w:after="0"/>
        <w:jc w:val="center"/>
      </w:pPr>
      <w:r>
        <w:rPr>
          <w:rFonts w:ascii="Calibri" w:hAnsi="Calibri"/>
          <w:b/>
          <w:color w:val="7F6831"/>
          <w:sz w:val="24"/>
        </w:rPr>
        <w:t>2025-2026 Bahar Dönemi</w:t>
      </w:r>
    </w:p>
    <w:p>
      <w:r>
        <w:br w:type="page"/>
      </w:r>
    </w:p>
    <w:p>
      <w:pPr>
        <w:pStyle w:val="Heading1"/>
        <w:spacing w:before="240" w:after="120"/>
      </w:pPr>
      <w:r>
        <w:rPr>
          <w:rFonts w:ascii="Calibri" w:hAnsi="Calibri"/>
          <w:b/>
          <w:color w:val="2E74B5"/>
          <w:sz w:val="32"/>
        </w:rPr>
        <w:t>1. İçindekiler</w:t>
      </w:r>
    </w:p>
    <w:p>
      <w:pPr>
        <w:spacing w:after="60"/>
      </w:pPr>
      <w:r>
        <w:rPr>
          <w:rFonts w:ascii="Calibri" w:hAnsi="Calibri"/>
          <w:sz w:val="22"/>
        </w:rPr>
        <w:t>1. İçindekiler</w:t>
      </w:r>
    </w:p>
    <w:p>
      <w:pPr>
        <w:spacing w:after="60"/>
      </w:pPr>
      <w:r>
        <w:rPr>
          <w:rFonts w:ascii="Calibri" w:hAnsi="Calibri"/>
          <w:sz w:val="22"/>
        </w:rPr>
        <w:t>2. Giriş</w:t>
      </w:r>
    </w:p>
    <w:p>
      <w:pPr>
        <w:spacing w:after="60"/>
      </w:pPr>
      <w:r>
        <w:rPr>
          <w:rFonts w:ascii="Calibri" w:hAnsi="Calibri"/>
          <w:sz w:val="22"/>
        </w:rPr>
        <w:t>3. Literatür Özeti</w:t>
      </w:r>
    </w:p>
    <w:p>
      <w:pPr>
        <w:spacing w:after="60"/>
      </w:pPr>
      <w:r>
        <w:rPr>
          <w:rFonts w:ascii="Calibri" w:hAnsi="Calibri"/>
          <w:sz w:val="22"/>
        </w:rPr>
        <w:t>4. Teorik Arka Plan</w:t>
      </w:r>
    </w:p>
    <w:p>
      <w:pPr>
        <w:spacing w:after="60"/>
      </w:pPr>
      <w:r>
        <w:rPr>
          <w:rFonts w:ascii="Calibri" w:hAnsi="Calibri"/>
          <w:sz w:val="22"/>
        </w:rPr>
        <w:t>5. Veri Seti Açıklaması</w:t>
      </w:r>
    </w:p>
    <w:p>
      <w:pPr>
        <w:spacing w:after="60"/>
      </w:pPr>
      <w:r>
        <w:rPr>
          <w:rFonts w:ascii="Calibri" w:hAnsi="Calibri"/>
          <w:sz w:val="22"/>
        </w:rPr>
        <w:t>6. Yöntem ve Uygulama</w:t>
      </w:r>
    </w:p>
    <w:p>
      <w:pPr>
        <w:spacing w:after="60"/>
      </w:pPr>
      <w:r>
        <w:rPr>
          <w:rFonts w:ascii="Calibri" w:hAnsi="Calibri"/>
          <w:sz w:val="22"/>
        </w:rPr>
        <w:t>7. Sonuçlar ve Yorum</w:t>
      </w:r>
    </w:p>
    <w:p>
      <w:pPr>
        <w:spacing w:after="60"/>
      </w:pPr>
      <w:r>
        <w:rPr>
          <w:rFonts w:ascii="Calibri" w:hAnsi="Calibri"/>
          <w:sz w:val="22"/>
        </w:rPr>
        <w:t>8. Sonuç ve Değerlendirme</w:t>
      </w:r>
    </w:p>
    <w:p>
      <w:pPr>
        <w:spacing w:after="60"/>
      </w:pPr>
      <w:r>
        <w:rPr>
          <w:rFonts w:ascii="Calibri" w:hAnsi="Calibri"/>
          <w:sz w:val="22"/>
        </w:rPr>
        <w:t>9. Kaynakça</w:t>
      </w:r>
    </w:p>
    <w:p>
      <w:pPr>
        <w:spacing w:after="60"/>
      </w:pPr>
      <w:r>
        <w:rPr>
          <w:rFonts w:ascii="Calibri" w:hAnsi="Calibri"/>
          <w:sz w:val="22"/>
        </w:rPr>
        <w:t>10. Ekler</w:t>
      </w:r>
    </w:p>
    <w:p>
      <w:r>
        <w:br w:type="page"/>
      </w:r>
    </w:p>
    <w:p>
      <w:pPr>
        <w:pStyle w:val="Heading1"/>
        <w:spacing w:before="240" w:after="120"/>
      </w:pPr>
      <w:r>
        <w:rPr>
          <w:rFonts w:ascii="Calibri" w:hAnsi="Calibri"/>
          <w:b/>
          <w:color w:val="2E74B5"/>
          <w:sz w:val="32"/>
        </w:rPr>
        <w:t>2. Giriş</w:t>
      </w:r>
    </w:p>
    <w:p>
      <w:pPr>
        <w:pStyle w:val="Heading2"/>
        <w:spacing w:before="160" w:after="80"/>
      </w:pPr>
      <w:r>
        <w:rPr>
          <w:rFonts w:ascii="Calibri" w:hAnsi="Calibri"/>
          <w:b/>
          <w:color w:val="2E74B5"/>
          <w:sz w:val="26"/>
        </w:rPr>
        <w:t>2.1 Konunun Tanıtımı</w:t>
      </w:r>
    </w:p>
    <w:p>
      <w:pPr>
        <w:spacing w:after="120" w:line="264" w:lineRule="auto"/>
      </w:pPr>
      <w:r>
        <w:rPr>
          <w:rFonts w:ascii="Calibri" w:hAnsi="Calibri"/>
        </w:rPr>
        <w:t>Tedarik zinciri yönetiminde tedarikçi risk değerlendirmesi, işletmelerin tedarikçilerini finansal istikrar, teslimat performansı, kalite uyumluluğu, düzenleyici uygunluk, sürdürülebilirlik, geçmiş risk seviyesi ve olay sayısı gibi ölçütlere göre sistematik biçimde değerlendirmesini sağlar. Bu süreç yalnızca satın alma kararlarını değil, üretim sürekliliğini, stok planlamasını ve operasyonel dayanıklılığı da doğrudan etkiler.</w:t>
      </w:r>
    </w:p>
    <w:p>
      <w:pPr>
        <w:spacing w:after="120" w:line="264" w:lineRule="auto"/>
      </w:pPr>
      <w:r>
        <w:rPr>
          <w:rFonts w:ascii="Calibri" w:hAnsi="Calibri"/>
        </w:rPr>
        <w:t>Veri madenciliği teknikleri, bu değerlendirme sürecinin öznel yorumlardan uzaklaştırılarak ölçülebilir ve tekrar üretilebilir bir yapıya taşınmasına yardımcı olur. Bu projede tedarikçi performans metrikleri önce keşifçi veri analiziyle incelenmiş, ardından kompozit risk skorlarına ve makine öğrenmesi sınıflandırma modellerine dönüştürülmüştür.</w:t>
      </w:r>
    </w:p>
    <w:p>
      <w:pPr>
        <w:pStyle w:val="Heading2"/>
        <w:spacing w:before="160" w:after="80"/>
      </w:pPr>
      <w:r>
        <w:rPr>
          <w:rFonts w:ascii="Calibri" w:hAnsi="Calibri"/>
          <w:b/>
          <w:color w:val="2E74B5"/>
          <w:sz w:val="26"/>
        </w:rPr>
        <w:t>2.2 Konunun Önemi</w:t>
      </w:r>
    </w:p>
    <w:p>
      <w:pPr>
        <w:spacing w:after="120" w:line="264" w:lineRule="auto"/>
      </w:pPr>
      <w:r>
        <w:rPr>
          <w:rFonts w:ascii="Calibri" w:hAnsi="Calibri"/>
        </w:rPr>
        <w:t>Küreselleşen tedarik zincirlerinde tek bir tedarikçide yaşanan aksama, üretim hattı, teslimat süreleri ve müşteri memnuniyeti üzerinde zincirleme etki yaratabilir. COVID-19 döneminde görünür hale gelen kırılganlıklar, risk değerlendirmesinin yalnızca kriz anında değil sürekli izlenmesi gereken stratejik bir faaliyet olduğunu göstermiştir.</w:t>
      </w:r>
    </w:p>
    <w:p>
      <w:pPr>
        <w:pStyle w:val="Heading2"/>
        <w:spacing w:before="160" w:after="80"/>
      </w:pPr>
      <w:r>
        <w:rPr>
          <w:rFonts w:ascii="Calibri" w:hAnsi="Calibri"/>
          <w:b/>
          <w:color w:val="2E74B5"/>
          <w:sz w:val="26"/>
        </w:rPr>
        <w:t>2.3 Ödevin Amacı ve Hedefleri</w:t>
      </w:r>
    </w:p>
    <w:p>
      <w:pPr>
        <w:spacing w:after="120" w:line="264" w:lineRule="auto"/>
      </w:pPr>
      <w:r>
        <w:rPr>
          <w:rFonts w:ascii="Calibri" w:hAnsi="Calibri"/>
        </w:rPr>
        <w:t>Bu projenin amacı Kaggle kaynaklı Supplier Risk Assessment veri seti üzerinde keşifçi veri analizi yapmak, mevcut Risk_Category değişkenini metodolojik olarak değerlendirmek, bağımsız bir kompozit risk skorlama sistemi oluşturmak ve sınıflandırma algoritmalarıyla tedarikçilerin risk sınıflarını tahmin etmektir.</w:t>
      </w:r>
    </w:p>
    <w:p>
      <w:pPr>
        <w:pStyle w:val="ListBullet"/>
        <w:spacing w:after="80"/>
      </w:pPr>
      <w:r>
        <w:rPr>
          <w:rFonts w:ascii="Calibri" w:hAnsi="Calibri"/>
        </w:rPr>
        <w:t>Veri kalitesini, değişken dağılımlarını ve korelasyon yapısını incelemek.</w:t>
      </w:r>
    </w:p>
    <w:p>
      <w:pPr>
        <w:pStyle w:val="ListBullet"/>
        <w:spacing w:after="80"/>
      </w:pPr>
      <w:r>
        <w:rPr>
          <w:rFonts w:ascii="Calibri" w:hAnsi="Calibri"/>
        </w:rPr>
        <w:t>Risk skorunu oluşturan değişkenleri gerekçeli biçimde seçmek.</w:t>
      </w:r>
    </w:p>
    <w:p>
      <w:pPr>
        <w:pStyle w:val="ListBullet"/>
        <w:spacing w:after="80"/>
      </w:pPr>
      <w:r>
        <w:rPr>
          <w:rFonts w:ascii="Calibri" w:hAnsi="Calibri"/>
        </w:rPr>
        <w:t>Eşit ağırlıklı ve öncelik ağırlıklı iki farklı skor üretmek.</w:t>
      </w:r>
    </w:p>
    <w:p>
      <w:pPr>
        <w:pStyle w:val="ListBullet"/>
        <w:spacing w:after="80"/>
      </w:pPr>
      <w:r>
        <w:rPr>
          <w:rFonts w:ascii="Calibri" w:hAnsi="Calibri"/>
        </w:rPr>
        <w:t>Sabit eşik ve kuantil eşik sınıflandırmalarını karşılaştırmak.</w:t>
      </w:r>
    </w:p>
    <w:p>
      <w:pPr>
        <w:pStyle w:val="ListBullet"/>
        <w:spacing w:after="80"/>
      </w:pPr>
      <w:r>
        <w:rPr>
          <w:rFonts w:ascii="Calibri" w:hAnsi="Calibri"/>
        </w:rPr>
        <w:t>Lojistik Regresyon, Karar Ağacı, Random Forest ve KNN modellerini test etmek.</w:t>
      </w:r>
    </w:p>
    <w:p>
      <w:pPr>
        <w:pStyle w:val="ListBullet"/>
        <w:spacing w:after="80"/>
      </w:pPr>
      <w:r>
        <w:rPr>
          <w:rFonts w:ascii="Calibri" w:hAnsi="Calibri"/>
        </w:rPr>
        <w:t>VIF ve R² analizleriyle model yapısının istatistiksel tutarlılığını değerlendirmek.</w:t>
      </w:r>
    </w:p>
    <w:p>
      <w:pPr>
        <w:pStyle w:val="Heading2"/>
        <w:spacing w:before="160" w:after="80"/>
      </w:pPr>
      <w:r>
        <w:rPr>
          <w:rFonts w:ascii="Calibri" w:hAnsi="Calibri"/>
          <w:b/>
          <w:color w:val="2E74B5"/>
          <w:sz w:val="26"/>
        </w:rPr>
        <w:t>2.4 Kapsam</w:t>
      </w:r>
    </w:p>
    <w:p>
      <w:pPr>
        <w:spacing w:after="120" w:line="264" w:lineRule="auto"/>
      </w:pPr>
      <w:r>
        <w:rPr>
          <w:rFonts w:ascii="Calibri" w:hAnsi="Calibri"/>
        </w:rPr>
        <w:t>Çalışma; EDA, özellik mühendisliği, risk skorlama, sınıflandırma modellemesi, model karşılaştırması ve istatistiksel geçerlilik kontrollerini kapsamaktadır. Zaman serisi modellemesi, derin öğrenme, gerçek zamanlı izleme sistemi ve dış veri entegrasyonu bu ödevin kapsamı dışında bırakılmıştır.</w:t>
      </w:r>
    </w:p>
    <w:p>
      <w:pPr>
        <w:pStyle w:val="Heading1"/>
        <w:spacing w:before="240" w:after="120"/>
      </w:pPr>
      <w:r>
        <w:rPr>
          <w:rFonts w:ascii="Calibri" w:hAnsi="Calibri"/>
          <w:b/>
          <w:color w:val="2E74B5"/>
          <w:sz w:val="32"/>
        </w:rPr>
        <w:t>3. Literatür Özeti</w:t>
      </w:r>
    </w:p>
    <w:p>
      <w:pPr>
        <w:spacing w:after="120" w:line="264" w:lineRule="auto"/>
      </w:pPr>
      <w:r>
        <w:rPr>
          <w:rFonts w:ascii="Calibri" w:hAnsi="Calibri"/>
        </w:rPr>
        <w:t>Tedarik zinciri risk yönetimi literatürü, firmaların kesinti olasılığını azaltmak ve kesinti gerçekleştiğinde etkisini sınırlamak için proaktif karar mekanizmalarına ihtiyaç duyduğunu vurgular. Tang (2006), tedarik zinciri risk yönetimini hem operasyonel uygulamalar hem de araştırma yaklaşımları açısından kapsamlı biçimde ele alır ve risk azaltma stratejilerinin yalnızca maliyet değil süreklilik perspektifiyle değerlendirilmesi gerektiğini belirtir.</w:t>
      </w:r>
    </w:p>
    <w:p>
      <w:pPr>
        <w:spacing w:after="120" w:line="264" w:lineRule="auto"/>
      </w:pPr>
      <w:r>
        <w:rPr>
          <w:rFonts w:ascii="Calibri" w:hAnsi="Calibri"/>
        </w:rPr>
        <w:t>Tedarikçi seçimi ve değerlendirmesi genellikle çok kriterli karar verme problemi olarak ele alınır. Ho, Xu ve Dey (2010), tedarikçi değerlendirmede tek ölçütlü maliyet yaklaşımının yetersiz kaldığını; kalite, teslimat, finansal yapı ve sürdürülebilirlik gibi birden çok kriterin birlikte değerlendirilmesi gerektiğini gösteren geniş bir literatür taraması sunar.</w:t>
      </w:r>
    </w:p>
    <w:p>
      <w:pPr>
        <w:spacing w:after="120" w:line="264" w:lineRule="auto"/>
      </w:pPr>
      <w:r>
        <w:rPr>
          <w:rFonts w:ascii="Calibri" w:hAnsi="Calibri"/>
        </w:rPr>
        <w:t>Makine öğrenmesi yaklaşımları, tedarik zinciri risk yönetiminde risk tahmini ve erken uyarı üretme açısından giderek daha fazla kullanılmaktadır. Baryannis, Dani ve Antoniou (2019), tedarik zinciri risk tahmininde performans ile yorumlanabilirlik arasındaki dengenin önemli olduğunu vurgular. Bu proje bu çizgiyle uyumlu olarak hem yüksek performanslı hem de formülü açıklanabilir bir skor-model yapısı kurmuştur.</w:t>
      </w:r>
    </w:p>
    <w:p>
      <w:pPr>
        <w:pStyle w:val="Heading1"/>
        <w:spacing w:before="240" w:after="120"/>
      </w:pPr>
      <w:r>
        <w:rPr>
          <w:rFonts w:ascii="Calibri" w:hAnsi="Calibri"/>
          <w:b/>
          <w:color w:val="2E74B5"/>
          <w:sz w:val="32"/>
        </w:rPr>
        <w:t>4. Teorik Arka Plan</w:t>
      </w:r>
    </w:p>
    <w:p>
      <w:pPr>
        <w:pStyle w:val="Heading2"/>
        <w:spacing w:before="160" w:after="80"/>
      </w:pPr>
      <w:r>
        <w:rPr>
          <w:rFonts w:ascii="Calibri" w:hAnsi="Calibri"/>
          <w:b/>
          <w:color w:val="2E74B5"/>
          <w:sz w:val="26"/>
        </w:rPr>
        <w:t>4.1 Temel Kavramlar</w:t>
      </w:r>
    </w:p>
    <w:p>
      <w:pPr>
        <w:pStyle w:val="ListBullet"/>
        <w:spacing w:after="80"/>
      </w:pPr>
      <w:r>
        <w:rPr>
          <w:rFonts w:ascii="Calibri" w:hAnsi="Calibri"/>
        </w:rPr>
        <w:t>Sınıflandırma: Gözlemleri önceden tanımlanmış sınıflara atama işlemidir. Bu çalışmada Low Risk, Medium Risk ve High Risk sınıfları kullanılmıştır.</w:t>
      </w:r>
    </w:p>
    <w:p>
      <w:pPr>
        <w:pStyle w:val="ListBullet"/>
        <w:spacing w:after="80"/>
      </w:pPr>
      <w:r>
        <w:rPr>
          <w:rFonts w:ascii="Calibri" w:hAnsi="Calibri"/>
        </w:rPr>
        <w:t>Özellik mühendisliği: Ham değişkenlerden modelleme için anlamlı risk bileşenleri üretme sürecidir. Performans değişkenleri ters çevrilerek risk göstergesine dönüştürülmüştür.</w:t>
      </w:r>
    </w:p>
    <w:p>
      <w:pPr>
        <w:pStyle w:val="ListBullet"/>
        <w:spacing w:after="80"/>
      </w:pPr>
      <w:r>
        <w:rPr>
          <w:rFonts w:ascii="Calibri" w:hAnsi="Calibri"/>
        </w:rPr>
        <w:t>Normalizasyon: Değişkenleri ortak ölçeğe taşıma işlemidir. Skor üretiminde MinMaxScaler, model pipeline içinde ise Logistic Regression ve KNN için StandardScaler kullanılmıştır.</w:t>
      </w:r>
    </w:p>
    <w:p>
      <w:pPr>
        <w:pStyle w:val="ListBullet"/>
        <w:spacing w:after="80"/>
      </w:pPr>
      <w:r>
        <w:rPr>
          <w:rFonts w:ascii="Calibri" w:hAnsi="Calibri"/>
        </w:rPr>
        <w:t>Kuantil eşik: Gözlemleri veri dağılımına göre alt, orta ve üst dilimlere ayıran eşikleme yaklaşımıdır.</w:t>
      </w:r>
    </w:p>
    <w:p>
      <w:pPr>
        <w:pStyle w:val="Heading2"/>
        <w:spacing w:before="160" w:after="80"/>
      </w:pPr>
      <w:r>
        <w:rPr>
          <w:rFonts w:ascii="Calibri" w:hAnsi="Calibri"/>
          <w:b/>
          <w:color w:val="2E74B5"/>
          <w:sz w:val="26"/>
        </w:rPr>
        <w:t>4.2 Kullanılan Algoritmalar</w:t>
      </w:r>
    </w:p>
    <w:p>
      <w:pPr>
        <w:spacing w:after="120" w:line="264" w:lineRule="auto"/>
      </w:pPr>
      <w:r>
        <w:rPr>
          <w:rFonts w:ascii="Calibri" w:hAnsi="Calibri"/>
        </w:rPr>
        <w:t>Lojistik Regresyon, sınıflar arasındaki ayrımı doğrusal karar sınırlarıyla modelleyen yorumlanabilir bir sınıflandırma algoritmasıdır. Risk sınıfları doğrusal/ağırlıklı skor mantığıyla üretildiği için bu modelin yüksek performans göstermesi beklenir.</w:t>
      </w:r>
    </w:p>
    <w:p>
      <w:pPr>
        <w:spacing w:after="120" w:line="264" w:lineRule="auto"/>
      </w:pPr>
      <w:r>
        <w:rPr>
          <w:rFonts w:ascii="Calibri" w:hAnsi="Calibri"/>
        </w:rPr>
        <w:t>Karar Ağacı, veriyi ardışık karar kurallarıyla dallandırır. Ölçeklendirme gerektirmez ve yorumlanabilirlik avantajı sunar; ancak sınıf sınırları doğrusal veya çok hassas olduğunda performansı dalgalanabilir.</w:t>
      </w:r>
    </w:p>
    <w:p>
      <w:pPr>
        <w:spacing w:after="120" w:line="264" w:lineRule="auto"/>
      </w:pPr>
      <w:r>
        <w:rPr>
          <w:rFonts w:ascii="Calibri" w:hAnsi="Calibri"/>
        </w:rPr>
        <w:t>Random Forest, çok sayıda karar ağacının birlikte çalıştığı topluluk yöntemidir. Ağaçların ortalaması sayesinde tekil karar ağacına göre daha kararlı sonuçlar üretir ve değişken önem sıralaması sağlar.</w:t>
      </w:r>
    </w:p>
    <w:p>
      <w:pPr>
        <w:spacing w:after="120" w:line="264" w:lineRule="auto"/>
      </w:pPr>
      <w:r>
        <w:rPr>
          <w:rFonts w:ascii="Calibri" w:hAnsi="Calibri"/>
        </w:rPr>
        <w:t>K-En Yakın Komşu, yeni gözlemi eğitim setindeki en yakın komşularına göre sınıflandırır. Mesafe tabanlı olduğu için ölçek farklılıklarından güçlü biçimde etkilenir; bu nedenle StandardScaler ile pipeline içinde kullanılmıştır.</w:t>
      </w:r>
    </w:p>
    <w:p>
      <w:pPr>
        <w:pStyle w:val="Heading2"/>
        <w:spacing w:before="160" w:after="80"/>
      </w:pPr>
      <w:r>
        <w:rPr>
          <w:rFonts w:ascii="Calibri" w:hAnsi="Calibri"/>
          <w:b/>
          <w:color w:val="2E74B5"/>
          <w:sz w:val="26"/>
        </w:rPr>
        <w:t>4.3 Değerlendirme Metrikleri</w:t>
      </w:r>
    </w:p>
    <w:p>
      <w:pPr>
        <w:pStyle w:val="ListBullet"/>
        <w:spacing w:after="80"/>
      </w:pPr>
      <w:r>
        <w:rPr>
          <w:rFonts w:ascii="Calibri" w:hAnsi="Calibri"/>
        </w:rPr>
        <w:t>Accuracy: Toplam doğru tahminlerin tüm tahminlere oranıdır.</w:t>
      </w:r>
    </w:p>
    <w:p>
      <w:pPr>
        <w:pStyle w:val="ListBullet"/>
        <w:spacing w:after="80"/>
      </w:pPr>
      <w:r>
        <w:rPr>
          <w:rFonts w:ascii="Calibri" w:hAnsi="Calibri"/>
        </w:rPr>
        <w:t>Precision Macro: Her sınıf için kesinlik değerlerinin ortalamasıdır.</w:t>
      </w:r>
    </w:p>
    <w:p>
      <w:pPr>
        <w:pStyle w:val="ListBullet"/>
        <w:spacing w:after="80"/>
      </w:pPr>
      <w:r>
        <w:rPr>
          <w:rFonts w:ascii="Calibri" w:hAnsi="Calibri"/>
        </w:rPr>
        <w:t>Recall Macro: Her sınıf için duyarlılık değerlerinin ortalamasıdır.</w:t>
      </w:r>
    </w:p>
    <w:p>
      <w:pPr>
        <w:pStyle w:val="ListBullet"/>
        <w:spacing w:after="80"/>
      </w:pPr>
      <w:r>
        <w:rPr>
          <w:rFonts w:ascii="Calibri" w:hAnsi="Calibri"/>
        </w:rPr>
        <w:t>F1 Macro: Precision ve recall değerlerinin harmonik ortalamasıdır; sınıflar arası dengeyi daha iyi yansıtır.</w:t>
      </w:r>
    </w:p>
    <w:p>
      <w:pPr>
        <w:pStyle w:val="ListBullet"/>
        <w:spacing w:after="80"/>
      </w:pPr>
      <w:r>
        <w:rPr>
          <w:rFonts w:ascii="Calibri" w:hAnsi="Calibri"/>
        </w:rPr>
        <w:t>Confusion Matrix: Gerçek ve tahmin edilen sınıfları çapraz biçimde gösterir.</w:t>
      </w:r>
    </w:p>
    <w:p>
      <w:pPr>
        <w:pStyle w:val="ListBullet"/>
        <w:spacing w:after="80"/>
      </w:pPr>
      <w:r>
        <w:rPr>
          <w:rFonts w:ascii="Calibri" w:hAnsi="Calibri"/>
        </w:rPr>
        <w:t>VIF: Bağımsız değişkenler arasında çoklu doğrusal bağlantı olup olmadığını ölçer.</w:t>
      </w:r>
    </w:p>
    <w:p>
      <w:pPr>
        <w:pStyle w:val="ListBullet"/>
        <w:spacing w:after="80"/>
      </w:pPr>
      <w:r>
        <w:rPr>
          <w:rFonts w:ascii="Calibri" w:hAnsi="Calibri"/>
        </w:rPr>
        <w:t>R²: Sürekli risk skorlarının seçilen değişkenler tarafından ne ölçüde açıklandığını gösterir.</w:t>
      </w:r>
    </w:p>
    <w:p>
      <w:pPr>
        <w:pStyle w:val="Heading1"/>
        <w:spacing w:before="240" w:after="120"/>
      </w:pPr>
      <w:r>
        <w:rPr>
          <w:rFonts w:ascii="Calibri" w:hAnsi="Calibri"/>
          <w:b/>
          <w:color w:val="2E74B5"/>
          <w:sz w:val="32"/>
        </w:rPr>
        <w:t>5. Veri Seti Açıklaması</w:t>
      </w:r>
    </w:p>
    <w:p>
      <w:pPr>
        <w:pStyle w:val="Heading2"/>
        <w:spacing w:before="160" w:after="80"/>
      </w:pPr>
      <w:r>
        <w:rPr>
          <w:rFonts w:ascii="Calibri" w:hAnsi="Calibri"/>
          <w:b/>
          <w:color w:val="2E74B5"/>
          <w:sz w:val="26"/>
        </w:rPr>
        <w:t>5.1 Genel Bilgiler</w:t>
      </w:r>
    </w:p>
    <w:tbl>
      <w:tblPr>
        <w:tblStyle w:val="TableGrid"/>
        <w:tblW w:type="auto" w:w="0"/>
        <w:tblLayout w:type="fixed"/>
        <w:tblLook w:firstColumn="1" w:firstRow="1" w:lastColumn="0" w:lastRow="0" w:noHBand="0" w:noVBand="1" w:val="04A0"/>
      </w:tblPr>
      <w:tblGrid>
        <w:gridCol w:w="4680"/>
        <w:gridCol w:w="4680"/>
      </w:tblGrid>
      <w:tr>
        <w:tc>
          <w:tcPr>
            <w:tcW w:type="dxa" w:w="3168"/>
            <w:shd w:fill="F2F4F7"/>
            <w:tcMar>
              <w:top w:w="80" w:type="dxa"/>
              <w:start w:w="120" w:type="dxa"/>
              <w:bottom w:w="80" w:type="dxa"/>
              <w:end w:w="120" w:type="dxa"/>
            </w:tcMar>
            <w:vAlign w:val="center"/>
          </w:tcPr>
          <w:p>
            <w:pPr>
              <w:jc w:val="center"/>
            </w:pPr>
            <w:r>
              <w:rPr>
                <w:rFonts w:ascii="Calibri" w:hAnsi="Calibri"/>
                <w:b/>
                <w:color w:val="000000"/>
                <w:sz w:val="18"/>
              </w:rPr>
              <w:t>Özellik</w:t>
            </w:r>
          </w:p>
        </w:tc>
        <w:tc>
          <w:tcPr>
            <w:tcW w:type="dxa" w:w="5904"/>
            <w:shd w:fill="F2F4F7"/>
            <w:tcMar>
              <w:top w:w="80" w:type="dxa"/>
              <w:start w:w="120" w:type="dxa"/>
              <w:bottom w:w="80" w:type="dxa"/>
              <w:end w:w="120" w:type="dxa"/>
            </w:tcMar>
            <w:vAlign w:val="center"/>
          </w:tcPr>
          <w:p>
            <w:pPr>
              <w:jc w:val="center"/>
            </w:pPr>
            <w:r>
              <w:rPr>
                <w:rFonts w:ascii="Calibri" w:hAnsi="Calibri"/>
                <w:b/>
                <w:color w:val="000000"/>
                <w:sz w:val="18"/>
              </w:rPr>
              <w:t>Değer</w:t>
            </w:r>
          </w:p>
        </w:tc>
      </w:tr>
      <w:tr>
        <w:tc>
          <w:tcPr>
            <w:tcW w:type="dxa" w:w="3168"/>
            <w:tcMar>
              <w:top w:w="80" w:type="dxa"/>
              <w:start w:w="120" w:type="dxa"/>
              <w:bottom w:w="80" w:type="dxa"/>
              <w:end w:w="120" w:type="dxa"/>
            </w:tcMar>
            <w:vAlign w:val="center"/>
          </w:tcPr>
          <w:p>
            <w:pPr>
              <w:jc w:val="left"/>
            </w:pPr>
            <w:r>
              <w:rPr>
                <w:rFonts w:ascii="Calibri" w:hAnsi="Calibri"/>
                <w:color w:val="000000"/>
                <w:sz w:val="18"/>
              </w:rPr>
              <w:t>Veri seti</w:t>
            </w:r>
          </w:p>
        </w:tc>
        <w:tc>
          <w:tcPr>
            <w:tcW w:type="dxa" w:w="5904"/>
            <w:tcMar>
              <w:top w:w="80" w:type="dxa"/>
              <w:start w:w="120" w:type="dxa"/>
              <w:bottom w:w="80" w:type="dxa"/>
              <w:end w:w="120" w:type="dxa"/>
            </w:tcMar>
            <w:vAlign w:val="center"/>
          </w:tcPr>
          <w:p>
            <w:pPr>
              <w:jc w:val="center"/>
            </w:pPr>
            <w:r>
              <w:rPr>
                <w:rFonts w:ascii="Calibri" w:hAnsi="Calibri"/>
                <w:color w:val="000000"/>
                <w:sz w:val="18"/>
              </w:rPr>
              <w:t>Supplier Risk Assessment Dataset</w:t>
            </w:r>
          </w:p>
        </w:tc>
      </w:tr>
      <w:tr>
        <w:tc>
          <w:tcPr>
            <w:tcW w:type="dxa" w:w="3168"/>
            <w:tcMar>
              <w:top w:w="80" w:type="dxa"/>
              <w:start w:w="120" w:type="dxa"/>
              <w:bottom w:w="80" w:type="dxa"/>
              <w:end w:w="120" w:type="dxa"/>
            </w:tcMar>
            <w:vAlign w:val="center"/>
          </w:tcPr>
          <w:p>
            <w:pPr>
              <w:jc w:val="left"/>
            </w:pPr>
            <w:r>
              <w:rPr>
                <w:rFonts w:ascii="Calibri" w:hAnsi="Calibri"/>
                <w:color w:val="000000"/>
                <w:sz w:val="18"/>
              </w:rPr>
              <w:t>Kaynak</w:t>
            </w:r>
          </w:p>
        </w:tc>
        <w:tc>
          <w:tcPr>
            <w:tcW w:type="dxa" w:w="5904"/>
            <w:tcMar>
              <w:top w:w="80" w:type="dxa"/>
              <w:start w:w="120" w:type="dxa"/>
              <w:bottom w:w="80" w:type="dxa"/>
              <w:end w:w="120" w:type="dxa"/>
            </w:tcMar>
            <w:vAlign w:val="center"/>
          </w:tcPr>
          <w:p>
            <w:pPr>
              <w:jc w:val="center"/>
            </w:pPr>
            <w:r>
              <w:rPr>
                <w:rFonts w:ascii="Calibri" w:hAnsi="Calibri"/>
                <w:color w:val="000000"/>
                <w:sz w:val="18"/>
              </w:rPr>
              <w:t>Kaggle</w:t>
            </w:r>
          </w:p>
        </w:tc>
      </w:tr>
      <w:tr>
        <w:tc>
          <w:tcPr>
            <w:tcW w:type="dxa" w:w="3168"/>
            <w:tcMar>
              <w:top w:w="80" w:type="dxa"/>
              <w:start w:w="120" w:type="dxa"/>
              <w:bottom w:w="80" w:type="dxa"/>
              <w:end w:w="120" w:type="dxa"/>
            </w:tcMar>
            <w:vAlign w:val="center"/>
          </w:tcPr>
          <w:p>
            <w:pPr>
              <w:jc w:val="left"/>
            </w:pPr>
            <w:r>
              <w:rPr>
                <w:rFonts w:ascii="Calibri" w:hAnsi="Calibri"/>
                <w:color w:val="000000"/>
                <w:sz w:val="18"/>
              </w:rPr>
              <w:t>Gözlem sayısı</w:t>
            </w:r>
          </w:p>
        </w:tc>
        <w:tc>
          <w:tcPr>
            <w:tcW w:type="dxa" w:w="5904"/>
            <w:tcMar>
              <w:top w:w="80" w:type="dxa"/>
              <w:start w:w="120" w:type="dxa"/>
              <w:bottom w:w="80" w:type="dxa"/>
              <w:end w:w="120" w:type="dxa"/>
            </w:tcMar>
            <w:vAlign w:val="center"/>
          </w:tcPr>
          <w:p>
            <w:pPr>
              <w:jc w:val="center"/>
            </w:pPr>
            <w:r>
              <w:rPr>
                <w:rFonts w:ascii="Calibri" w:hAnsi="Calibri"/>
                <w:color w:val="000000"/>
                <w:sz w:val="18"/>
              </w:rPr>
              <w:t>1800</w:t>
            </w:r>
          </w:p>
        </w:tc>
      </w:tr>
      <w:tr>
        <w:tc>
          <w:tcPr>
            <w:tcW w:type="dxa" w:w="3168"/>
            <w:tcMar>
              <w:top w:w="80" w:type="dxa"/>
              <w:start w:w="120" w:type="dxa"/>
              <w:bottom w:w="80" w:type="dxa"/>
              <w:end w:w="120" w:type="dxa"/>
            </w:tcMar>
            <w:vAlign w:val="center"/>
          </w:tcPr>
          <w:p>
            <w:pPr>
              <w:jc w:val="left"/>
            </w:pPr>
            <w:r>
              <w:rPr>
                <w:rFonts w:ascii="Calibri" w:hAnsi="Calibri"/>
                <w:color w:val="000000"/>
                <w:sz w:val="18"/>
              </w:rPr>
              <w:t>Değişken sayısı</w:t>
            </w:r>
          </w:p>
        </w:tc>
        <w:tc>
          <w:tcPr>
            <w:tcW w:type="dxa" w:w="5904"/>
            <w:tcMar>
              <w:top w:w="80" w:type="dxa"/>
              <w:start w:w="120" w:type="dxa"/>
              <w:bottom w:w="80" w:type="dxa"/>
              <w:end w:w="120" w:type="dxa"/>
            </w:tcMar>
            <w:vAlign w:val="center"/>
          </w:tcPr>
          <w:p>
            <w:pPr>
              <w:jc w:val="center"/>
            </w:pPr>
            <w:r>
              <w:rPr>
                <w:rFonts w:ascii="Calibri" w:hAnsi="Calibri"/>
                <w:color w:val="000000"/>
                <w:sz w:val="18"/>
              </w:rPr>
              <w:t>12</w:t>
            </w:r>
          </w:p>
        </w:tc>
      </w:tr>
      <w:tr>
        <w:tc>
          <w:tcPr>
            <w:tcW w:type="dxa" w:w="3168"/>
            <w:tcMar>
              <w:top w:w="80" w:type="dxa"/>
              <w:start w:w="120" w:type="dxa"/>
              <w:bottom w:w="80" w:type="dxa"/>
              <w:end w:w="120" w:type="dxa"/>
            </w:tcMar>
            <w:vAlign w:val="center"/>
          </w:tcPr>
          <w:p>
            <w:pPr>
              <w:jc w:val="left"/>
            </w:pPr>
            <w:r>
              <w:rPr>
                <w:rFonts w:ascii="Calibri" w:hAnsi="Calibri"/>
                <w:color w:val="000000"/>
                <w:sz w:val="18"/>
              </w:rPr>
              <w:t>Benzersiz tedarikçi</w:t>
            </w:r>
          </w:p>
        </w:tc>
        <w:tc>
          <w:tcPr>
            <w:tcW w:type="dxa" w:w="5904"/>
            <w:tcMar>
              <w:top w:w="80" w:type="dxa"/>
              <w:start w:w="120" w:type="dxa"/>
              <w:bottom w:w="80" w:type="dxa"/>
              <w:end w:w="120" w:type="dxa"/>
            </w:tcMar>
            <w:vAlign w:val="center"/>
          </w:tcPr>
          <w:p>
            <w:pPr>
              <w:jc w:val="center"/>
            </w:pPr>
            <w:r>
              <w:rPr>
                <w:rFonts w:ascii="Calibri" w:hAnsi="Calibri"/>
                <w:color w:val="000000"/>
                <w:sz w:val="18"/>
              </w:rPr>
              <w:t>100</w:t>
            </w:r>
          </w:p>
        </w:tc>
      </w:tr>
      <w:tr>
        <w:tc>
          <w:tcPr>
            <w:tcW w:type="dxa" w:w="3168"/>
            <w:tcMar>
              <w:top w:w="80" w:type="dxa"/>
              <w:start w:w="120" w:type="dxa"/>
              <w:bottom w:w="80" w:type="dxa"/>
              <w:end w:w="120" w:type="dxa"/>
            </w:tcMar>
            <w:vAlign w:val="center"/>
          </w:tcPr>
          <w:p>
            <w:pPr>
              <w:jc w:val="left"/>
            </w:pPr>
            <w:r>
              <w:rPr>
                <w:rFonts w:ascii="Calibri" w:hAnsi="Calibri"/>
                <w:color w:val="000000"/>
                <w:sz w:val="18"/>
              </w:rPr>
              <w:t>Yıl aralığı</w:t>
            </w:r>
          </w:p>
        </w:tc>
        <w:tc>
          <w:tcPr>
            <w:tcW w:type="dxa" w:w="5904"/>
            <w:tcMar>
              <w:top w:w="80" w:type="dxa"/>
              <w:start w:w="120" w:type="dxa"/>
              <w:bottom w:w="80" w:type="dxa"/>
              <w:end w:w="120" w:type="dxa"/>
            </w:tcMar>
            <w:vAlign w:val="center"/>
          </w:tcPr>
          <w:p>
            <w:pPr>
              <w:jc w:val="center"/>
            </w:pPr>
            <w:r>
              <w:rPr>
                <w:rFonts w:ascii="Calibri" w:hAnsi="Calibri"/>
                <w:color w:val="000000"/>
                <w:sz w:val="18"/>
              </w:rPr>
              <w:t>2021-2025</w:t>
            </w:r>
          </w:p>
        </w:tc>
      </w:tr>
      <w:tr>
        <w:tc>
          <w:tcPr>
            <w:tcW w:type="dxa" w:w="3168"/>
            <w:tcMar>
              <w:top w:w="80" w:type="dxa"/>
              <w:start w:w="120" w:type="dxa"/>
              <w:bottom w:w="80" w:type="dxa"/>
              <w:end w:w="120" w:type="dxa"/>
            </w:tcMar>
            <w:vAlign w:val="center"/>
          </w:tcPr>
          <w:p>
            <w:pPr>
              <w:jc w:val="left"/>
            </w:pPr>
            <w:r>
              <w:rPr>
                <w:rFonts w:ascii="Calibri" w:hAnsi="Calibri"/>
                <w:color w:val="000000"/>
                <w:sz w:val="18"/>
              </w:rPr>
              <w:t>Eksik değer</w:t>
            </w:r>
          </w:p>
        </w:tc>
        <w:tc>
          <w:tcPr>
            <w:tcW w:type="dxa" w:w="5904"/>
            <w:tcMar>
              <w:top w:w="80" w:type="dxa"/>
              <w:start w:w="120" w:type="dxa"/>
              <w:bottom w:w="80" w:type="dxa"/>
              <w:end w:w="120" w:type="dxa"/>
            </w:tcMar>
            <w:vAlign w:val="center"/>
          </w:tcPr>
          <w:p>
            <w:pPr>
              <w:jc w:val="center"/>
            </w:pPr>
            <w:r>
              <w:rPr>
                <w:rFonts w:ascii="Calibri" w:hAnsi="Calibri"/>
                <w:color w:val="000000"/>
                <w:sz w:val="18"/>
              </w:rPr>
              <w:t>0</w:t>
            </w:r>
          </w:p>
        </w:tc>
      </w:tr>
      <w:tr>
        <w:tc>
          <w:tcPr>
            <w:tcW w:type="dxa" w:w="3168"/>
            <w:tcMar>
              <w:top w:w="80" w:type="dxa"/>
              <w:start w:w="120" w:type="dxa"/>
              <w:bottom w:w="80" w:type="dxa"/>
              <w:end w:w="120" w:type="dxa"/>
            </w:tcMar>
            <w:vAlign w:val="center"/>
          </w:tcPr>
          <w:p>
            <w:pPr>
              <w:jc w:val="left"/>
            </w:pPr>
            <w:r>
              <w:rPr>
                <w:rFonts w:ascii="Calibri" w:hAnsi="Calibri"/>
                <w:color w:val="000000"/>
                <w:sz w:val="18"/>
              </w:rPr>
              <w:t>Tekrarlı satır</w:t>
            </w:r>
          </w:p>
        </w:tc>
        <w:tc>
          <w:tcPr>
            <w:tcW w:type="dxa" w:w="5904"/>
            <w:tcMar>
              <w:top w:w="80" w:type="dxa"/>
              <w:start w:w="120" w:type="dxa"/>
              <w:bottom w:w="80" w:type="dxa"/>
              <w:end w:w="120" w:type="dxa"/>
            </w:tcMar>
            <w:vAlign w:val="center"/>
          </w:tcPr>
          <w:p>
            <w:pPr>
              <w:jc w:val="center"/>
            </w:pPr>
            <w:r>
              <w:rPr>
                <w:rFonts w:ascii="Calibri" w:hAnsi="Calibri"/>
                <w:color w:val="000000"/>
                <w:sz w:val="18"/>
              </w:rPr>
              <w:t>0</w:t>
            </w:r>
          </w:p>
        </w:tc>
      </w:tr>
    </w:tbl>
    <w:p/>
    <w:p>
      <w:pPr>
        <w:spacing w:after="120" w:line="264" w:lineRule="auto"/>
      </w:pPr>
      <w:r>
        <w:rPr>
          <w:rFonts w:ascii="Calibri" w:hAnsi="Calibri"/>
        </w:rPr>
        <w:t>Talimat taslağında bazı yerlerde yıl aralığı ve sütun sayısı eski değerlerle yazılmıştır; bu raporda doğrudan mevcut CSV dosyasından doğrulanan güncel değerler kullanılmıştır.</w:t>
      </w:r>
    </w:p>
    <w:p>
      <w:pPr>
        <w:pStyle w:val="Heading2"/>
        <w:spacing w:before="160" w:after="80"/>
      </w:pPr>
      <w:r>
        <w:rPr>
          <w:rFonts w:ascii="Calibri" w:hAnsi="Calibri"/>
          <w:b/>
          <w:color w:val="2E74B5"/>
          <w:sz w:val="26"/>
        </w:rPr>
        <w:t>5.2 Değişkenler</w:t>
      </w:r>
    </w:p>
    <w:tbl>
      <w:tblPr>
        <w:tblStyle w:val="TableGrid"/>
        <w:tblW w:type="auto" w:w="0"/>
        <w:tblLayout w:type="fixed"/>
        <w:tblLook w:firstColumn="1" w:firstRow="1" w:lastColumn="0" w:lastRow="0" w:noHBand="0" w:noVBand="1" w:val="04A0"/>
      </w:tblPr>
      <w:tblGrid>
        <w:gridCol w:w="3120"/>
        <w:gridCol w:w="3120"/>
        <w:gridCol w:w="3120"/>
      </w:tblGrid>
      <w:tr>
        <w:tc>
          <w:tcPr>
            <w:tcW w:type="dxa" w:w="3240"/>
            <w:shd w:fill="F2F4F7"/>
            <w:tcMar>
              <w:top w:w="80" w:type="dxa"/>
              <w:start w:w="120" w:type="dxa"/>
              <w:bottom w:w="80" w:type="dxa"/>
              <w:end w:w="120" w:type="dxa"/>
            </w:tcMar>
            <w:vAlign w:val="center"/>
          </w:tcPr>
          <w:p>
            <w:pPr>
              <w:jc w:val="center"/>
            </w:pPr>
            <w:r>
              <w:rPr>
                <w:rFonts w:ascii="Calibri" w:hAnsi="Calibri"/>
                <w:b/>
                <w:color w:val="000000"/>
                <w:sz w:val="16"/>
              </w:rPr>
              <w:t>Değişken</w:t>
            </w:r>
          </w:p>
        </w:tc>
        <w:tc>
          <w:tcPr>
            <w:tcW w:type="dxa" w:w="1800"/>
            <w:shd w:fill="F2F4F7"/>
            <w:tcMar>
              <w:top w:w="80" w:type="dxa"/>
              <w:start w:w="120" w:type="dxa"/>
              <w:bottom w:w="80" w:type="dxa"/>
              <w:end w:w="120" w:type="dxa"/>
            </w:tcMar>
            <w:vAlign w:val="center"/>
          </w:tcPr>
          <w:p>
            <w:pPr>
              <w:jc w:val="center"/>
            </w:pPr>
            <w:r>
              <w:rPr>
                <w:rFonts w:ascii="Calibri" w:hAnsi="Calibri"/>
                <w:b/>
                <w:color w:val="000000"/>
                <w:sz w:val="16"/>
              </w:rPr>
              <w:t>Tür</w:t>
            </w:r>
          </w:p>
        </w:tc>
        <w:tc>
          <w:tcPr>
            <w:tcW w:type="dxa" w:w="4320"/>
            <w:shd w:fill="F2F4F7"/>
            <w:tcMar>
              <w:top w:w="80" w:type="dxa"/>
              <w:start w:w="120" w:type="dxa"/>
              <w:bottom w:w="80" w:type="dxa"/>
              <w:end w:w="120" w:type="dxa"/>
            </w:tcMar>
            <w:vAlign w:val="center"/>
          </w:tcPr>
          <w:p>
            <w:pPr>
              <w:jc w:val="center"/>
            </w:pPr>
            <w:r>
              <w:rPr>
                <w:rFonts w:ascii="Calibri" w:hAnsi="Calibri"/>
                <w:b/>
                <w:color w:val="000000"/>
                <w:sz w:val="16"/>
              </w:rPr>
              <w:t>Açıklama</w:t>
            </w:r>
          </w:p>
        </w:tc>
      </w:tr>
      <w:tr>
        <w:tc>
          <w:tcPr>
            <w:tcW w:type="dxa" w:w="3240"/>
            <w:tcMar>
              <w:top w:w="80" w:type="dxa"/>
              <w:start w:w="120" w:type="dxa"/>
              <w:bottom w:w="80" w:type="dxa"/>
              <w:end w:w="120" w:type="dxa"/>
            </w:tcMar>
            <w:vAlign w:val="center"/>
          </w:tcPr>
          <w:p>
            <w:pPr>
              <w:jc w:val="left"/>
            </w:pPr>
            <w:r>
              <w:rPr>
                <w:rFonts w:ascii="Calibri" w:hAnsi="Calibri"/>
                <w:color w:val="000000"/>
                <w:sz w:val="16"/>
              </w:rPr>
              <w:t>Supplier_ID</w:t>
            </w:r>
          </w:p>
        </w:tc>
        <w:tc>
          <w:tcPr>
            <w:tcW w:type="dxa" w:w="1800"/>
            <w:tcMar>
              <w:top w:w="80" w:type="dxa"/>
              <w:start w:w="120" w:type="dxa"/>
              <w:bottom w:w="80" w:type="dxa"/>
              <w:end w:w="120" w:type="dxa"/>
            </w:tcMar>
            <w:vAlign w:val="center"/>
          </w:tcPr>
          <w:p>
            <w:pPr>
              <w:jc w:val="center"/>
            </w:pPr>
            <w:r>
              <w:rPr>
                <w:rFonts w:ascii="Calibri" w:hAnsi="Calibri"/>
                <w:color w:val="000000"/>
                <w:sz w:val="16"/>
              </w:rPr>
              <w:t>Tamsayı</w:t>
            </w:r>
          </w:p>
        </w:tc>
        <w:tc>
          <w:tcPr>
            <w:tcW w:type="dxa" w:w="4320"/>
            <w:tcMar>
              <w:top w:w="80" w:type="dxa"/>
              <w:start w:w="120" w:type="dxa"/>
              <w:bottom w:w="80" w:type="dxa"/>
              <w:end w:w="120" w:type="dxa"/>
            </w:tcMar>
            <w:vAlign w:val="center"/>
          </w:tcPr>
          <w:p>
            <w:pPr>
              <w:jc w:val="center"/>
            </w:pPr>
            <w:r>
              <w:rPr>
                <w:rFonts w:ascii="Calibri" w:hAnsi="Calibri"/>
                <w:color w:val="000000"/>
                <w:sz w:val="16"/>
              </w:rPr>
              <w:t>Tedarikçi kimlik numarası.</w:t>
            </w:r>
          </w:p>
        </w:tc>
      </w:tr>
      <w:tr>
        <w:tc>
          <w:tcPr>
            <w:tcW w:type="dxa" w:w="3240"/>
            <w:tcMar>
              <w:top w:w="80" w:type="dxa"/>
              <w:start w:w="120" w:type="dxa"/>
              <w:bottom w:w="80" w:type="dxa"/>
              <w:end w:w="120" w:type="dxa"/>
            </w:tcMar>
            <w:vAlign w:val="center"/>
          </w:tcPr>
          <w:p>
            <w:pPr>
              <w:jc w:val="left"/>
            </w:pPr>
            <w:r>
              <w:rPr>
                <w:rFonts w:ascii="Calibri" w:hAnsi="Calibri"/>
                <w:color w:val="000000"/>
                <w:sz w:val="16"/>
              </w:rPr>
              <w:t>Year</w:t>
            </w:r>
          </w:p>
        </w:tc>
        <w:tc>
          <w:tcPr>
            <w:tcW w:type="dxa" w:w="1800"/>
            <w:tcMar>
              <w:top w:w="80" w:type="dxa"/>
              <w:start w:w="120" w:type="dxa"/>
              <w:bottom w:w="80" w:type="dxa"/>
              <w:end w:w="120" w:type="dxa"/>
            </w:tcMar>
            <w:vAlign w:val="center"/>
          </w:tcPr>
          <w:p>
            <w:pPr>
              <w:jc w:val="center"/>
            </w:pPr>
            <w:r>
              <w:rPr>
                <w:rFonts w:ascii="Calibri" w:hAnsi="Calibri"/>
                <w:color w:val="000000"/>
                <w:sz w:val="16"/>
              </w:rPr>
              <w:t>Tamsayı</w:t>
            </w:r>
          </w:p>
        </w:tc>
        <w:tc>
          <w:tcPr>
            <w:tcW w:type="dxa" w:w="4320"/>
            <w:tcMar>
              <w:top w:w="80" w:type="dxa"/>
              <w:start w:w="120" w:type="dxa"/>
              <w:bottom w:w="80" w:type="dxa"/>
              <w:end w:w="120" w:type="dxa"/>
            </w:tcMar>
            <w:vAlign w:val="center"/>
          </w:tcPr>
          <w:p>
            <w:pPr>
              <w:jc w:val="center"/>
            </w:pPr>
            <w:r>
              <w:rPr>
                <w:rFonts w:ascii="Calibri" w:hAnsi="Calibri"/>
                <w:color w:val="000000"/>
                <w:sz w:val="16"/>
              </w:rPr>
              <w:t>Gözlemin ait olduğu yıl.</w:t>
            </w:r>
          </w:p>
        </w:tc>
      </w:tr>
      <w:tr>
        <w:tc>
          <w:tcPr>
            <w:tcW w:type="dxa" w:w="3240"/>
            <w:tcMar>
              <w:top w:w="80" w:type="dxa"/>
              <w:start w:w="120" w:type="dxa"/>
              <w:bottom w:w="80" w:type="dxa"/>
              <w:end w:w="120" w:type="dxa"/>
            </w:tcMar>
            <w:vAlign w:val="center"/>
          </w:tcPr>
          <w:p>
            <w:pPr>
              <w:jc w:val="left"/>
            </w:pPr>
            <w:r>
              <w:rPr>
                <w:rFonts w:ascii="Calibri" w:hAnsi="Calibri"/>
                <w:color w:val="000000"/>
                <w:sz w:val="16"/>
              </w:rPr>
              <w:t>Financial_Stability_Score</w:t>
            </w:r>
          </w:p>
        </w:tc>
        <w:tc>
          <w:tcPr>
            <w:tcW w:type="dxa" w:w="1800"/>
            <w:tcMar>
              <w:top w:w="80" w:type="dxa"/>
              <w:start w:w="120" w:type="dxa"/>
              <w:bottom w:w="80" w:type="dxa"/>
              <w:end w:w="120" w:type="dxa"/>
            </w:tcMar>
            <w:vAlign w:val="center"/>
          </w:tcPr>
          <w:p>
            <w:pPr>
              <w:jc w:val="center"/>
            </w:pPr>
            <w:r>
              <w:rPr>
                <w:rFonts w:ascii="Calibri" w:hAnsi="Calibri"/>
                <w:color w:val="000000"/>
                <w:sz w:val="16"/>
              </w:rPr>
              <w:t>Ondalıklı</w:t>
            </w:r>
          </w:p>
        </w:tc>
        <w:tc>
          <w:tcPr>
            <w:tcW w:type="dxa" w:w="4320"/>
            <w:tcMar>
              <w:top w:w="80" w:type="dxa"/>
              <w:start w:w="120" w:type="dxa"/>
              <w:bottom w:w="80" w:type="dxa"/>
              <w:end w:w="120" w:type="dxa"/>
            </w:tcMar>
            <w:vAlign w:val="center"/>
          </w:tcPr>
          <w:p>
            <w:pPr>
              <w:jc w:val="center"/>
            </w:pPr>
            <w:r>
              <w:rPr>
                <w:rFonts w:ascii="Calibri" w:hAnsi="Calibri"/>
                <w:color w:val="000000"/>
                <w:sz w:val="16"/>
              </w:rPr>
              <w:t>Finansal istikrar; yüksek değer olumlu.</w:t>
            </w:r>
          </w:p>
        </w:tc>
      </w:tr>
      <w:tr>
        <w:tc>
          <w:tcPr>
            <w:tcW w:type="dxa" w:w="3240"/>
            <w:tcMar>
              <w:top w:w="80" w:type="dxa"/>
              <w:start w:w="120" w:type="dxa"/>
              <w:bottom w:w="80" w:type="dxa"/>
              <w:end w:w="120" w:type="dxa"/>
            </w:tcMar>
            <w:vAlign w:val="center"/>
          </w:tcPr>
          <w:p>
            <w:pPr>
              <w:jc w:val="left"/>
            </w:pPr>
            <w:r>
              <w:rPr>
                <w:rFonts w:ascii="Calibri" w:hAnsi="Calibri"/>
                <w:color w:val="000000"/>
                <w:sz w:val="16"/>
              </w:rPr>
              <w:t>Delivery_Performance_Score</w:t>
            </w:r>
          </w:p>
        </w:tc>
        <w:tc>
          <w:tcPr>
            <w:tcW w:type="dxa" w:w="1800"/>
            <w:tcMar>
              <w:top w:w="80" w:type="dxa"/>
              <w:start w:w="120" w:type="dxa"/>
              <w:bottom w:w="80" w:type="dxa"/>
              <w:end w:w="120" w:type="dxa"/>
            </w:tcMar>
            <w:vAlign w:val="center"/>
          </w:tcPr>
          <w:p>
            <w:pPr>
              <w:jc w:val="center"/>
            </w:pPr>
            <w:r>
              <w:rPr>
                <w:rFonts w:ascii="Calibri" w:hAnsi="Calibri"/>
                <w:color w:val="000000"/>
                <w:sz w:val="16"/>
              </w:rPr>
              <w:t>Ondalıklı</w:t>
            </w:r>
          </w:p>
        </w:tc>
        <w:tc>
          <w:tcPr>
            <w:tcW w:type="dxa" w:w="4320"/>
            <w:tcMar>
              <w:top w:w="80" w:type="dxa"/>
              <w:start w:w="120" w:type="dxa"/>
              <w:bottom w:w="80" w:type="dxa"/>
              <w:end w:w="120" w:type="dxa"/>
            </w:tcMar>
            <w:vAlign w:val="center"/>
          </w:tcPr>
          <w:p>
            <w:pPr>
              <w:jc w:val="center"/>
            </w:pPr>
            <w:r>
              <w:rPr>
                <w:rFonts w:ascii="Calibri" w:hAnsi="Calibri"/>
                <w:color w:val="000000"/>
                <w:sz w:val="16"/>
              </w:rPr>
              <w:t>Teslimat performansı; yüksek değer olumlu.</w:t>
            </w:r>
          </w:p>
        </w:tc>
      </w:tr>
      <w:tr>
        <w:tc>
          <w:tcPr>
            <w:tcW w:type="dxa" w:w="3240"/>
            <w:tcMar>
              <w:top w:w="80" w:type="dxa"/>
              <w:start w:w="120" w:type="dxa"/>
              <w:bottom w:w="80" w:type="dxa"/>
              <w:end w:w="120" w:type="dxa"/>
            </w:tcMar>
            <w:vAlign w:val="center"/>
          </w:tcPr>
          <w:p>
            <w:pPr>
              <w:jc w:val="left"/>
            </w:pPr>
            <w:r>
              <w:rPr>
                <w:rFonts w:ascii="Calibri" w:hAnsi="Calibri"/>
                <w:color w:val="000000"/>
                <w:sz w:val="16"/>
              </w:rPr>
              <w:t>Quality_Compliance_Score</w:t>
            </w:r>
          </w:p>
        </w:tc>
        <w:tc>
          <w:tcPr>
            <w:tcW w:type="dxa" w:w="1800"/>
            <w:tcMar>
              <w:top w:w="80" w:type="dxa"/>
              <w:start w:w="120" w:type="dxa"/>
              <w:bottom w:w="80" w:type="dxa"/>
              <w:end w:w="120" w:type="dxa"/>
            </w:tcMar>
            <w:vAlign w:val="center"/>
          </w:tcPr>
          <w:p>
            <w:pPr>
              <w:jc w:val="center"/>
            </w:pPr>
            <w:r>
              <w:rPr>
                <w:rFonts w:ascii="Calibri" w:hAnsi="Calibri"/>
                <w:color w:val="000000"/>
                <w:sz w:val="16"/>
              </w:rPr>
              <w:t>Ondalıklı</w:t>
            </w:r>
          </w:p>
        </w:tc>
        <w:tc>
          <w:tcPr>
            <w:tcW w:type="dxa" w:w="4320"/>
            <w:tcMar>
              <w:top w:w="80" w:type="dxa"/>
              <w:start w:w="120" w:type="dxa"/>
              <w:bottom w:w="80" w:type="dxa"/>
              <w:end w:w="120" w:type="dxa"/>
            </w:tcMar>
            <w:vAlign w:val="center"/>
          </w:tcPr>
          <w:p>
            <w:pPr>
              <w:jc w:val="center"/>
            </w:pPr>
            <w:r>
              <w:rPr>
                <w:rFonts w:ascii="Calibri" w:hAnsi="Calibri"/>
                <w:color w:val="000000"/>
                <w:sz w:val="16"/>
              </w:rPr>
              <w:t>Kalite uyumluluğu; yüksek değer olumlu.</w:t>
            </w:r>
          </w:p>
        </w:tc>
      </w:tr>
      <w:tr>
        <w:tc>
          <w:tcPr>
            <w:tcW w:type="dxa" w:w="3240"/>
            <w:tcMar>
              <w:top w:w="80" w:type="dxa"/>
              <w:start w:w="120" w:type="dxa"/>
              <w:bottom w:w="80" w:type="dxa"/>
              <w:end w:w="120" w:type="dxa"/>
            </w:tcMar>
            <w:vAlign w:val="center"/>
          </w:tcPr>
          <w:p>
            <w:pPr>
              <w:jc w:val="left"/>
            </w:pPr>
            <w:r>
              <w:rPr>
                <w:rFonts w:ascii="Calibri" w:hAnsi="Calibri"/>
                <w:color w:val="000000"/>
                <w:sz w:val="16"/>
              </w:rPr>
              <w:t>Regulatory_Adherence_Score</w:t>
            </w:r>
          </w:p>
        </w:tc>
        <w:tc>
          <w:tcPr>
            <w:tcW w:type="dxa" w:w="1800"/>
            <w:tcMar>
              <w:top w:w="80" w:type="dxa"/>
              <w:start w:w="120" w:type="dxa"/>
              <w:bottom w:w="80" w:type="dxa"/>
              <w:end w:w="120" w:type="dxa"/>
            </w:tcMar>
            <w:vAlign w:val="center"/>
          </w:tcPr>
          <w:p>
            <w:pPr>
              <w:jc w:val="center"/>
            </w:pPr>
            <w:r>
              <w:rPr>
                <w:rFonts w:ascii="Calibri" w:hAnsi="Calibri"/>
                <w:color w:val="000000"/>
                <w:sz w:val="16"/>
              </w:rPr>
              <w:t>Ondalıklı</w:t>
            </w:r>
          </w:p>
        </w:tc>
        <w:tc>
          <w:tcPr>
            <w:tcW w:type="dxa" w:w="4320"/>
            <w:tcMar>
              <w:top w:w="80" w:type="dxa"/>
              <w:start w:w="120" w:type="dxa"/>
              <w:bottom w:w="80" w:type="dxa"/>
              <w:end w:w="120" w:type="dxa"/>
            </w:tcMar>
            <w:vAlign w:val="center"/>
          </w:tcPr>
          <w:p>
            <w:pPr>
              <w:jc w:val="center"/>
            </w:pPr>
            <w:r>
              <w:rPr>
                <w:rFonts w:ascii="Calibri" w:hAnsi="Calibri"/>
                <w:color w:val="000000"/>
                <w:sz w:val="16"/>
              </w:rPr>
              <w:t>Düzenleyici uyum; yüksek değer olumlu.</w:t>
            </w:r>
          </w:p>
        </w:tc>
      </w:tr>
      <w:tr>
        <w:tc>
          <w:tcPr>
            <w:tcW w:type="dxa" w:w="3240"/>
            <w:tcMar>
              <w:top w:w="80" w:type="dxa"/>
              <w:start w:w="120" w:type="dxa"/>
              <w:bottom w:w="80" w:type="dxa"/>
              <w:end w:w="120" w:type="dxa"/>
            </w:tcMar>
            <w:vAlign w:val="center"/>
          </w:tcPr>
          <w:p>
            <w:pPr>
              <w:jc w:val="left"/>
            </w:pPr>
            <w:r>
              <w:rPr>
                <w:rFonts w:ascii="Calibri" w:hAnsi="Calibri"/>
                <w:color w:val="000000"/>
                <w:sz w:val="16"/>
              </w:rPr>
              <w:t>Sustainability_Score</w:t>
            </w:r>
          </w:p>
        </w:tc>
        <w:tc>
          <w:tcPr>
            <w:tcW w:type="dxa" w:w="1800"/>
            <w:tcMar>
              <w:top w:w="80" w:type="dxa"/>
              <w:start w:w="120" w:type="dxa"/>
              <w:bottom w:w="80" w:type="dxa"/>
              <w:end w:w="120" w:type="dxa"/>
            </w:tcMar>
            <w:vAlign w:val="center"/>
          </w:tcPr>
          <w:p>
            <w:pPr>
              <w:jc w:val="center"/>
            </w:pPr>
            <w:r>
              <w:rPr>
                <w:rFonts w:ascii="Calibri" w:hAnsi="Calibri"/>
                <w:color w:val="000000"/>
                <w:sz w:val="16"/>
              </w:rPr>
              <w:t>Ondalıklı</w:t>
            </w:r>
          </w:p>
        </w:tc>
        <w:tc>
          <w:tcPr>
            <w:tcW w:type="dxa" w:w="4320"/>
            <w:tcMar>
              <w:top w:w="80" w:type="dxa"/>
              <w:start w:w="120" w:type="dxa"/>
              <w:bottom w:w="80" w:type="dxa"/>
              <w:end w:w="120" w:type="dxa"/>
            </w:tcMar>
            <w:vAlign w:val="center"/>
          </w:tcPr>
          <w:p>
            <w:pPr>
              <w:jc w:val="center"/>
            </w:pPr>
            <w:r>
              <w:rPr>
                <w:rFonts w:ascii="Calibri" w:hAnsi="Calibri"/>
                <w:color w:val="000000"/>
                <w:sz w:val="16"/>
              </w:rPr>
              <w:t>Sürdürülebilirlik performansı; yüksek değer olumlu.</w:t>
            </w:r>
          </w:p>
        </w:tc>
      </w:tr>
      <w:tr>
        <w:tc>
          <w:tcPr>
            <w:tcW w:type="dxa" w:w="3240"/>
            <w:tcMar>
              <w:top w:w="80" w:type="dxa"/>
              <w:start w:w="120" w:type="dxa"/>
              <w:bottom w:w="80" w:type="dxa"/>
              <w:end w:w="120" w:type="dxa"/>
            </w:tcMar>
            <w:vAlign w:val="center"/>
          </w:tcPr>
          <w:p>
            <w:pPr>
              <w:jc w:val="left"/>
            </w:pPr>
            <w:r>
              <w:rPr>
                <w:rFonts w:ascii="Calibri" w:hAnsi="Calibri"/>
                <w:color w:val="000000"/>
                <w:sz w:val="16"/>
              </w:rPr>
              <w:t>Past_Risk_Level</w:t>
            </w:r>
          </w:p>
        </w:tc>
        <w:tc>
          <w:tcPr>
            <w:tcW w:type="dxa" w:w="1800"/>
            <w:tcMar>
              <w:top w:w="80" w:type="dxa"/>
              <w:start w:w="120" w:type="dxa"/>
              <w:bottom w:w="80" w:type="dxa"/>
              <w:end w:w="120" w:type="dxa"/>
            </w:tcMar>
            <w:vAlign w:val="center"/>
          </w:tcPr>
          <w:p>
            <w:pPr>
              <w:jc w:val="center"/>
            </w:pPr>
            <w:r>
              <w:rPr>
                <w:rFonts w:ascii="Calibri" w:hAnsi="Calibri"/>
                <w:color w:val="000000"/>
                <w:sz w:val="16"/>
              </w:rPr>
              <w:t>Ondalıklı</w:t>
            </w:r>
          </w:p>
        </w:tc>
        <w:tc>
          <w:tcPr>
            <w:tcW w:type="dxa" w:w="4320"/>
            <w:tcMar>
              <w:top w:w="80" w:type="dxa"/>
              <w:start w:w="120" w:type="dxa"/>
              <w:bottom w:w="80" w:type="dxa"/>
              <w:end w:w="120" w:type="dxa"/>
            </w:tcMar>
            <w:vAlign w:val="center"/>
          </w:tcPr>
          <w:p>
            <w:pPr>
              <w:jc w:val="center"/>
            </w:pPr>
            <w:r>
              <w:rPr>
                <w:rFonts w:ascii="Calibri" w:hAnsi="Calibri"/>
                <w:color w:val="000000"/>
                <w:sz w:val="16"/>
              </w:rPr>
              <w:t>Geçmiş risk seviyesi; yüksek değer riskli.</w:t>
            </w:r>
          </w:p>
        </w:tc>
      </w:tr>
      <w:tr>
        <w:tc>
          <w:tcPr>
            <w:tcW w:type="dxa" w:w="3240"/>
            <w:tcMar>
              <w:top w:w="80" w:type="dxa"/>
              <w:start w:w="120" w:type="dxa"/>
              <w:bottom w:w="80" w:type="dxa"/>
              <w:end w:w="120" w:type="dxa"/>
            </w:tcMar>
            <w:vAlign w:val="center"/>
          </w:tcPr>
          <w:p>
            <w:pPr>
              <w:jc w:val="left"/>
            </w:pPr>
            <w:r>
              <w:rPr>
                <w:rFonts w:ascii="Calibri" w:hAnsi="Calibri"/>
                <w:color w:val="000000"/>
                <w:sz w:val="16"/>
              </w:rPr>
              <w:t>ERP_Transactions</w:t>
            </w:r>
          </w:p>
        </w:tc>
        <w:tc>
          <w:tcPr>
            <w:tcW w:type="dxa" w:w="1800"/>
            <w:tcMar>
              <w:top w:w="80" w:type="dxa"/>
              <w:start w:w="120" w:type="dxa"/>
              <w:bottom w:w="80" w:type="dxa"/>
              <w:end w:w="120" w:type="dxa"/>
            </w:tcMar>
            <w:vAlign w:val="center"/>
          </w:tcPr>
          <w:p>
            <w:pPr>
              <w:jc w:val="center"/>
            </w:pPr>
            <w:r>
              <w:rPr>
                <w:rFonts w:ascii="Calibri" w:hAnsi="Calibri"/>
                <w:color w:val="000000"/>
                <w:sz w:val="16"/>
              </w:rPr>
              <w:t>Tamsayı</w:t>
            </w:r>
          </w:p>
        </w:tc>
        <w:tc>
          <w:tcPr>
            <w:tcW w:type="dxa" w:w="4320"/>
            <w:tcMar>
              <w:top w:w="80" w:type="dxa"/>
              <w:start w:w="120" w:type="dxa"/>
              <w:bottom w:w="80" w:type="dxa"/>
              <w:end w:w="120" w:type="dxa"/>
            </w:tcMar>
            <w:vAlign w:val="center"/>
          </w:tcPr>
          <w:p>
            <w:pPr>
              <w:jc w:val="center"/>
            </w:pPr>
            <w:r>
              <w:rPr>
                <w:rFonts w:ascii="Calibri" w:hAnsi="Calibri"/>
                <w:color w:val="000000"/>
                <w:sz w:val="16"/>
              </w:rPr>
              <w:t>ERP işlem sayısı; ana risk skoruna dahil edilmemiştir.</w:t>
            </w:r>
          </w:p>
        </w:tc>
      </w:tr>
      <w:tr>
        <w:tc>
          <w:tcPr>
            <w:tcW w:type="dxa" w:w="3240"/>
            <w:tcMar>
              <w:top w:w="80" w:type="dxa"/>
              <w:start w:w="120" w:type="dxa"/>
              <w:bottom w:w="80" w:type="dxa"/>
              <w:end w:w="120" w:type="dxa"/>
            </w:tcMar>
            <w:vAlign w:val="center"/>
          </w:tcPr>
          <w:p>
            <w:pPr>
              <w:jc w:val="left"/>
            </w:pPr>
            <w:r>
              <w:rPr>
                <w:rFonts w:ascii="Calibri" w:hAnsi="Calibri"/>
                <w:color w:val="000000"/>
                <w:sz w:val="16"/>
              </w:rPr>
              <w:t>Incidents_Count</w:t>
            </w:r>
          </w:p>
        </w:tc>
        <w:tc>
          <w:tcPr>
            <w:tcW w:type="dxa" w:w="1800"/>
            <w:tcMar>
              <w:top w:w="80" w:type="dxa"/>
              <w:start w:w="120" w:type="dxa"/>
              <w:bottom w:w="80" w:type="dxa"/>
              <w:end w:w="120" w:type="dxa"/>
            </w:tcMar>
            <w:vAlign w:val="center"/>
          </w:tcPr>
          <w:p>
            <w:pPr>
              <w:jc w:val="center"/>
            </w:pPr>
            <w:r>
              <w:rPr>
                <w:rFonts w:ascii="Calibri" w:hAnsi="Calibri"/>
                <w:color w:val="000000"/>
                <w:sz w:val="16"/>
              </w:rPr>
              <w:t>Tamsayı</w:t>
            </w:r>
          </w:p>
        </w:tc>
        <w:tc>
          <w:tcPr>
            <w:tcW w:type="dxa" w:w="4320"/>
            <w:tcMar>
              <w:top w:w="80" w:type="dxa"/>
              <w:start w:w="120" w:type="dxa"/>
              <w:bottom w:w="80" w:type="dxa"/>
              <w:end w:w="120" w:type="dxa"/>
            </w:tcMar>
            <w:vAlign w:val="center"/>
          </w:tcPr>
          <w:p>
            <w:pPr>
              <w:jc w:val="center"/>
            </w:pPr>
            <w:r>
              <w:rPr>
                <w:rFonts w:ascii="Calibri" w:hAnsi="Calibri"/>
                <w:color w:val="000000"/>
                <w:sz w:val="16"/>
              </w:rPr>
              <w:t>Olay/sorun sayısı; yüksek değer riskli.</w:t>
            </w:r>
          </w:p>
        </w:tc>
      </w:tr>
      <w:tr>
        <w:tc>
          <w:tcPr>
            <w:tcW w:type="dxa" w:w="3240"/>
            <w:tcMar>
              <w:top w:w="80" w:type="dxa"/>
              <w:start w:w="120" w:type="dxa"/>
              <w:bottom w:w="80" w:type="dxa"/>
              <w:end w:w="120" w:type="dxa"/>
            </w:tcMar>
            <w:vAlign w:val="center"/>
          </w:tcPr>
          <w:p>
            <w:pPr>
              <w:jc w:val="left"/>
            </w:pPr>
            <w:r>
              <w:rPr>
                <w:rFonts w:ascii="Calibri" w:hAnsi="Calibri"/>
                <w:color w:val="000000"/>
                <w:sz w:val="16"/>
              </w:rPr>
              <w:t>MCDM_Score</w:t>
            </w:r>
          </w:p>
        </w:tc>
        <w:tc>
          <w:tcPr>
            <w:tcW w:type="dxa" w:w="1800"/>
            <w:tcMar>
              <w:top w:w="80" w:type="dxa"/>
              <w:start w:w="120" w:type="dxa"/>
              <w:bottom w:w="80" w:type="dxa"/>
              <w:end w:w="120" w:type="dxa"/>
            </w:tcMar>
            <w:vAlign w:val="center"/>
          </w:tcPr>
          <w:p>
            <w:pPr>
              <w:jc w:val="center"/>
            </w:pPr>
            <w:r>
              <w:rPr>
                <w:rFonts w:ascii="Calibri" w:hAnsi="Calibri"/>
                <w:color w:val="000000"/>
                <w:sz w:val="16"/>
              </w:rPr>
              <w:t>Ondalıklı</w:t>
            </w:r>
          </w:p>
        </w:tc>
        <w:tc>
          <w:tcPr>
            <w:tcW w:type="dxa" w:w="4320"/>
            <w:tcMar>
              <w:top w:w="80" w:type="dxa"/>
              <w:start w:w="120" w:type="dxa"/>
              <w:bottom w:w="80" w:type="dxa"/>
              <w:end w:w="120" w:type="dxa"/>
            </w:tcMar>
            <w:vAlign w:val="center"/>
          </w:tcPr>
          <w:p>
            <w:pPr>
              <w:jc w:val="center"/>
            </w:pPr>
            <w:r>
              <w:rPr>
                <w:rFonts w:ascii="Calibri" w:hAnsi="Calibri"/>
                <w:color w:val="000000"/>
                <w:sz w:val="16"/>
              </w:rPr>
              <w:t>Önceden hesaplanmış kompozit skor; çift sayım riski nedeniyle kullanılmamıştır.</w:t>
            </w:r>
          </w:p>
        </w:tc>
      </w:tr>
      <w:tr>
        <w:tc>
          <w:tcPr>
            <w:tcW w:type="dxa" w:w="3240"/>
            <w:tcMar>
              <w:top w:w="80" w:type="dxa"/>
              <w:start w:w="120" w:type="dxa"/>
              <w:bottom w:w="80" w:type="dxa"/>
              <w:end w:w="120" w:type="dxa"/>
            </w:tcMar>
            <w:vAlign w:val="center"/>
          </w:tcPr>
          <w:p>
            <w:pPr>
              <w:jc w:val="left"/>
            </w:pPr>
            <w:r>
              <w:rPr>
                <w:rFonts w:ascii="Calibri" w:hAnsi="Calibri"/>
                <w:color w:val="000000"/>
                <w:sz w:val="16"/>
              </w:rPr>
              <w:t>Risk_Category</w:t>
            </w:r>
          </w:p>
        </w:tc>
        <w:tc>
          <w:tcPr>
            <w:tcW w:type="dxa" w:w="1800"/>
            <w:tcMar>
              <w:top w:w="80" w:type="dxa"/>
              <w:start w:w="120" w:type="dxa"/>
              <w:bottom w:w="80" w:type="dxa"/>
              <w:end w:w="120" w:type="dxa"/>
            </w:tcMar>
            <w:vAlign w:val="center"/>
          </w:tcPr>
          <w:p>
            <w:pPr>
              <w:jc w:val="center"/>
            </w:pPr>
            <w:r>
              <w:rPr>
                <w:rFonts w:ascii="Calibri" w:hAnsi="Calibri"/>
                <w:color w:val="000000"/>
                <w:sz w:val="16"/>
              </w:rPr>
              <w:t>Kategorik</w:t>
            </w:r>
          </w:p>
        </w:tc>
        <w:tc>
          <w:tcPr>
            <w:tcW w:type="dxa" w:w="4320"/>
            <w:tcMar>
              <w:top w:w="80" w:type="dxa"/>
              <w:start w:w="120" w:type="dxa"/>
              <w:bottom w:w="80" w:type="dxa"/>
              <w:end w:w="120" w:type="dxa"/>
            </w:tcMar>
            <w:vAlign w:val="center"/>
          </w:tcPr>
          <w:p>
            <w:pPr>
              <w:jc w:val="center"/>
            </w:pPr>
            <w:r>
              <w:rPr>
                <w:rFonts w:ascii="Calibri" w:hAnsi="Calibri"/>
                <w:color w:val="000000"/>
                <w:sz w:val="16"/>
              </w:rPr>
              <w:t>Orijinal kategori; hedef değişken olarak kullanılmamıştır.</w:t>
            </w:r>
          </w:p>
        </w:tc>
      </w:tr>
    </w:tbl>
    <w:p/>
    <w:p>
      <w:pPr>
        <w:pStyle w:val="Heading2"/>
        <w:spacing w:before="160" w:after="80"/>
      </w:pPr>
      <w:r>
        <w:rPr>
          <w:rFonts w:ascii="Calibri" w:hAnsi="Calibri"/>
          <w:b/>
          <w:color w:val="2E74B5"/>
          <w:sz w:val="26"/>
        </w:rPr>
        <w:t>5.3 Keşifçi Veri Analizi Bulguları</w:t>
      </w:r>
    </w:p>
    <w:p>
      <w:pPr>
        <w:spacing w:after="120" w:line="264" w:lineRule="auto"/>
      </w:pPr>
      <w:r>
        <w:rPr>
          <w:rFonts w:ascii="Calibri" w:hAnsi="Calibri"/>
        </w:rPr>
        <w:t>Orijinal Risk_Category dağılımında {'Medium': 916, 'High': 884} sonucu elde edilmiştir. Veri setinde Low kategorisi gözlenmemekte, yalnızca Medium ve High sınıfları bulunmaktadır.</w:t>
      </w:r>
    </w:p>
    <w:p>
      <w:pPr>
        <w:spacing w:after="120" w:line="264" w:lineRule="auto"/>
      </w:pPr>
      <w:r>
        <w:rPr>
          <w:rFonts w:ascii="Calibri" w:hAnsi="Calibri"/>
        </w:rPr>
        <w:t>Orijinal High kategorisinin daha yüksek performans skorlarıyla ilişkili olduğu görülmüştür. Örneğin High grubunun ortalama Financial_Stability_Score değeri 0.769 iken Medium grubunda 0.531'dir. Bu nedenle Risk_Category değişkeni doğrudan risk hedefi olarak kullanılmamıştır.</w:t>
      </w:r>
    </w:p>
    <w:p>
      <w:pPr>
        <w:jc w:val="center"/>
      </w:pPr>
      <w:r>
        <w:drawing>
          <wp:inline xmlns:a="http://schemas.openxmlformats.org/drawingml/2006/main" xmlns:pic="http://schemas.openxmlformats.org/drawingml/2006/picture">
            <wp:extent cx="4754880" cy="2971800"/>
            <wp:docPr id="2" name="Picture 2"/>
            <wp:cNvGraphicFramePr>
              <a:graphicFrameLocks noChangeAspect="1"/>
            </wp:cNvGraphicFramePr>
            <a:graphic>
              <a:graphicData uri="http://schemas.openxmlformats.org/drawingml/2006/picture">
                <pic:pic>
                  <pic:nvPicPr>
                    <pic:cNvPr id="0" name="risk_category_distribution.png"/>
                    <pic:cNvPicPr/>
                  </pic:nvPicPr>
                  <pic:blipFill>
                    <a:blip r:embed="rId10"/>
                    <a:stretch>
                      <a:fillRect/>
                    </a:stretch>
                  </pic:blipFill>
                  <pic:spPr>
                    <a:xfrm>
                      <a:off x="0" y="0"/>
                      <a:ext cx="4754880" cy="2971800"/>
                    </a:xfrm>
                    <a:prstGeom prst="rect"/>
                  </pic:spPr>
                </pic:pic>
              </a:graphicData>
            </a:graphic>
          </wp:inline>
        </w:drawing>
      </w:r>
    </w:p>
    <w:p>
      <w:pPr>
        <w:spacing w:before="40" w:after="160"/>
        <w:jc w:val="center"/>
      </w:pPr>
      <w:r>
        <w:rPr>
          <w:rFonts w:ascii="Calibri" w:hAnsi="Calibri"/>
          <w:i/>
          <w:color w:val="585858"/>
          <w:sz w:val="18"/>
        </w:rPr>
        <w:t>Şekil 1. Orijinal Risk_Category dağılımı.</w:t>
      </w:r>
    </w:p>
    <w:p>
      <w:pPr>
        <w:jc w:val="center"/>
      </w:pPr>
      <w:r>
        <w:drawing>
          <wp:inline xmlns:a="http://schemas.openxmlformats.org/drawingml/2006/main" xmlns:pic="http://schemas.openxmlformats.org/drawingml/2006/picture">
            <wp:extent cx="4754880" cy="2971800"/>
            <wp:docPr id="3" name="Picture 3"/>
            <wp:cNvGraphicFramePr>
              <a:graphicFrameLocks noChangeAspect="1"/>
            </wp:cNvGraphicFramePr>
            <a:graphic>
              <a:graphicData uri="http://schemas.openxmlformats.org/drawingml/2006/picture">
                <pic:pic>
                  <pic:nvPicPr>
                    <pic:cNvPr id="0" name="year_distribution.png"/>
                    <pic:cNvPicPr/>
                  </pic:nvPicPr>
                  <pic:blipFill>
                    <a:blip r:embed="rId11"/>
                    <a:stretch>
                      <a:fillRect/>
                    </a:stretch>
                  </pic:blipFill>
                  <pic:spPr>
                    <a:xfrm>
                      <a:off x="0" y="0"/>
                      <a:ext cx="4754880" cy="2971800"/>
                    </a:xfrm>
                    <a:prstGeom prst="rect"/>
                  </pic:spPr>
                </pic:pic>
              </a:graphicData>
            </a:graphic>
          </wp:inline>
        </w:drawing>
      </w:r>
    </w:p>
    <w:p>
      <w:pPr>
        <w:spacing w:before="40" w:after="160"/>
        <w:jc w:val="center"/>
      </w:pPr>
      <w:r>
        <w:rPr>
          <w:rFonts w:ascii="Calibri" w:hAnsi="Calibri"/>
          <w:i/>
          <w:color w:val="585858"/>
          <w:sz w:val="18"/>
        </w:rPr>
        <w:t>Şekil 2. Gözlemlerin yıllara göre dağılımı.</w:t>
      </w:r>
    </w:p>
    <w:p>
      <w:pPr>
        <w:jc w:val="center"/>
      </w:pPr>
      <w:r>
        <w:drawing>
          <wp:inline xmlns:a="http://schemas.openxmlformats.org/drawingml/2006/main" xmlns:pic="http://schemas.openxmlformats.org/drawingml/2006/picture">
            <wp:extent cx="5303520" cy="4419600"/>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5303520" cy="4419600"/>
                    </a:xfrm>
                    <a:prstGeom prst="rect"/>
                  </pic:spPr>
                </pic:pic>
              </a:graphicData>
            </a:graphic>
          </wp:inline>
        </w:drawing>
      </w:r>
    </w:p>
    <w:p>
      <w:pPr>
        <w:spacing w:before="40" w:after="160"/>
        <w:jc w:val="center"/>
      </w:pPr>
      <w:r>
        <w:rPr>
          <w:rFonts w:ascii="Calibri" w:hAnsi="Calibri"/>
          <w:i/>
          <w:color w:val="585858"/>
          <w:sz w:val="18"/>
        </w:rPr>
        <w:t>Şekil 3. Sayısal değişkenler için korelasyon ısı haritası.</w:t>
      </w:r>
    </w:p>
    <w:p>
      <w:pPr>
        <w:jc w:val="center"/>
      </w:pPr>
      <w:r>
        <w:drawing>
          <wp:inline xmlns:a="http://schemas.openxmlformats.org/drawingml/2006/main" xmlns:pic="http://schemas.openxmlformats.org/drawingml/2006/picture">
            <wp:extent cx="4754880" cy="2971800"/>
            <wp:docPr id="5" name="Picture 5"/>
            <wp:cNvGraphicFramePr>
              <a:graphicFrameLocks noChangeAspect="1"/>
            </wp:cNvGraphicFramePr>
            <a:graphic>
              <a:graphicData uri="http://schemas.openxmlformats.org/drawingml/2006/picture">
                <pic:pic>
                  <pic:nvPicPr>
                    <pic:cNvPr id="0" name="boxplot_Financial_Stability_Score.png"/>
                    <pic:cNvPicPr/>
                  </pic:nvPicPr>
                  <pic:blipFill>
                    <a:blip r:embed="rId13"/>
                    <a:stretch>
                      <a:fillRect/>
                    </a:stretch>
                  </pic:blipFill>
                  <pic:spPr>
                    <a:xfrm>
                      <a:off x="0" y="0"/>
                      <a:ext cx="4754880" cy="2971800"/>
                    </a:xfrm>
                    <a:prstGeom prst="rect"/>
                  </pic:spPr>
                </pic:pic>
              </a:graphicData>
            </a:graphic>
          </wp:inline>
        </w:drawing>
      </w:r>
    </w:p>
    <w:p>
      <w:pPr>
        <w:spacing w:before="40" w:after="160"/>
        <w:jc w:val="center"/>
      </w:pPr>
      <w:r>
        <w:rPr>
          <w:rFonts w:ascii="Calibri" w:hAnsi="Calibri"/>
          <w:i/>
          <w:color w:val="585858"/>
          <w:sz w:val="18"/>
        </w:rPr>
        <w:t>Şekil 4. Financial_Stability_Score değişkeninin Risk_Category bazında kutu grafiği.</w:t>
      </w:r>
    </w:p>
    <w:p>
      <w:pPr>
        <w:jc w:val="center"/>
      </w:pPr>
      <w:r>
        <w:drawing>
          <wp:inline xmlns:a="http://schemas.openxmlformats.org/drawingml/2006/main" xmlns:pic="http://schemas.openxmlformats.org/drawingml/2006/picture">
            <wp:extent cx="4754880" cy="2971800"/>
            <wp:docPr id="6" name="Picture 6"/>
            <wp:cNvGraphicFramePr>
              <a:graphicFrameLocks noChangeAspect="1"/>
            </wp:cNvGraphicFramePr>
            <a:graphic>
              <a:graphicData uri="http://schemas.openxmlformats.org/drawingml/2006/picture">
                <pic:pic>
                  <pic:nvPicPr>
                    <pic:cNvPr id="0" name="boxplot_Delivery_Performance_Score.png"/>
                    <pic:cNvPicPr/>
                  </pic:nvPicPr>
                  <pic:blipFill>
                    <a:blip r:embed="rId14"/>
                    <a:stretch>
                      <a:fillRect/>
                    </a:stretch>
                  </pic:blipFill>
                  <pic:spPr>
                    <a:xfrm>
                      <a:off x="0" y="0"/>
                      <a:ext cx="4754880" cy="2971800"/>
                    </a:xfrm>
                    <a:prstGeom prst="rect"/>
                  </pic:spPr>
                </pic:pic>
              </a:graphicData>
            </a:graphic>
          </wp:inline>
        </w:drawing>
      </w:r>
    </w:p>
    <w:p>
      <w:pPr>
        <w:spacing w:before="40" w:after="160"/>
        <w:jc w:val="center"/>
      </w:pPr>
      <w:r>
        <w:rPr>
          <w:rFonts w:ascii="Calibri" w:hAnsi="Calibri"/>
          <w:i/>
          <w:color w:val="585858"/>
          <w:sz w:val="18"/>
        </w:rPr>
        <w:t>Şekil 5. Delivery_Performance_Score değişkeninin Risk_Category bazında kutu grafiği.</w:t>
      </w:r>
    </w:p>
    <w:p>
      <w:pPr>
        <w:pStyle w:val="Heading1"/>
        <w:spacing w:before="240" w:after="120"/>
      </w:pPr>
      <w:r>
        <w:rPr>
          <w:rFonts w:ascii="Calibri" w:hAnsi="Calibri"/>
          <w:b/>
          <w:color w:val="2E74B5"/>
          <w:sz w:val="32"/>
        </w:rPr>
        <w:t>6. Yöntem ve Uygulama</w:t>
      </w:r>
    </w:p>
    <w:p>
      <w:pPr>
        <w:pStyle w:val="Heading2"/>
        <w:spacing w:before="160" w:after="80"/>
      </w:pPr>
      <w:r>
        <w:rPr>
          <w:rFonts w:ascii="Calibri" w:hAnsi="Calibri"/>
          <w:b/>
          <w:color w:val="2E74B5"/>
          <w:sz w:val="26"/>
        </w:rPr>
        <w:t>6.1 Genel Yaklaşım</w:t>
      </w:r>
    </w:p>
    <w:p>
      <w:pPr>
        <w:pStyle w:val="ListNumber"/>
        <w:spacing w:after="80"/>
      </w:pPr>
      <w:r>
        <w:rPr>
          <w:rFonts w:ascii="Calibri" w:hAnsi="Calibri"/>
        </w:rPr>
        <w:t>Keşifçi veri analizi ile veri kalitesi, dağılımlar ve korelasyon yapısı incelenmiştir.</w:t>
      </w:r>
    </w:p>
    <w:p>
      <w:pPr>
        <w:pStyle w:val="ListNumber"/>
        <w:spacing w:after="80"/>
      </w:pPr>
      <w:r>
        <w:rPr>
          <w:rFonts w:ascii="Calibri" w:hAnsi="Calibri"/>
        </w:rPr>
        <w:t>Risk bileşenleri oluşturularak eşit ve öncelik ağırlıklı iki kompozit skor tasarlanmıştır.</w:t>
      </w:r>
    </w:p>
    <w:p>
      <w:pPr>
        <w:pStyle w:val="ListNumber"/>
        <w:spacing w:after="80"/>
      </w:pPr>
      <w:r>
        <w:rPr>
          <w:rFonts w:ascii="Calibri" w:hAnsi="Calibri"/>
        </w:rPr>
        <w:t>Sabit eşik ve kuantil eşik yöntemleriyle risk sınıfları üretilmiştir.</w:t>
      </w:r>
    </w:p>
    <w:p>
      <w:pPr>
        <w:pStyle w:val="ListNumber"/>
        <w:spacing w:after="80"/>
      </w:pPr>
      <w:r>
        <w:rPr>
          <w:rFonts w:ascii="Calibri" w:hAnsi="Calibri"/>
        </w:rPr>
        <w:t>Dört sınıflandırma algoritması sklearn Pipeline yapısıyla eğitilip karşılaştırılmıştır.</w:t>
      </w:r>
    </w:p>
    <w:p>
      <w:pPr>
        <w:pStyle w:val="Heading2"/>
        <w:spacing w:before="160" w:after="80"/>
      </w:pPr>
      <w:r>
        <w:rPr>
          <w:rFonts w:ascii="Calibri" w:hAnsi="Calibri"/>
          <w:b/>
          <w:color w:val="2E74B5"/>
          <w:sz w:val="26"/>
        </w:rPr>
        <w:t>6.2 Risk Skorlama Sistemi</w:t>
      </w:r>
    </w:p>
    <w:p>
      <w:pPr>
        <w:spacing w:after="120" w:line="264" w:lineRule="auto"/>
      </w:pPr>
      <w:r>
        <w:rPr>
          <w:rFonts w:ascii="Calibri" w:hAnsi="Calibri"/>
        </w:rPr>
        <w:t>Finansal istikrar, teslimat performansı, kalite uyumluluğu, düzenleyici uyum ve sürdürülebilirlik değişkenleri yüksek olduğunda iyi performansı gösterdiği için önce MinMaxScaler ile 0-1 aralığına alınmış, ardından 1 - normalize_değer dönüşümüyle risk bileşenine çevrilmiştir. Past_Risk_Level ve Incidents_Count yüksek olduğunda doğrudan risk göstergesi olduğu için normalize değerleri doğrudan kullanılmıştır.</w:t>
      </w:r>
    </w:p>
    <w:tbl>
      <w:tblPr>
        <w:tblStyle w:val="TableGrid"/>
        <w:tblW w:type="auto" w:w="0"/>
        <w:tblLayout w:type="fixed"/>
        <w:tblLook w:firstColumn="1" w:firstRow="1" w:lastColumn="0" w:lastRow="0" w:noHBand="0" w:noVBand="1" w:val="04A0"/>
      </w:tblPr>
      <w:tblGrid>
        <w:gridCol w:w="3120"/>
        <w:gridCol w:w="3120"/>
        <w:gridCol w:w="3120"/>
      </w:tblGrid>
      <w:tr>
        <w:tc>
          <w:tcPr>
            <w:tcW w:type="dxa" w:w="3168"/>
            <w:shd w:fill="F2F4F7"/>
            <w:tcMar>
              <w:top w:w="80" w:type="dxa"/>
              <w:start w:w="120" w:type="dxa"/>
              <w:bottom w:w="80" w:type="dxa"/>
              <w:end w:w="120" w:type="dxa"/>
            </w:tcMar>
            <w:vAlign w:val="center"/>
          </w:tcPr>
          <w:p>
            <w:pPr>
              <w:jc w:val="center"/>
            </w:pPr>
            <w:r>
              <w:rPr>
                <w:rFonts w:ascii="Calibri" w:hAnsi="Calibri"/>
                <w:b/>
                <w:color w:val="000000"/>
                <w:sz w:val="17"/>
              </w:rPr>
              <w:t>Bileşen</w:t>
            </w:r>
          </w:p>
        </w:tc>
        <w:tc>
          <w:tcPr>
            <w:tcW w:type="dxa" w:w="2304"/>
            <w:shd w:fill="F2F4F7"/>
            <w:tcMar>
              <w:top w:w="80" w:type="dxa"/>
              <w:start w:w="120" w:type="dxa"/>
              <w:bottom w:w="80" w:type="dxa"/>
              <w:end w:w="120" w:type="dxa"/>
            </w:tcMar>
            <w:vAlign w:val="center"/>
          </w:tcPr>
          <w:p>
            <w:pPr>
              <w:jc w:val="center"/>
            </w:pPr>
            <w:r>
              <w:rPr>
                <w:rFonts w:ascii="Calibri" w:hAnsi="Calibri"/>
                <w:b/>
                <w:color w:val="000000"/>
                <w:sz w:val="17"/>
              </w:rPr>
              <w:t>Dönüşüm</w:t>
            </w:r>
          </w:p>
        </w:tc>
        <w:tc>
          <w:tcPr>
            <w:tcW w:type="dxa" w:w="3888"/>
            <w:shd w:fill="F2F4F7"/>
            <w:tcMar>
              <w:top w:w="80" w:type="dxa"/>
              <w:start w:w="120" w:type="dxa"/>
              <w:bottom w:w="80" w:type="dxa"/>
              <w:end w:w="120" w:type="dxa"/>
            </w:tcMar>
            <w:vAlign w:val="center"/>
          </w:tcPr>
          <w:p>
            <w:pPr>
              <w:jc w:val="center"/>
            </w:pPr>
            <w:r>
              <w:rPr>
                <w:rFonts w:ascii="Calibri" w:hAnsi="Calibri"/>
                <w:b/>
                <w:color w:val="000000"/>
                <w:sz w:val="17"/>
              </w:rPr>
              <w:t>Gerekçe</w:t>
            </w:r>
          </w:p>
        </w:tc>
      </w:tr>
      <w:tr>
        <w:tc>
          <w:tcPr>
            <w:tcW w:type="dxa" w:w="3168"/>
            <w:tcMar>
              <w:top w:w="80" w:type="dxa"/>
              <w:start w:w="120" w:type="dxa"/>
              <w:bottom w:w="80" w:type="dxa"/>
              <w:end w:w="120" w:type="dxa"/>
            </w:tcMar>
            <w:vAlign w:val="center"/>
          </w:tcPr>
          <w:p>
            <w:pPr>
              <w:jc w:val="left"/>
            </w:pPr>
            <w:r>
              <w:rPr>
                <w:rFonts w:ascii="Calibri" w:hAnsi="Calibri"/>
                <w:color w:val="000000"/>
                <w:sz w:val="17"/>
              </w:rPr>
              <w:t>Financial_Stability_Score</w:t>
            </w:r>
          </w:p>
        </w:tc>
        <w:tc>
          <w:tcPr>
            <w:tcW w:type="dxa" w:w="2304"/>
            <w:tcMar>
              <w:top w:w="80" w:type="dxa"/>
              <w:start w:w="120" w:type="dxa"/>
              <w:bottom w:w="80" w:type="dxa"/>
              <w:end w:w="120" w:type="dxa"/>
            </w:tcMar>
            <w:vAlign w:val="center"/>
          </w:tcPr>
          <w:p>
            <w:pPr>
              <w:jc w:val="center"/>
            </w:pPr>
            <w:r>
              <w:rPr>
                <w:rFonts w:ascii="Calibri" w:hAnsi="Calibri"/>
                <w:color w:val="000000"/>
                <w:sz w:val="17"/>
              </w:rPr>
              <w:t>1 - normalized</w:t>
            </w:r>
          </w:p>
        </w:tc>
        <w:tc>
          <w:tcPr>
            <w:tcW w:type="dxa" w:w="3888"/>
            <w:tcMar>
              <w:top w:w="80" w:type="dxa"/>
              <w:start w:w="120" w:type="dxa"/>
              <w:bottom w:w="80" w:type="dxa"/>
              <w:end w:w="120" w:type="dxa"/>
            </w:tcMar>
            <w:vAlign w:val="center"/>
          </w:tcPr>
          <w:p>
            <w:pPr>
              <w:jc w:val="center"/>
            </w:pPr>
            <w:r>
              <w:rPr>
                <w:rFonts w:ascii="Calibri" w:hAnsi="Calibri"/>
                <w:color w:val="000000"/>
                <w:sz w:val="17"/>
              </w:rPr>
              <w:t>Yüksek finansal istikrar düşük risktir.</w:t>
            </w:r>
          </w:p>
        </w:tc>
      </w:tr>
      <w:tr>
        <w:tc>
          <w:tcPr>
            <w:tcW w:type="dxa" w:w="3168"/>
            <w:tcMar>
              <w:top w:w="80" w:type="dxa"/>
              <w:start w:w="120" w:type="dxa"/>
              <w:bottom w:w="80" w:type="dxa"/>
              <w:end w:w="120" w:type="dxa"/>
            </w:tcMar>
            <w:vAlign w:val="center"/>
          </w:tcPr>
          <w:p>
            <w:pPr>
              <w:jc w:val="left"/>
            </w:pPr>
            <w:r>
              <w:rPr>
                <w:rFonts w:ascii="Calibri" w:hAnsi="Calibri"/>
                <w:color w:val="000000"/>
                <w:sz w:val="17"/>
              </w:rPr>
              <w:t>Delivery_Performance_Score</w:t>
            </w:r>
          </w:p>
        </w:tc>
        <w:tc>
          <w:tcPr>
            <w:tcW w:type="dxa" w:w="2304"/>
            <w:tcMar>
              <w:top w:w="80" w:type="dxa"/>
              <w:start w:w="120" w:type="dxa"/>
              <w:bottom w:w="80" w:type="dxa"/>
              <w:end w:w="120" w:type="dxa"/>
            </w:tcMar>
            <w:vAlign w:val="center"/>
          </w:tcPr>
          <w:p>
            <w:pPr>
              <w:jc w:val="center"/>
            </w:pPr>
            <w:r>
              <w:rPr>
                <w:rFonts w:ascii="Calibri" w:hAnsi="Calibri"/>
                <w:color w:val="000000"/>
                <w:sz w:val="17"/>
              </w:rPr>
              <w:t>1 - normalized</w:t>
            </w:r>
          </w:p>
        </w:tc>
        <w:tc>
          <w:tcPr>
            <w:tcW w:type="dxa" w:w="3888"/>
            <w:tcMar>
              <w:top w:w="80" w:type="dxa"/>
              <w:start w:w="120" w:type="dxa"/>
              <w:bottom w:w="80" w:type="dxa"/>
              <w:end w:w="120" w:type="dxa"/>
            </w:tcMar>
            <w:vAlign w:val="center"/>
          </w:tcPr>
          <w:p>
            <w:pPr>
              <w:jc w:val="center"/>
            </w:pPr>
            <w:r>
              <w:rPr>
                <w:rFonts w:ascii="Calibri" w:hAnsi="Calibri"/>
                <w:color w:val="000000"/>
                <w:sz w:val="17"/>
              </w:rPr>
              <w:t>Yüksek teslimat performansı düşük risktir.</w:t>
            </w:r>
          </w:p>
        </w:tc>
      </w:tr>
      <w:tr>
        <w:tc>
          <w:tcPr>
            <w:tcW w:type="dxa" w:w="3168"/>
            <w:tcMar>
              <w:top w:w="80" w:type="dxa"/>
              <w:start w:w="120" w:type="dxa"/>
              <w:bottom w:w="80" w:type="dxa"/>
              <w:end w:w="120" w:type="dxa"/>
            </w:tcMar>
            <w:vAlign w:val="center"/>
          </w:tcPr>
          <w:p>
            <w:pPr>
              <w:jc w:val="left"/>
            </w:pPr>
            <w:r>
              <w:rPr>
                <w:rFonts w:ascii="Calibri" w:hAnsi="Calibri"/>
                <w:color w:val="000000"/>
                <w:sz w:val="17"/>
              </w:rPr>
              <w:t>Quality_Compliance_Score</w:t>
            </w:r>
          </w:p>
        </w:tc>
        <w:tc>
          <w:tcPr>
            <w:tcW w:type="dxa" w:w="2304"/>
            <w:tcMar>
              <w:top w:w="80" w:type="dxa"/>
              <w:start w:w="120" w:type="dxa"/>
              <w:bottom w:w="80" w:type="dxa"/>
              <w:end w:w="120" w:type="dxa"/>
            </w:tcMar>
            <w:vAlign w:val="center"/>
          </w:tcPr>
          <w:p>
            <w:pPr>
              <w:jc w:val="center"/>
            </w:pPr>
            <w:r>
              <w:rPr>
                <w:rFonts w:ascii="Calibri" w:hAnsi="Calibri"/>
                <w:color w:val="000000"/>
                <w:sz w:val="17"/>
              </w:rPr>
              <w:t>1 - normalized</w:t>
            </w:r>
          </w:p>
        </w:tc>
        <w:tc>
          <w:tcPr>
            <w:tcW w:type="dxa" w:w="3888"/>
            <w:tcMar>
              <w:top w:w="80" w:type="dxa"/>
              <w:start w:w="120" w:type="dxa"/>
              <w:bottom w:w="80" w:type="dxa"/>
              <w:end w:w="120" w:type="dxa"/>
            </w:tcMar>
            <w:vAlign w:val="center"/>
          </w:tcPr>
          <w:p>
            <w:pPr>
              <w:jc w:val="center"/>
            </w:pPr>
            <w:r>
              <w:rPr>
                <w:rFonts w:ascii="Calibri" w:hAnsi="Calibri"/>
                <w:color w:val="000000"/>
                <w:sz w:val="17"/>
              </w:rPr>
              <w:t>Yüksek kalite uyumu düşük risktir.</w:t>
            </w:r>
          </w:p>
        </w:tc>
      </w:tr>
      <w:tr>
        <w:tc>
          <w:tcPr>
            <w:tcW w:type="dxa" w:w="3168"/>
            <w:tcMar>
              <w:top w:w="80" w:type="dxa"/>
              <w:start w:w="120" w:type="dxa"/>
              <w:bottom w:w="80" w:type="dxa"/>
              <w:end w:w="120" w:type="dxa"/>
            </w:tcMar>
            <w:vAlign w:val="center"/>
          </w:tcPr>
          <w:p>
            <w:pPr>
              <w:jc w:val="left"/>
            </w:pPr>
            <w:r>
              <w:rPr>
                <w:rFonts w:ascii="Calibri" w:hAnsi="Calibri"/>
                <w:color w:val="000000"/>
                <w:sz w:val="17"/>
              </w:rPr>
              <w:t>Regulatory_Adherence_Score</w:t>
            </w:r>
          </w:p>
        </w:tc>
        <w:tc>
          <w:tcPr>
            <w:tcW w:type="dxa" w:w="2304"/>
            <w:tcMar>
              <w:top w:w="80" w:type="dxa"/>
              <w:start w:w="120" w:type="dxa"/>
              <w:bottom w:w="80" w:type="dxa"/>
              <w:end w:w="120" w:type="dxa"/>
            </w:tcMar>
            <w:vAlign w:val="center"/>
          </w:tcPr>
          <w:p>
            <w:pPr>
              <w:jc w:val="center"/>
            </w:pPr>
            <w:r>
              <w:rPr>
                <w:rFonts w:ascii="Calibri" w:hAnsi="Calibri"/>
                <w:color w:val="000000"/>
                <w:sz w:val="17"/>
              </w:rPr>
              <w:t>1 - normalized</w:t>
            </w:r>
          </w:p>
        </w:tc>
        <w:tc>
          <w:tcPr>
            <w:tcW w:type="dxa" w:w="3888"/>
            <w:tcMar>
              <w:top w:w="80" w:type="dxa"/>
              <w:start w:w="120" w:type="dxa"/>
              <w:bottom w:w="80" w:type="dxa"/>
              <w:end w:w="120" w:type="dxa"/>
            </w:tcMar>
            <w:vAlign w:val="center"/>
          </w:tcPr>
          <w:p>
            <w:pPr>
              <w:jc w:val="center"/>
            </w:pPr>
            <w:r>
              <w:rPr>
                <w:rFonts w:ascii="Calibri" w:hAnsi="Calibri"/>
                <w:color w:val="000000"/>
                <w:sz w:val="17"/>
              </w:rPr>
              <w:t>Yüksek uyum düşük risktir.</w:t>
            </w:r>
          </w:p>
        </w:tc>
      </w:tr>
      <w:tr>
        <w:tc>
          <w:tcPr>
            <w:tcW w:type="dxa" w:w="3168"/>
            <w:tcMar>
              <w:top w:w="80" w:type="dxa"/>
              <w:start w:w="120" w:type="dxa"/>
              <w:bottom w:w="80" w:type="dxa"/>
              <w:end w:w="120" w:type="dxa"/>
            </w:tcMar>
            <w:vAlign w:val="center"/>
          </w:tcPr>
          <w:p>
            <w:pPr>
              <w:jc w:val="left"/>
            </w:pPr>
            <w:r>
              <w:rPr>
                <w:rFonts w:ascii="Calibri" w:hAnsi="Calibri"/>
                <w:color w:val="000000"/>
                <w:sz w:val="17"/>
              </w:rPr>
              <w:t>Sustainability_Score</w:t>
            </w:r>
          </w:p>
        </w:tc>
        <w:tc>
          <w:tcPr>
            <w:tcW w:type="dxa" w:w="2304"/>
            <w:tcMar>
              <w:top w:w="80" w:type="dxa"/>
              <w:start w:w="120" w:type="dxa"/>
              <w:bottom w:w="80" w:type="dxa"/>
              <w:end w:w="120" w:type="dxa"/>
            </w:tcMar>
            <w:vAlign w:val="center"/>
          </w:tcPr>
          <w:p>
            <w:pPr>
              <w:jc w:val="center"/>
            </w:pPr>
            <w:r>
              <w:rPr>
                <w:rFonts w:ascii="Calibri" w:hAnsi="Calibri"/>
                <w:color w:val="000000"/>
                <w:sz w:val="17"/>
              </w:rPr>
              <w:t>1 - normalized</w:t>
            </w:r>
          </w:p>
        </w:tc>
        <w:tc>
          <w:tcPr>
            <w:tcW w:type="dxa" w:w="3888"/>
            <w:tcMar>
              <w:top w:w="80" w:type="dxa"/>
              <w:start w:w="120" w:type="dxa"/>
              <w:bottom w:w="80" w:type="dxa"/>
              <w:end w:w="120" w:type="dxa"/>
            </w:tcMar>
            <w:vAlign w:val="center"/>
          </w:tcPr>
          <w:p>
            <w:pPr>
              <w:jc w:val="center"/>
            </w:pPr>
            <w:r>
              <w:rPr>
                <w:rFonts w:ascii="Calibri" w:hAnsi="Calibri"/>
                <w:color w:val="000000"/>
                <w:sz w:val="17"/>
              </w:rPr>
              <w:t>Yüksek sürdürülebilirlik düşük risktir.</w:t>
            </w:r>
          </w:p>
        </w:tc>
      </w:tr>
      <w:tr>
        <w:tc>
          <w:tcPr>
            <w:tcW w:type="dxa" w:w="3168"/>
            <w:tcMar>
              <w:top w:w="80" w:type="dxa"/>
              <w:start w:w="120" w:type="dxa"/>
              <w:bottom w:w="80" w:type="dxa"/>
              <w:end w:w="120" w:type="dxa"/>
            </w:tcMar>
            <w:vAlign w:val="center"/>
          </w:tcPr>
          <w:p>
            <w:pPr>
              <w:jc w:val="left"/>
            </w:pPr>
            <w:r>
              <w:rPr>
                <w:rFonts w:ascii="Calibri" w:hAnsi="Calibri"/>
                <w:color w:val="000000"/>
                <w:sz w:val="17"/>
              </w:rPr>
              <w:t>Past_Risk_Level</w:t>
            </w:r>
          </w:p>
        </w:tc>
        <w:tc>
          <w:tcPr>
            <w:tcW w:type="dxa" w:w="2304"/>
            <w:tcMar>
              <w:top w:w="80" w:type="dxa"/>
              <w:start w:w="120" w:type="dxa"/>
              <w:bottom w:w="80" w:type="dxa"/>
              <w:end w:w="120" w:type="dxa"/>
            </w:tcMar>
            <w:vAlign w:val="center"/>
          </w:tcPr>
          <w:p>
            <w:pPr>
              <w:jc w:val="center"/>
            </w:pPr>
            <w:r>
              <w:rPr>
                <w:rFonts w:ascii="Calibri" w:hAnsi="Calibri"/>
                <w:color w:val="000000"/>
                <w:sz w:val="17"/>
              </w:rPr>
              <w:t>normalized</w:t>
            </w:r>
          </w:p>
        </w:tc>
        <w:tc>
          <w:tcPr>
            <w:tcW w:type="dxa" w:w="3888"/>
            <w:tcMar>
              <w:top w:w="80" w:type="dxa"/>
              <w:start w:w="120" w:type="dxa"/>
              <w:bottom w:w="80" w:type="dxa"/>
              <w:end w:w="120" w:type="dxa"/>
            </w:tcMar>
            <w:vAlign w:val="center"/>
          </w:tcPr>
          <w:p>
            <w:pPr>
              <w:jc w:val="center"/>
            </w:pPr>
            <w:r>
              <w:rPr>
                <w:rFonts w:ascii="Calibri" w:hAnsi="Calibri"/>
                <w:color w:val="000000"/>
                <w:sz w:val="17"/>
              </w:rPr>
              <w:t>Yüksek geçmiş risk doğrudan risktir.</w:t>
            </w:r>
          </w:p>
        </w:tc>
      </w:tr>
      <w:tr>
        <w:tc>
          <w:tcPr>
            <w:tcW w:type="dxa" w:w="3168"/>
            <w:tcMar>
              <w:top w:w="80" w:type="dxa"/>
              <w:start w:w="120" w:type="dxa"/>
              <w:bottom w:w="80" w:type="dxa"/>
              <w:end w:w="120" w:type="dxa"/>
            </w:tcMar>
            <w:vAlign w:val="center"/>
          </w:tcPr>
          <w:p>
            <w:pPr>
              <w:jc w:val="left"/>
            </w:pPr>
            <w:r>
              <w:rPr>
                <w:rFonts w:ascii="Calibri" w:hAnsi="Calibri"/>
                <w:color w:val="000000"/>
                <w:sz w:val="17"/>
              </w:rPr>
              <w:t>Incidents_Count</w:t>
            </w:r>
          </w:p>
        </w:tc>
        <w:tc>
          <w:tcPr>
            <w:tcW w:type="dxa" w:w="2304"/>
            <w:tcMar>
              <w:top w:w="80" w:type="dxa"/>
              <w:start w:w="120" w:type="dxa"/>
              <w:bottom w:w="80" w:type="dxa"/>
              <w:end w:w="120" w:type="dxa"/>
            </w:tcMar>
            <w:vAlign w:val="center"/>
          </w:tcPr>
          <w:p>
            <w:pPr>
              <w:jc w:val="center"/>
            </w:pPr>
            <w:r>
              <w:rPr>
                <w:rFonts w:ascii="Calibri" w:hAnsi="Calibri"/>
                <w:color w:val="000000"/>
                <w:sz w:val="17"/>
              </w:rPr>
              <w:t>normalized</w:t>
            </w:r>
          </w:p>
        </w:tc>
        <w:tc>
          <w:tcPr>
            <w:tcW w:type="dxa" w:w="3888"/>
            <w:tcMar>
              <w:top w:w="80" w:type="dxa"/>
              <w:start w:w="120" w:type="dxa"/>
              <w:bottom w:w="80" w:type="dxa"/>
              <w:end w:w="120" w:type="dxa"/>
            </w:tcMar>
            <w:vAlign w:val="center"/>
          </w:tcPr>
          <w:p>
            <w:pPr>
              <w:jc w:val="center"/>
            </w:pPr>
            <w:r>
              <w:rPr>
                <w:rFonts w:ascii="Calibri" w:hAnsi="Calibri"/>
                <w:color w:val="000000"/>
                <w:sz w:val="17"/>
              </w:rPr>
              <w:t>Yüksek olay sayısı doğrudan risktir.</w:t>
            </w:r>
          </w:p>
        </w:tc>
      </w:tr>
    </w:tbl>
    <w:p/>
    <w:p>
      <w:pPr>
        <w:spacing w:after="120" w:line="264" w:lineRule="auto"/>
      </w:pPr>
      <w:r>
        <w:rPr>
          <w:rFonts w:ascii="Calibri" w:hAnsi="Calibri"/>
        </w:rPr>
        <w:t>Eşit ağırlıklı skorda yedi risk bileşeninin aritmetik ortalaması alınmıştır. Öncelik ağırlıklı skorda finansal istikrar ve teslimat performansı daha yüksek ağırlık taşımıştır: 0.27 financial + 0.21 delivery + 0.13 quality + 0.08 regulatory + 0.11 sustainability + 0.10 past risk + 0.10 incident risk.</w:t>
      </w:r>
    </w:p>
    <w:p>
      <w:pPr>
        <w:pStyle w:val="Heading2"/>
        <w:spacing w:before="160" w:after="80"/>
      </w:pPr>
      <w:r>
        <w:rPr>
          <w:rFonts w:ascii="Calibri" w:hAnsi="Calibri"/>
          <w:b/>
          <w:color w:val="2E74B5"/>
          <w:sz w:val="26"/>
        </w:rPr>
        <w:t>6.3 Sınıflandırma Eşikleri</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448"/>
            <w:shd w:fill="F2F4F7"/>
            <w:tcMar>
              <w:top w:w="80" w:type="dxa"/>
              <w:start w:w="120" w:type="dxa"/>
              <w:bottom w:w="80" w:type="dxa"/>
              <w:end w:w="120" w:type="dxa"/>
            </w:tcMar>
            <w:vAlign w:val="center"/>
          </w:tcPr>
          <w:p>
            <w:pPr>
              <w:jc w:val="center"/>
            </w:pPr>
            <w:r>
              <w:rPr>
                <w:rFonts w:ascii="Calibri" w:hAnsi="Calibri"/>
                <w:b/>
                <w:color w:val="000000"/>
                <w:sz w:val="18"/>
              </w:rPr>
              <w:t>Yöntem</w:t>
            </w:r>
          </w:p>
        </w:tc>
        <w:tc>
          <w:tcPr>
            <w:tcW w:type="dxa" w:w="2304"/>
            <w:shd w:fill="F2F4F7"/>
            <w:tcMar>
              <w:top w:w="80" w:type="dxa"/>
              <w:start w:w="120" w:type="dxa"/>
              <w:bottom w:w="80" w:type="dxa"/>
              <w:end w:w="120" w:type="dxa"/>
            </w:tcMar>
            <w:vAlign w:val="center"/>
          </w:tcPr>
          <w:p>
            <w:pPr>
              <w:jc w:val="center"/>
            </w:pPr>
            <w:r>
              <w:rPr>
                <w:rFonts w:ascii="Calibri" w:hAnsi="Calibri"/>
                <w:b/>
                <w:color w:val="000000"/>
                <w:sz w:val="18"/>
              </w:rPr>
              <w:t>Low Risk</w:t>
            </w:r>
          </w:p>
        </w:tc>
        <w:tc>
          <w:tcPr>
            <w:tcW w:type="dxa" w:w="2304"/>
            <w:shd w:fill="F2F4F7"/>
            <w:tcMar>
              <w:top w:w="80" w:type="dxa"/>
              <w:start w:w="120" w:type="dxa"/>
              <w:bottom w:w="80" w:type="dxa"/>
              <w:end w:w="120" w:type="dxa"/>
            </w:tcMar>
            <w:vAlign w:val="center"/>
          </w:tcPr>
          <w:p>
            <w:pPr>
              <w:jc w:val="center"/>
            </w:pPr>
            <w:r>
              <w:rPr>
                <w:rFonts w:ascii="Calibri" w:hAnsi="Calibri"/>
                <w:b/>
                <w:color w:val="000000"/>
                <w:sz w:val="18"/>
              </w:rPr>
              <w:t>Medium Risk</w:t>
            </w:r>
          </w:p>
        </w:tc>
        <w:tc>
          <w:tcPr>
            <w:tcW w:type="dxa" w:w="2304"/>
            <w:shd w:fill="F2F4F7"/>
            <w:tcMar>
              <w:top w:w="80" w:type="dxa"/>
              <w:start w:w="120" w:type="dxa"/>
              <w:bottom w:w="80" w:type="dxa"/>
              <w:end w:w="120" w:type="dxa"/>
            </w:tcMar>
            <w:vAlign w:val="center"/>
          </w:tcPr>
          <w:p>
            <w:pPr>
              <w:jc w:val="center"/>
            </w:pPr>
            <w:r>
              <w:rPr>
                <w:rFonts w:ascii="Calibri" w:hAnsi="Calibri"/>
                <w:b/>
                <w:color w:val="000000"/>
                <w:sz w:val="18"/>
              </w:rPr>
              <w:t>High Risk</w:t>
            </w:r>
          </w:p>
        </w:tc>
      </w:tr>
      <w:tr>
        <w:tc>
          <w:tcPr>
            <w:tcW w:type="dxa" w:w="2448"/>
            <w:tcMar>
              <w:top w:w="80" w:type="dxa"/>
              <w:start w:w="120" w:type="dxa"/>
              <w:bottom w:w="80" w:type="dxa"/>
              <w:end w:w="120" w:type="dxa"/>
            </w:tcMar>
            <w:vAlign w:val="center"/>
          </w:tcPr>
          <w:p>
            <w:pPr>
              <w:jc w:val="left"/>
            </w:pPr>
            <w:r>
              <w:rPr>
                <w:rFonts w:ascii="Calibri" w:hAnsi="Calibri"/>
                <w:color w:val="000000"/>
                <w:sz w:val="18"/>
              </w:rPr>
              <w:t>Sabit eşik</w:t>
            </w:r>
          </w:p>
        </w:tc>
        <w:tc>
          <w:tcPr>
            <w:tcW w:type="dxa" w:w="2304"/>
            <w:tcMar>
              <w:top w:w="80" w:type="dxa"/>
              <w:start w:w="120" w:type="dxa"/>
              <w:bottom w:w="80" w:type="dxa"/>
              <w:end w:w="120" w:type="dxa"/>
            </w:tcMar>
            <w:vAlign w:val="center"/>
          </w:tcPr>
          <w:p>
            <w:pPr>
              <w:jc w:val="center"/>
            </w:pPr>
            <w:r>
              <w:rPr>
                <w:rFonts w:ascii="Calibri" w:hAnsi="Calibri"/>
                <w:color w:val="000000"/>
                <w:sz w:val="18"/>
              </w:rPr>
              <w:t>0.00-0.33</w:t>
            </w:r>
          </w:p>
        </w:tc>
        <w:tc>
          <w:tcPr>
            <w:tcW w:type="dxa" w:w="2304"/>
            <w:tcMar>
              <w:top w:w="80" w:type="dxa"/>
              <w:start w:w="120" w:type="dxa"/>
              <w:bottom w:w="80" w:type="dxa"/>
              <w:end w:w="120" w:type="dxa"/>
            </w:tcMar>
            <w:vAlign w:val="center"/>
          </w:tcPr>
          <w:p>
            <w:pPr>
              <w:jc w:val="center"/>
            </w:pPr>
            <w:r>
              <w:rPr>
                <w:rFonts w:ascii="Calibri" w:hAnsi="Calibri"/>
                <w:color w:val="000000"/>
                <w:sz w:val="18"/>
              </w:rPr>
              <w:t>0.33-0.66</w:t>
            </w:r>
          </w:p>
        </w:tc>
        <w:tc>
          <w:tcPr>
            <w:tcW w:type="dxa" w:w="2304"/>
            <w:tcMar>
              <w:top w:w="80" w:type="dxa"/>
              <w:start w:w="120" w:type="dxa"/>
              <w:bottom w:w="80" w:type="dxa"/>
              <w:end w:w="120" w:type="dxa"/>
            </w:tcMar>
            <w:vAlign w:val="center"/>
          </w:tcPr>
          <w:p>
            <w:pPr>
              <w:jc w:val="center"/>
            </w:pPr>
            <w:r>
              <w:rPr>
                <w:rFonts w:ascii="Calibri" w:hAnsi="Calibri"/>
                <w:color w:val="000000"/>
                <w:sz w:val="18"/>
              </w:rPr>
              <w:t>0.66-1.00</w:t>
            </w:r>
          </w:p>
        </w:tc>
      </w:tr>
      <w:tr>
        <w:tc>
          <w:tcPr>
            <w:tcW w:type="dxa" w:w="2448"/>
            <w:tcMar>
              <w:top w:w="80" w:type="dxa"/>
              <w:start w:w="120" w:type="dxa"/>
              <w:bottom w:w="80" w:type="dxa"/>
              <w:end w:w="120" w:type="dxa"/>
            </w:tcMar>
            <w:vAlign w:val="center"/>
          </w:tcPr>
          <w:p>
            <w:pPr>
              <w:jc w:val="left"/>
            </w:pPr>
            <w:r>
              <w:rPr>
                <w:rFonts w:ascii="Calibri" w:hAnsi="Calibri"/>
                <w:color w:val="000000"/>
                <w:sz w:val="18"/>
              </w:rPr>
              <w:t>Kuantil eşik</w:t>
            </w:r>
          </w:p>
        </w:tc>
        <w:tc>
          <w:tcPr>
            <w:tcW w:type="dxa" w:w="2304"/>
            <w:tcMar>
              <w:top w:w="80" w:type="dxa"/>
              <w:start w:w="120" w:type="dxa"/>
              <w:bottom w:w="80" w:type="dxa"/>
              <w:end w:w="120" w:type="dxa"/>
            </w:tcMar>
            <w:vAlign w:val="center"/>
          </w:tcPr>
          <w:p>
            <w:pPr>
              <w:jc w:val="center"/>
            </w:pPr>
            <w:r>
              <w:rPr>
                <w:rFonts w:ascii="Calibri" w:hAnsi="Calibri"/>
                <w:color w:val="000000"/>
                <w:sz w:val="18"/>
              </w:rPr>
              <w:t>Alt %33</w:t>
            </w:r>
          </w:p>
        </w:tc>
        <w:tc>
          <w:tcPr>
            <w:tcW w:type="dxa" w:w="2304"/>
            <w:tcMar>
              <w:top w:w="80" w:type="dxa"/>
              <w:start w:w="120" w:type="dxa"/>
              <w:bottom w:w="80" w:type="dxa"/>
              <w:end w:w="120" w:type="dxa"/>
            </w:tcMar>
            <w:vAlign w:val="center"/>
          </w:tcPr>
          <w:p>
            <w:pPr>
              <w:jc w:val="center"/>
            </w:pPr>
            <w:r>
              <w:rPr>
                <w:rFonts w:ascii="Calibri" w:hAnsi="Calibri"/>
                <w:color w:val="000000"/>
                <w:sz w:val="18"/>
              </w:rPr>
              <w:t>Orta %33</w:t>
            </w:r>
          </w:p>
        </w:tc>
        <w:tc>
          <w:tcPr>
            <w:tcW w:type="dxa" w:w="2304"/>
            <w:tcMar>
              <w:top w:w="80" w:type="dxa"/>
              <w:start w:w="120" w:type="dxa"/>
              <w:bottom w:w="80" w:type="dxa"/>
              <w:end w:w="120" w:type="dxa"/>
            </w:tcMar>
            <w:vAlign w:val="center"/>
          </w:tcPr>
          <w:p>
            <w:pPr>
              <w:jc w:val="center"/>
            </w:pPr>
            <w:r>
              <w:rPr>
                <w:rFonts w:ascii="Calibri" w:hAnsi="Calibri"/>
                <w:color w:val="000000"/>
                <w:sz w:val="18"/>
              </w:rPr>
              <w:t>Üst %34</w:t>
            </w:r>
          </w:p>
        </w:tc>
      </w:tr>
    </w:tbl>
    <w:p/>
    <w:tbl>
      <w:tblPr>
        <w:tblStyle w:val="TableGrid"/>
        <w:tblW w:type="auto" w:w="0"/>
        <w:tblLayout w:type="fixed"/>
        <w:tblLook w:firstColumn="1" w:firstRow="1" w:lastColumn="0" w:lastRow="0" w:noHBand="0" w:noVBand="1" w:val="04A0"/>
      </w:tblPr>
      <w:tblGrid>
        <w:gridCol w:w="3120"/>
        <w:gridCol w:w="3120"/>
        <w:gridCol w:w="3120"/>
      </w:tblGrid>
      <w:tr>
        <w:tc>
          <w:tcPr>
            <w:tcW w:type="dxa" w:w="3456"/>
            <w:shd w:fill="F2F4F7"/>
            <w:tcMar>
              <w:top w:w="80" w:type="dxa"/>
              <w:start w:w="120" w:type="dxa"/>
              <w:bottom w:w="80" w:type="dxa"/>
              <w:end w:w="120" w:type="dxa"/>
            </w:tcMar>
            <w:vAlign w:val="center"/>
          </w:tcPr>
          <w:p>
            <w:pPr>
              <w:jc w:val="center"/>
            </w:pPr>
            <w:r>
              <w:rPr>
                <w:rFonts w:ascii="Calibri" w:hAnsi="Calibri"/>
                <w:b/>
                <w:color w:val="000000"/>
                <w:sz w:val="18"/>
              </w:rPr>
              <w:t>Skorlama yöntemi</w:t>
            </w:r>
          </w:p>
        </w:tc>
        <w:tc>
          <w:tcPr>
            <w:tcW w:type="dxa" w:w="2880"/>
            <w:shd w:fill="F2F4F7"/>
            <w:tcMar>
              <w:top w:w="80" w:type="dxa"/>
              <w:start w:w="120" w:type="dxa"/>
              <w:bottom w:w="80" w:type="dxa"/>
              <w:end w:w="120" w:type="dxa"/>
            </w:tcMar>
            <w:vAlign w:val="center"/>
          </w:tcPr>
          <w:p>
            <w:pPr>
              <w:jc w:val="center"/>
            </w:pPr>
            <w:r>
              <w:rPr>
                <w:rFonts w:ascii="Calibri" w:hAnsi="Calibri"/>
                <w:b/>
                <w:color w:val="000000"/>
                <w:sz w:val="18"/>
              </w:rPr>
              <w:t>Low/Medium eşiği</w:t>
            </w:r>
          </w:p>
        </w:tc>
        <w:tc>
          <w:tcPr>
            <w:tcW w:type="dxa" w:w="2880"/>
            <w:shd w:fill="F2F4F7"/>
            <w:tcMar>
              <w:top w:w="80" w:type="dxa"/>
              <w:start w:w="120" w:type="dxa"/>
              <w:bottom w:w="80" w:type="dxa"/>
              <w:end w:w="120" w:type="dxa"/>
            </w:tcMar>
            <w:vAlign w:val="center"/>
          </w:tcPr>
          <w:p>
            <w:pPr>
              <w:jc w:val="center"/>
            </w:pPr>
            <w:r>
              <w:rPr>
                <w:rFonts w:ascii="Calibri" w:hAnsi="Calibri"/>
                <w:b/>
                <w:color w:val="000000"/>
                <w:sz w:val="18"/>
              </w:rPr>
              <w:t>Medium/High eşiği</w:t>
            </w:r>
          </w:p>
        </w:tc>
      </w:tr>
      <w:tr>
        <w:tc>
          <w:tcPr>
            <w:tcW w:type="dxa" w:w="3456"/>
            <w:tcMar>
              <w:top w:w="80" w:type="dxa"/>
              <w:start w:w="120" w:type="dxa"/>
              <w:bottom w:w="80" w:type="dxa"/>
              <w:end w:w="120" w:type="dxa"/>
            </w:tcMar>
            <w:vAlign w:val="center"/>
          </w:tcPr>
          <w:p>
            <w:pPr>
              <w:jc w:val="left"/>
            </w:pPr>
            <w:r>
              <w:rPr>
                <w:rFonts w:ascii="Calibri" w:hAnsi="Calibri"/>
                <w:color w:val="000000"/>
                <w:sz w:val="18"/>
              </w:rPr>
              <w:t>Risk_Score_Equal</w:t>
            </w:r>
          </w:p>
        </w:tc>
        <w:tc>
          <w:tcPr>
            <w:tcW w:type="dxa" w:w="2880"/>
            <w:tcMar>
              <w:top w:w="80" w:type="dxa"/>
              <w:start w:w="120" w:type="dxa"/>
              <w:bottom w:w="80" w:type="dxa"/>
              <w:end w:w="120" w:type="dxa"/>
            </w:tcMar>
            <w:vAlign w:val="center"/>
          </w:tcPr>
          <w:p>
            <w:pPr>
              <w:jc w:val="center"/>
            </w:pPr>
            <w:r>
              <w:rPr>
                <w:rFonts w:ascii="Calibri" w:hAnsi="Calibri"/>
                <w:color w:val="000000"/>
                <w:sz w:val="18"/>
              </w:rPr>
              <w:t>0.4540</w:t>
            </w:r>
          </w:p>
        </w:tc>
        <w:tc>
          <w:tcPr>
            <w:tcW w:type="dxa" w:w="2880"/>
            <w:tcMar>
              <w:top w:w="80" w:type="dxa"/>
              <w:start w:w="120" w:type="dxa"/>
              <w:bottom w:w="80" w:type="dxa"/>
              <w:end w:w="120" w:type="dxa"/>
            </w:tcMar>
            <w:vAlign w:val="center"/>
          </w:tcPr>
          <w:p>
            <w:pPr>
              <w:jc w:val="center"/>
            </w:pPr>
            <w:r>
              <w:rPr>
                <w:rFonts w:ascii="Calibri" w:hAnsi="Calibri"/>
                <w:color w:val="000000"/>
                <w:sz w:val="18"/>
              </w:rPr>
              <w:t>0.5504</w:t>
            </w:r>
          </w:p>
        </w:tc>
      </w:tr>
      <w:tr>
        <w:tc>
          <w:tcPr>
            <w:tcW w:type="dxa" w:w="3456"/>
            <w:tcMar>
              <w:top w:w="80" w:type="dxa"/>
              <w:start w:w="120" w:type="dxa"/>
              <w:bottom w:w="80" w:type="dxa"/>
              <w:end w:w="120" w:type="dxa"/>
            </w:tcMar>
            <w:vAlign w:val="center"/>
          </w:tcPr>
          <w:p>
            <w:pPr>
              <w:jc w:val="left"/>
            </w:pPr>
            <w:r>
              <w:rPr>
                <w:rFonts w:ascii="Calibri" w:hAnsi="Calibri"/>
                <w:color w:val="000000"/>
                <w:sz w:val="18"/>
              </w:rPr>
              <w:t>Risk_Score_Priority</w:t>
            </w:r>
          </w:p>
        </w:tc>
        <w:tc>
          <w:tcPr>
            <w:tcW w:type="dxa" w:w="2880"/>
            <w:tcMar>
              <w:top w:w="80" w:type="dxa"/>
              <w:start w:w="120" w:type="dxa"/>
              <w:bottom w:w="80" w:type="dxa"/>
              <w:end w:w="120" w:type="dxa"/>
            </w:tcMar>
            <w:vAlign w:val="center"/>
          </w:tcPr>
          <w:p>
            <w:pPr>
              <w:jc w:val="center"/>
            </w:pPr>
            <w:r>
              <w:rPr>
                <w:rFonts w:ascii="Calibri" w:hAnsi="Calibri"/>
                <w:color w:val="000000"/>
                <w:sz w:val="18"/>
              </w:rPr>
              <w:t>0.4441</w:t>
            </w:r>
          </w:p>
        </w:tc>
        <w:tc>
          <w:tcPr>
            <w:tcW w:type="dxa" w:w="2880"/>
            <w:tcMar>
              <w:top w:w="80" w:type="dxa"/>
              <w:start w:w="120" w:type="dxa"/>
              <w:bottom w:w="80" w:type="dxa"/>
              <w:end w:w="120" w:type="dxa"/>
            </w:tcMar>
            <w:vAlign w:val="center"/>
          </w:tcPr>
          <w:p>
            <w:pPr>
              <w:jc w:val="center"/>
            </w:pPr>
            <w:r>
              <w:rPr>
                <w:rFonts w:ascii="Calibri" w:hAnsi="Calibri"/>
                <w:color w:val="000000"/>
                <w:sz w:val="18"/>
              </w:rPr>
              <w:t>0.5559</w:t>
            </w:r>
          </w:p>
        </w:tc>
      </w:tr>
    </w:tbl>
    <w:p/>
    <w:p>
      <w:pPr>
        <w:spacing w:after="120" w:line="264" w:lineRule="auto"/>
      </w:pPr>
      <w:r>
        <w:rPr>
          <w:rFonts w:ascii="Calibri" w:hAnsi="Calibri"/>
        </w:rPr>
        <w:t>Sabit eşikler risk skorunun teorik 0-1 aralığını eşit üç parçaya bölerken, kuantil eşikler veri dağılımını dengeli sınıflara ayırır. Sabit eşikte gözlemler Medium Risk sınıfında yoğunlaşmış, kuantil eşikte yaklaşık 594/594/612 dağılımı elde edilmiştir.</w:t>
      </w:r>
    </w:p>
    <w:p>
      <w:pPr>
        <w:jc w:val="center"/>
      </w:pPr>
      <w:r>
        <w:drawing>
          <wp:inline xmlns:a="http://schemas.openxmlformats.org/drawingml/2006/main" xmlns:pic="http://schemas.openxmlformats.org/drawingml/2006/picture">
            <wp:extent cx="5394960" cy="2247900"/>
            <wp:docPr id="7" name="Picture 7"/>
            <wp:cNvGraphicFramePr>
              <a:graphicFrameLocks noChangeAspect="1"/>
            </wp:cNvGraphicFramePr>
            <a:graphic>
              <a:graphicData uri="http://schemas.openxmlformats.org/drawingml/2006/picture">
                <pic:pic>
                  <pic:nvPicPr>
                    <pic:cNvPr id="0" name="risk_class_comparison.png"/>
                    <pic:cNvPicPr/>
                  </pic:nvPicPr>
                  <pic:blipFill>
                    <a:blip r:embed="rId15"/>
                    <a:stretch>
                      <a:fillRect/>
                    </a:stretch>
                  </pic:blipFill>
                  <pic:spPr>
                    <a:xfrm>
                      <a:off x="0" y="0"/>
                      <a:ext cx="5394960" cy="2247900"/>
                    </a:xfrm>
                    <a:prstGeom prst="rect"/>
                  </pic:spPr>
                </pic:pic>
              </a:graphicData>
            </a:graphic>
          </wp:inline>
        </w:drawing>
      </w:r>
    </w:p>
    <w:p>
      <w:pPr>
        <w:spacing w:before="40" w:after="160"/>
        <w:jc w:val="center"/>
      </w:pPr>
      <w:r>
        <w:rPr>
          <w:rFonts w:ascii="Calibri" w:hAnsi="Calibri"/>
          <w:i/>
          <w:color w:val="585858"/>
          <w:sz w:val="18"/>
        </w:rPr>
        <w:t>Şekil 6. Eşit ve öncelik ağırlıklı sabit eşik risk sınıfları.</w:t>
      </w:r>
    </w:p>
    <w:p>
      <w:pPr>
        <w:jc w:val="center"/>
      </w:pPr>
      <w:r>
        <w:drawing>
          <wp:inline xmlns:a="http://schemas.openxmlformats.org/drawingml/2006/main" xmlns:pic="http://schemas.openxmlformats.org/drawingml/2006/picture">
            <wp:extent cx="5394960" cy="3853543"/>
            <wp:docPr id="8" name="Picture 8"/>
            <wp:cNvGraphicFramePr>
              <a:graphicFrameLocks noChangeAspect="1"/>
            </wp:cNvGraphicFramePr>
            <a:graphic>
              <a:graphicData uri="http://schemas.openxmlformats.org/drawingml/2006/picture">
                <pic:pic>
                  <pic:nvPicPr>
                    <pic:cNvPr id="0" name="threshold_comparison.png"/>
                    <pic:cNvPicPr/>
                  </pic:nvPicPr>
                  <pic:blipFill>
                    <a:blip r:embed="rId16"/>
                    <a:stretch>
                      <a:fillRect/>
                    </a:stretch>
                  </pic:blipFill>
                  <pic:spPr>
                    <a:xfrm>
                      <a:off x="0" y="0"/>
                      <a:ext cx="5394960" cy="3853543"/>
                    </a:xfrm>
                    <a:prstGeom prst="rect"/>
                  </pic:spPr>
                </pic:pic>
              </a:graphicData>
            </a:graphic>
          </wp:inline>
        </w:drawing>
      </w:r>
    </w:p>
    <w:p>
      <w:pPr>
        <w:spacing w:before="40" w:after="160"/>
        <w:jc w:val="center"/>
      </w:pPr>
      <w:r>
        <w:rPr>
          <w:rFonts w:ascii="Calibri" w:hAnsi="Calibri"/>
          <w:i/>
          <w:color w:val="585858"/>
          <w:sz w:val="18"/>
        </w:rPr>
        <w:t>Şekil 7. Sabit eşik ve kuantil eşik sınıflandırmalarının karşılaştırması.</w:t>
      </w:r>
    </w:p>
    <w:p>
      <w:pPr>
        <w:pStyle w:val="Heading2"/>
        <w:spacing w:before="160" w:after="80"/>
      </w:pPr>
      <w:r>
        <w:rPr>
          <w:rFonts w:ascii="Calibri" w:hAnsi="Calibri"/>
          <w:b/>
          <w:color w:val="2E74B5"/>
          <w:sz w:val="26"/>
        </w:rPr>
        <w:t>6.4 Makine Öğrenmesi Pipeline Yapısı</w:t>
      </w:r>
    </w:p>
    <w:p>
      <w:pPr>
        <w:spacing w:after="120" w:line="264" w:lineRule="auto"/>
      </w:pPr>
      <w:r>
        <w:rPr>
          <w:rFonts w:ascii="Calibri" w:hAnsi="Calibri"/>
        </w:rPr>
        <w:t>Modelleme aşamasında train-test ayrımı %80/%20 oranında yapılmış, random_state=42 seçilmiş ve hedef sınıf oranlarının korunması için stratify=y kullanılmıştır. Lojistik Regresyon ve KNN, StandardScaler içeren sklearn Pipeline yapısıyla kurulmuştur. Decision Tree ve Random Forest ölçeğe duyarlı olmadığından doğrudan kullanılmıştır.</w:t>
      </w:r>
    </w:p>
    <w:tbl>
      <w:tblPr>
        <w:tblStyle w:val="TableGrid"/>
        <w:tblW w:type="auto" w:w="0"/>
        <w:tblLayout w:type="fixed"/>
        <w:tblLook w:firstColumn="1" w:firstRow="1" w:lastColumn="0" w:lastRow="0" w:noHBand="0" w:noVBand="1" w:val="04A0"/>
      </w:tblPr>
      <w:tblGrid>
        <w:gridCol w:w="3120"/>
        <w:gridCol w:w="3120"/>
        <w:gridCol w:w="3120"/>
      </w:tblGrid>
      <w:tr>
        <w:tc>
          <w:tcPr>
            <w:tcW w:type="dxa" w:w="2880"/>
            <w:shd w:fill="F2F4F7"/>
            <w:tcMar>
              <w:top w:w="80" w:type="dxa"/>
              <w:start w:w="120" w:type="dxa"/>
              <w:bottom w:w="80" w:type="dxa"/>
              <w:end w:w="120" w:type="dxa"/>
            </w:tcMar>
            <w:vAlign w:val="center"/>
          </w:tcPr>
          <w:p>
            <w:pPr>
              <w:jc w:val="center"/>
            </w:pPr>
            <w:r>
              <w:rPr>
                <w:rFonts w:ascii="Calibri" w:hAnsi="Calibri"/>
                <w:b/>
                <w:color w:val="000000"/>
                <w:sz w:val="18"/>
              </w:rPr>
              <w:t>Model</w:t>
            </w:r>
          </w:p>
        </w:tc>
        <w:tc>
          <w:tcPr>
            <w:tcW w:type="dxa" w:w="2880"/>
            <w:shd w:fill="F2F4F7"/>
            <w:tcMar>
              <w:top w:w="80" w:type="dxa"/>
              <w:start w:w="120" w:type="dxa"/>
              <w:bottom w:w="80" w:type="dxa"/>
              <w:end w:w="120" w:type="dxa"/>
            </w:tcMar>
            <w:vAlign w:val="center"/>
          </w:tcPr>
          <w:p>
            <w:pPr>
              <w:jc w:val="center"/>
            </w:pPr>
            <w:r>
              <w:rPr>
                <w:rFonts w:ascii="Calibri" w:hAnsi="Calibri"/>
                <w:b/>
                <w:color w:val="000000"/>
                <w:sz w:val="18"/>
              </w:rPr>
              <w:t>Ön işleme</w:t>
            </w:r>
          </w:p>
        </w:tc>
        <w:tc>
          <w:tcPr>
            <w:tcW w:type="dxa" w:w="3600"/>
            <w:shd w:fill="F2F4F7"/>
            <w:tcMar>
              <w:top w:w="80" w:type="dxa"/>
              <w:start w:w="120" w:type="dxa"/>
              <w:bottom w:w="80" w:type="dxa"/>
              <w:end w:w="120" w:type="dxa"/>
            </w:tcMar>
            <w:vAlign w:val="center"/>
          </w:tcPr>
          <w:p>
            <w:pPr>
              <w:jc w:val="center"/>
            </w:pPr>
            <w:r>
              <w:rPr>
                <w:rFonts w:ascii="Calibri" w:hAnsi="Calibri"/>
                <w:b/>
                <w:color w:val="000000"/>
                <w:sz w:val="18"/>
              </w:rPr>
              <w:t>Gerekçe</w:t>
            </w:r>
          </w:p>
        </w:tc>
      </w:tr>
      <w:tr>
        <w:tc>
          <w:tcPr>
            <w:tcW w:type="dxa" w:w="2880"/>
            <w:tcMar>
              <w:top w:w="80" w:type="dxa"/>
              <w:start w:w="120" w:type="dxa"/>
              <w:bottom w:w="80" w:type="dxa"/>
              <w:end w:w="120" w:type="dxa"/>
            </w:tcMar>
            <w:vAlign w:val="center"/>
          </w:tcPr>
          <w:p>
            <w:pPr>
              <w:jc w:val="left"/>
            </w:pPr>
            <w:r>
              <w:rPr>
                <w:rFonts w:ascii="Calibri" w:hAnsi="Calibri"/>
                <w:color w:val="000000"/>
                <w:sz w:val="18"/>
              </w:rPr>
              <w:t>Logistic Regression</w:t>
            </w:r>
          </w:p>
        </w:tc>
        <w:tc>
          <w:tcPr>
            <w:tcW w:type="dxa" w:w="2880"/>
            <w:tcMar>
              <w:top w:w="80" w:type="dxa"/>
              <w:start w:w="120" w:type="dxa"/>
              <w:bottom w:w="80" w:type="dxa"/>
              <w:end w:w="120" w:type="dxa"/>
            </w:tcMar>
            <w:vAlign w:val="center"/>
          </w:tcPr>
          <w:p>
            <w:pPr>
              <w:jc w:val="center"/>
            </w:pPr>
            <w:r>
              <w:rPr>
                <w:rFonts w:ascii="Calibri" w:hAnsi="Calibri"/>
                <w:color w:val="000000"/>
                <w:sz w:val="18"/>
              </w:rPr>
              <w:t>StandardScaler + model</w:t>
            </w:r>
          </w:p>
        </w:tc>
        <w:tc>
          <w:tcPr>
            <w:tcW w:type="dxa" w:w="3600"/>
            <w:tcMar>
              <w:top w:w="80" w:type="dxa"/>
              <w:start w:w="120" w:type="dxa"/>
              <w:bottom w:w="80" w:type="dxa"/>
              <w:end w:w="120" w:type="dxa"/>
            </w:tcMar>
            <w:vAlign w:val="center"/>
          </w:tcPr>
          <w:p>
            <w:pPr>
              <w:jc w:val="center"/>
            </w:pPr>
            <w:r>
              <w:rPr>
                <w:rFonts w:ascii="Calibri" w:hAnsi="Calibri"/>
                <w:color w:val="000000"/>
                <w:sz w:val="18"/>
              </w:rPr>
              <w:t>Doğrusal modelin optimizasyonu ölçekten etkilenir.</w:t>
            </w:r>
          </w:p>
        </w:tc>
      </w:tr>
      <w:tr>
        <w:tc>
          <w:tcPr>
            <w:tcW w:type="dxa" w:w="2880"/>
            <w:tcMar>
              <w:top w:w="80" w:type="dxa"/>
              <w:start w:w="120" w:type="dxa"/>
              <w:bottom w:w="80" w:type="dxa"/>
              <w:end w:w="120" w:type="dxa"/>
            </w:tcMar>
            <w:vAlign w:val="center"/>
          </w:tcPr>
          <w:p>
            <w:pPr>
              <w:jc w:val="left"/>
            </w:pPr>
            <w:r>
              <w:rPr>
                <w:rFonts w:ascii="Calibri" w:hAnsi="Calibri"/>
                <w:color w:val="000000"/>
                <w:sz w:val="18"/>
              </w:rPr>
              <w:t>K-Nearest Neighbors</w:t>
            </w:r>
          </w:p>
        </w:tc>
        <w:tc>
          <w:tcPr>
            <w:tcW w:type="dxa" w:w="2880"/>
            <w:tcMar>
              <w:top w:w="80" w:type="dxa"/>
              <w:start w:w="120" w:type="dxa"/>
              <w:bottom w:w="80" w:type="dxa"/>
              <w:end w:w="120" w:type="dxa"/>
            </w:tcMar>
            <w:vAlign w:val="center"/>
          </w:tcPr>
          <w:p>
            <w:pPr>
              <w:jc w:val="center"/>
            </w:pPr>
            <w:r>
              <w:rPr>
                <w:rFonts w:ascii="Calibri" w:hAnsi="Calibri"/>
                <w:color w:val="000000"/>
                <w:sz w:val="18"/>
              </w:rPr>
              <w:t>StandardScaler + model</w:t>
            </w:r>
          </w:p>
        </w:tc>
        <w:tc>
          <w:tcPr>
            <w:tcW w:type="dxa" w:w="3600"/>
            <w:tcMar>
              <w:top w:w="80" w:type="dxa"/>
              <w:start w:w="120" w:type="dxa"/>
              <w:bottom w:w="80" w:type="dxa"/>
              <w:end w:w="120" w:type="dxa"/>
            </w:tcMar>
            <w:vAlign w:val="center"/>
          </w:tcPr>
          <w:p>
            <w:pPr>
              <w:jc w:val="center"/>
            </w:pPr>
            <w:r>
              <w:rPr>
                <w:rFonts w:ascii="Calibri" w:hAnsi="Calibri"/>
                <w:color w:val="000000"/>
                <w:sz w:val="18"/>
              </w:rPr>
              <w:t>Mesafe tabanlı olduğu için ortak ölçek gerekir.</w:t>
            </w:r>
          </w:p>
        </w:tc>
      </w:tr>
      <w:tr>
        <w:tc>
          <w:tcPr>
            <w:tcW w:type="dxa" w:w="2880"/>
            <w:tcMar>
              <w:top w:w="80" w:type="dxa"/>
              <w:start w:w="120" w:type="dxa"/>
              <w:bottom w:w="80" w:type="dxa"/>
              <w:end w:w="120" w:type="dxa"/>
            </w:tcMar>
            <w:vAlign w:val="center"/>
          </w:tcPr>
          <w:p>
            <w:pPr>
              <w:jc w:val="left"/>
            </w:pPr>
            <w:r>
              <w:rPr>
                <w:rFonts w:ascii="Calibri" w:hAnsi="Calibri"/>
                <w:color w:val="000000"/>
                <w:sz w:val="18"/>
              </w:rPr>
              <w:t>Decision Tree</w:t>
            </w:r>
          </w:p>
        </w:tc>
        <w:tc>
          <w:tcPr>
            <w:tcW w:type="dxa" w:w="2880"/>
            <w:tcMar>
              <w:top w:w="80" w:type="dxa"/>
              <w:start w:w="120" w:type="dxa"/>
              <w:bottom w:w="80" w:type="dxa"/>
              <w:end w:w="120" w:type="dxa"/>
            </w:tcMar>
            <w:vAlign w:val="center"/>
          </w:tcPr>
          <w:p>
            <w:pPr>
              <w:jc w:val="center"/>
            </w:pPr>
            <w:r>
              <w:rPr>
                <w:rFonts w:ascii="Calibri" w:hAnsi="Calibri"/>
                <w:color w:val="000000"/>
                <w:sz w:val="18"/>
              </w:rPr>
              <w:t>Ölçeklendirme yok</w:t>
            </w:r>
          </w:p>
        </w:tc>
        <w:tc>
          <w:tcPr>
            <w:tcW w:type="dxa" w:w="3600"/>
            <w:tcMar>
              <w:top w:w="80" w:type="dxa"/>
              <w:start w:w="120" w:type="dxa"/>
              <w:bottom w:w="80" w:type="dxa"/>
              <w:end w:w="120" w:type="dxa"/>
            </w:tcMar>
            <w:vAlign w:val="center"/>
          </w:tcPr>
          <w:p>
            <w:pPr>
              <w:jc w:val="center"/>
            </w:pPr>
            <w:r>
              <w:rPr>
                <w:rFonts w:ascii="Calibri" w:hAnsi="Calibri"/>
                <w:color w:val="000000"/>
                <w:sz w:val="18"/>
              </w:rPr>
              <w:t>Bölünme kuralları ölçekten bağımsızdır.</w:t>
            </w:r>
          </w:p>
        </w:tc>
      </w:tr>
      <w:tr>
        <w:tc>
          <w:tcPr>
            <w:tcW w:type="dxa" w:w="2880"/>
            <w:tcMar>
              <w:top w:w="80" w:type="dxa"/>
              <w:start w:w="120" w:type="dxa"/>
              <w:bottom w:w="80" w:type="dxa"/>
              <w:end w:w="120" w:type="dxa"/>
            </w:tcMar>
            <w:vAlign w:val="center"/>
          </w:tcPr>
          <w:p>
            <w:pPr>
              <w:jc w:val="left"/>
            </w:pPr>
            <w:r>
              <w:rPr>
                <w:rFonts w:ascii="Calibri" w:hAnsi="Calibri"/>
                <w:color w:val="000000"/>
                <w:sz w:val="18"/>
              </w:rPr>
              <w:t>Random Forest</w:t>
            </w:r>
          </w:p>
        </w:tc>
        <w:tc>
          <w:tcPr>
            <w:tcW w:type="dxa" w:w="2880"/>
            <w:tcMar>
              <w:top w:w="80" w:type="dxa"/>
              <w:start w:w="120" w:type="dxa"/>
              <w:bottom w:w="80" w:type="dxa"/>
              <w:end w:w="120" w:type="dxa"/>
            </w:tcMar>
            <w:vAlign w:val="center"/>
          </w:tcPr>
          <w:p>
            <w:pPr>
              <w:jc w:val="center"/>
            </w:pPr>
            <w:r>
              <w:rPr>
                <w:rFonts w:ascii="Calibri" w:hAnsi="Calibri"/>
                <w:color w:val="000000"/>
                <w:sz w:val="18"/>
              </w:rPr>
              <w:t>Ölçeklendirme yok</w:t>
            </w:r>
          </w:p>
        </w:tc>
        <w:tc>
          <w:tcPr>
            <w:tcW w:type="dxa" w:w="3600"/>
            <w:tcMar>
              <w:top w:w="80" w:type="dxa"/>
              <w:start w:w="120" w:type="dxa"/>
              <w:bottom w:w="80" w:type="dxa"/>
              <w:end w:w="120" w:type="dxa"/>
            </w:tcMar>
            <w:vAlign w:val="center"/>
          </w:tcPr>
          <w:p>
            <w:pPr>
              <w:jc w:val="center"/>
            </w:pPr>
            <w:r>
              <w:rPr>
                <w:rFonts w:ascii="Calibri" w:hAnsi="Calibri"/>
                <w:color w:val="000000"/>
                <w:sz w:val="18"/>
              </w:rPr>
              <w:t>Ağaç tabanlı topluluk yöntemi ölçekten bağımsızdır.</w:t>
            </w:r>
          </w:p>
        </w:tc>
      </w:tr>
    </w:tbl>
    <w:p/>
    <w:p>
      <w:pPr>
        <w:pStyle w:val="Heading1"/>
        <w:spacing w:before="240" w:after="120"/>
      </w:pPr>
      <w:r>
        <w:rPr>
          <w:rFonts w:ascii="Calibri" w:hAnsi="Calibri"/>
          <w:b/>
          <w:color w:val="2E74B5"/>
          <w:sz w:val="32"/>
        </w:rPr>
        <w:t>7. Sonuçlar ve Yorum</w:t>
      </w:r>
    </w:p>
    <w:p>
      <w:pPr>
        <w:pStyle w:val="Heading2"/>
        <w:spacing w:before="160" w:after="80"/>
      </w:pPr>
      <w:r>
        <w:rPr>
          <w:rFonts w:ascii="Calibri" w:hAnsi="Calibri"/>
          <w:b/>
          <w:color w:val="2E74B5"/>
          <w:sz w:val="26"/>
        </w:rPr>
        <w:t>7.1 İstatistiksel Geçerlilik Testleri</w:t>
      </w:r>
    </w:p>
    <w:p>
      <w:pPr>
        <w:pStyle w:val="Heading3"/>
        <w:spacing w:before="160" w:after="80"/>
      </w:pPr>
      <w:r>
        <w:rPr>
          <w:rFonts w:ascii="Calibri" w:hAnsi="Calibri"/>
          <w:b/>
          <w:color w:val="1F4D78"/>
          <w:sz w:val="24"/>
        </w:rPr>
        <w:t>7.1.1 VIF Analizi</w:t>
      </w:r>
    </w:p>
    <w:tbl>
      <w:tblPr>
        <w:tblStyle w:val="TableGrid"/>
        <w:tblW w:type="auto" w:w="0"/>
        <w:tblLayout w:type="fixed"/>
        <w:tblLook w:firstColumn="1" w:firstRow="1" w:lastColumn="0" w:lastRow="0" w:noHBand="0" w:noVBand="1" w:val="04A0"/>
      </w:tblPr>
      <w:tblGrid>
        <w:gridCol w:w="4680"/>
        <w:gridCol w:w="4680"/>
      </w:tblGrid>
      <w:tr>
        <w:tc>
          <w:tcPr>
            <w:tcW w:type="dxa" w:w="6480"/>
            <w:shd w:fill="F2F4F7"/>
            <w:tcMar>
              <w:top w:w="80" w:type="dxa"/>
              <w:start w:w="120" w:type="dxa"/>
              <w:bottom w:w="80" w:type="dxa"/>
              <w:end w:w="120" w:type="dxa"/>
            </w:tcMar>
            <w:vAlign w:val="center"/>
          </w:tcPr>
          <w:p>
            <w:pPr>
              <w:jc w:val="center"/>
            </w:pPr>
            <w:r>
              <w:rPr>
                <w:rFonts w:ascii="Calibri" w:hAnsi="Calibri"/>
                <w:b/>
                <w:color w:val="000000"/>
                <w:sz w:val="18"/>
              </w:rPr>
              <w:t>Özellik</w:t>
            </w:r>
          </w:p>
        </w:tc>
        <w:tc>
          <w:tcPr>
            <w:tcW w:type="dxa" w:w="1728"/>
            <w:shd w:fill="F2F4F7"/>
            <w:tcMar>
              <w:top w:w="80" w:type="dxa"/>
              <w:start w:w="120" w:type="dxa"/>
              <w:bottom w:w="80" w:type="dxa"/>
              <w:end w:w="120" w:type="dxa"/>
            </w:tcMar>
            <w:vAlign w:val="center"/>
          </w:tcPr>
          <w:p>
            <w:pPr>
              <w:jc w:val="center"/>
            </w:pPr>
            <w:r>
              <w:rPr>
                <w:rFonts w:ascii="Calibri" w:hAnsi="Calibri"/>
                <w:b/>
                <w:color w:val="000000"/>
                <w:sz w:val="18"/>
              </w:rPr>
              <w:t>VIF</w:t>
            </w:r>
          </w:p>
        </w:tc>
      </w:tr>
      <w:tr>
        <w:tc>
          <w:tcPr>
            <w:tcW w:type="dxa" w:w="6480"/>
            <w:tcMar>
              <w:top w:w="80" w:type="dxa"/>
              <w:start w:w="120" w:type="dxa"/>
              <w:bottom w:w="80" w:type="dxa"/>
              <w:end w:w="120" w:type="dxa"/>
            </w:tcMar>
            <w:vAlign w:val="center"/>
          </w:tcPr>
          <w:p>
            <w:pPr>
              <w:jc w:val="left"/>
            </w:pPr>
            <w:r>
              <w:rPr>
                <w:rFonts w:ascii="Calibri" w:hAnsi="Calibri"/>
                <w:color w:val="000000"/>
                <w:sz w:val="18"/>
              </w:rPr>
              <w:t>Financial_Stability_Score</w:t>
            </w:r>
          </w:p>
        </w:tc>
        <w:tc>
          <w:tcPr>
            <w:tcW w:type="dxa" w:w="1728"/>
            <w:tcMar>
              <w:top w:w="80" w:type="dxa"/>
              <w:start w:w="120" w:type="dxa"/>
              <w:bottom w:w="80" w:type="dxa"/>
              <w:end w:w="120" w:type="dxa"/>
            </w:tcMar>
            <w:vAlign w:val="center"/>
          </w:tcPr>
          <w:p>
            <w:pPr>
              <w:jc w:val="center"/>
            </w:pPr>
            <w:r>
              <w:rPr>
                <w:rFonts w:ascii="Calibri" w:hAnsi="Calibri"/>
                <w:color w:val="000000"/>
                <w:sz w:val="18"/>
              </w:rPr>
              <w:t>1.003</w:t>
            </w:r>
          </w:p>
        </w:tc>
      </w:tr>
      <w:tr>
        <w:tc>
          <w:tcPr>
            <w:tcW w:type="dxa" w:w="6480"/>
            <w:tcMar>
              <w:top w:w="80" w:type="dxa"/>
              <w:start w:w="120" w:type="dxa"/>
              <w:bottom w:w="80" w:type="dxa"/>
              <w:end w:w="120" w:type="dxa"/>
            </w:tcMar>
            <w:vAlign w:val="center"/>
          </w:tcPr>
          <w:p>
            <w:pPr>
              <w:jc w:val="left"/>
            </w:pPr>
            <w:r>
              <w:rPr>
                <w:rFonts w:ascii="Calibri" w:hAnsi="Calibri"/>
                <w:color w:val="000000"/>
                <w:sz w:val="18"/>
              </w:rPr>
              <w:t>Delivery_Performance_Score</w:t>
            </w:r>
          </w:p>
        </w:tc>
        <w:tc>
          <w:tcPr>
            <w:tcW w:type="dxa" w:w="1728"/>
            <w:tcMar>
              <w:top w:w="80" w:type="dxa"/>
              <w:start w:w="120" w:type="dxa"/>
              <w:bottom w:w="80" w:type="dxa"/>
              <w:end w:w="120" w:type="dxa"/>
            </w:tcMar>
            <w:vAlign w:val="center"/>
          </w:tcPr>
          <w:p>
            <w:pPr>
              <w:jc w:val="center"/>
            </w:pPr>
            <w:r>
              <w:rPr>
                <w:rFonts w:ascii="Calibri" w:hAnsi="Calibri"/>
                <w:color w:val="000000"/>
                <w:sz w:val="18"/>
              </w:rPr>
              <w:t>1.006</w:t>
            </w:r>
          </w:p>
        </w:tc>
      </w:tr>
      <w:tr>
        <w:tc>
          <w:tcPr>
            <w:tcW w:type="dxa" w:w="6480"/>
            <w:tcMar>
              <w:top w:w="80" w:type="dxa"/>
              <w:start w:w="120" w:type="dxa"/>
              <w:bottom w:w="80" w:type="dxa"/>
              <w:end w:w="120" w:type="dxa"/>
            </w:tcMar>
            <w:vAlign w:val="center"/>
          </w:tcPr>
          <w:p>
            <w:pPr>
              <w:jc w:val="left"/>
            </w:pPr>
            <w:r>
              <w:rPr>
                <w:rFonts w:ascii="Calibri" w:hAnsi="Calibri"/>
                <w:color w:val="000000"/>
                <w:sz w:val="18"/>
              </w:rPr>
              <w:t>Quality_Compliance_Score</w:t>
            </w:r>
          </w:p>
        </w:tc>
        <w:tc>
          <w:tcPr>
            <w:tcW w:type="dxa" w:w="1728"/>
            <w:tcMar>
              <w:top w:w="80" w:type="dxa"/>
              <w:start w:w="120" w:type="dxa"/>
              <w:bottom w:w="80" w:type="dxa"/>
              <w:end w:w="120" w:type="dxa"/>
            </w:tcMar>
            <w:vAlign w:val="center"/>
          </w:tcPr>
          <w:p>
            <w:pPr>
              <w:jc w:val="center"/>
            </w:pPr>
            <w:r>
              <w:rPr>
                <w:rFonts w:ascii="Calibri" w:hAnsi="Calibri"/>
                <w:color w:val="000000"/>
                <w:sz w:val="18"/>
              </w:rPr>
              <w:t>1.002</w:t>
            </w:r>
          </w:p>
        </w:tc>
      </w:tr>
      <w:tr>
        <w:tc>
          <w:tcPr>
            <w:tcW w:type="dxa" w:w="6480"/>
            <w:tcMar>
              <w:top w:w="80" w:type="dxa"/>
              <w:start w:w="120" w:type="dxa"/>
              <w:bottom w:w="80" w:type="dxa"/>
              <w:end w:w="120" w:type="dxa"/>
            </w:tcMar>
            <w:vAlign w:val="center"/>
          </w:tcPr>
          <w:p>
            <w:pPr>
              <w:jc w:val="left"/>
            </w:pPr>
            <w:r>
              <w:rPr>
                <w:rFonts w:ascii="Calibri" w:hAnsi="Calibri"/>
                <w:color w:val="000000"/>
                <w:sz w:val="18"/>
              </w:rPr>
              <w:t>Regulatory_Adherence_Score</w:t>
            </w:r>
          </w:p>
        </w:tc>
        <w:tc>
          <w:tcPr>
            <w:tcW w:type="dxa" w:w="1728"/>
            <w:tcMar>
              <w:top w:w="80" w:type="dxa"/>
              <w:start w:w="120" w:type="dxa"/>
              <w:bottom w:w="80" w:type="dxa"/>
              <w:end w:w="120" w:type="dxa"/>
            </w:tcMar>
            <w:vAlign w:val="center"/>
          </w:tcPr>
          <w:p>
            <w:pPr>
              <w:jc w:val="center"/>
            </w:pPr>
            <w:r>
              <w:rPr>
                <w:rFonts w:ascii="Calibri" w:hAnsi="Calibri"/>
                <w:color w:val="000000"/>
                <w:sz w:val="18"/>
              </w:rPr>
              <w:t>1.003</w:t>
            </w:r>
          </w:p>
        </w:tc>
      </w:tr>
      <w:tr>
        <w:tc>
          <w:tcPr>
            <w:tcW w:type="dxa" w:w="6480"/>
            <w:tcMar>
              <w:top w:w="80" w:type="dxa"/>
              <w:start w:w="120" w:type="dxa"/>
              <w:bottom w:w="80" w:type="dxa"/>
              <w:end w:w="120" w:type="dxa"/>
            </w:tcMar>
            <w:vAlign w:val="center"/>
          </w:tcPr>
          <w:p>
            <w:pPr>
              <w:jc w:val="left"/>
            </w:pPr>
            <w:r>
              <w:rPr>
                <w:rFonts w:ascii="Calibri" w:hAnsi="Calibri"/>
                <w:color w:val="000000"/>
                <w:sz w:val="18"/>
              </w:rPr>
              <w:t>Sustainability_Score</w:t>
            </w:r>
          </w:p>
        </w:tc>
        <w:tc>
          <w:tcPr>
            <w:tcW w:type="dxa" w:w="1728"/>
            <w:tcMar>
              <w:top w:w="80" w:type="dxa"/>
              <w:start w:w="120" w:type="dxa"/>
              <w:bottom w:w="80" w:type="dxa"/>
              <w:end w:w="120" w:type="dxa"/>
            </w:tcMar>
            <w:vAlign w:val="center"/>
          </w:tcPr>
          <w:p>
            <w:pPr>
              <w:jc w:val="center"/>
            </w:pPr>
            <w:r>
              <w:rPr>
                <w:rFonts w:ascii="Calibri" w:hAnsi="Calibri"/>
                <w:color w:val="000000"/>
                <w:sz w:val="18"/>
              </w:rPr>
              <w:t>1.003</w:t>
            </w:r>
          </w:p>
        </w:tc>
      </w:tr>
      <w:tr>
        <w:tc>
          <w:tcPr>
            <w:tcW w:type="dxa" w:w="6480"/>
            <w:tcMar>
              <w:top w:w="80" w:type="dxa"/>
              <w:start w:w="120" w:type="dxa"/>
              <w:bottom w:w="80" w:type="dxa"/>
              <w:end w:w="120" w:type="dxa"/>
            </w:tcMar>
            <w:vAlign w:val="center"/>
          </w:tcPr>
          <w:p>
            <w:pPr>
              <w:jc w:val="left"/>
            </w:pPr>
            <w:r>
              <w:rPr>
                <w:rFonts w:ascii="Calibri" w:hAnsi="Calibri"/>
                <w:color w:val="000000"/>
                <w:sz w:val="18"/>
              </w:rPr>
              <w:t>Past_Risk_Level</w:t>
            </w:r>
          </w:p>
        </w:tc>
        <w:tc>
          <w:tcPr>
            <w:tcW w:type="dxa" w:w="1728"/>
            <w:tcMar>
              <w:top w:w="80" w:type="dxa"/>
              <w:start w:w="120" w:type="dxa"/>
              <w:bottom w:w="80" w:type="dxa"/>
              <w:end w:w="120" w:type="dxa"/>
            </w:tcMar>
            <w:vAlign w:val="center"/>
          </w:tcPr>
          <w:p>
            <w:pPr>
              <w:jc w:val="center"/>
            </w:pPr>
            <w:r>
              <w:rPr>
                <w:rFonts w:ascii="Calibri" w:hAnsi="Calibri"/>
                <w:color w:val="000000"/>
                <w:sz w:val="18"/>
              </w:rPr>
              <w:t>1.005</w:t>
            </w:r>
          </w:p>
        </w:tc>
      </w:tr>
      <w:tr>
        <w:tc>
          <w:tcPr>
            <w:tcW w:type="dxa" w:w="6480"/>
            <w:tcMar>
              <w:top w:w="80" w:type="dxa"/>
              <w:start w:w="120" w:type="dxa"/>
              <w:bottom w:w="80" w:type="dxa"/>
              <w:end w:w="120" w:type="dxa"/>
            </w:tcMar>
            <w:vAlign w:val="center"/>
          </w:tcPr>
          <w:p>
            <w:pPr>
              <w:jc w:val="left"/>
            </w:pPr>
            <w:r>
              <w:rPr>
                <w:rFonts w:ascii="Calibri" w:hAnsi="Calibri"/>
                <w:color w:val="000000"/>
                <w:sz w:val="18"/>
              </w:rPr>
              <w:t>Incidents_Count</w:t>
            </w:r>
          </w:p>
        </w:tc>
        <w:tc>
          <w:tcPr>
            <w:tcW w:type="dxa" w:w="1728"/>
            <w:tcMar>
              <w:top w:w="80" w:type="dxa"/>
              <w:start w:w="120" w:type="dxa"/>
              <w:bottom w:w="80" w:type="dxa"/>
              <w:end w:w="120" w:type="dxa"/>
            </w:tcMar>
            <w:vAlign w:val="center"/>
          </w:tcPr>
          <w:p>
            <w:pPr>
              <w:jc w:val="center"/>
            </w:pPr>
            <w:r>
              <w:rPr>
                <w:rFonts w:ascii="Calibri" w:hAnsi="Calibri"/>
                <w:color w:val="000000"/>
                <w:sz w:val="18"/>
              </w:rPr>
              <w:t>1.002</w:t>
            </w:r>
          </w:p>
        </w:tc>
      </w:tr>
    </w:tbl>
    <w:p/>
    <w:p>
      <w:pPr>
        <w:spacing w:after="120" w:line="264" w:lineRule="auto"/>
      </w:pPr>
      <w:r>
        <w:rPr>
          <w:rFonts w:ascii="Calibri" w:hAnsi="Calibri"/>
        </w:rPr>
        <w:t>Tüm VIF değerleri 1.00 civarındadır. Genel kabul olarak VIF &lt; 5 olması çoklu doğrusal bağlantı sorununun ciddi olmadığını gösterir. Bu nedenle seçilen yedi değişkenin risk skorlama sisteminde birlikte kullanılması istatistiksel olarak uygundur.</w:t>
      </w:r>
    </w:p>
    <w:p>
      <w:pPr>
        <w:pStyle w:val="Heading3"/>
        <w:spacing w:before="160" w:after="80"/>
      </w:pPr>
      <w:r>
        <w:rPr>
          <w:rFonts w:ascii="Calibri" w:hAnsi="Calibri"/>
          <w:b/>
          <w:color w:val="1F4D78"/>
          <w:sz w:val="24"/>
        </w:rPr>
        <w:t>7.1.2 R² Analizi</w:t>
      </w:r>
    </w:p>
    <w:p>
      <w:pPr>
        <w:spacing w:after="120" w:line="264" w:lineRule="auto"/>
      </w:pPr>
      <w:r>
        <w:rPr>
          <w:rFonts w:ascii="Calibri" w:hAnsi="Calibri"/>
        </w:rPr>
        <w:t>Risk_Score_Equal ve Risk_Score_Priority için hesaplanan R² değerleri 1.0000'dır. Bu sonuç beklenen bir bulgudur; çünkü sürekli risk skorları doğrudan seçilen risk bileşenlerinin matematiksel birleşimiyle üretilmiştir. Dolayısıyla R² sonucu modelin iç tutarlılığını doğrular.</w:t>
      </w:r>
    </w:p>
    <w:p>
      <w:pPr>
        <w:pStyle w:val="Heading2"/>
        <w:spacing w:before="160" w:after="80"/>
      </w:pPr>
      <w:r>
        <w:rPr>
          <w:rFonts w:ascii="Calibri" w:hAnsi="Calibri"/>
          <w:b/>
          <w:color w:val="2E74B5"/>
          <w:sz w:val="26"/>
        </w:rPr>
        <w:t>7.2 Ana Model Sonuçları: Sabit Eşik</w:t>
      </w:r>
    </w:p>
    <w:p>
      <w:pPr>
        <w:pStyle w:val="Heading3"/>
        <w:spacing w:before="160" w:after="80"/>
      </w:pPr>
      <w:r>
        <w:rPr>
          <w:rFonts w:ascii="Calibri" w:hAnsi="Calibri"/>
          <w:b/>
          <w:color w:val="1F4D78"/>
          <w:sz w:val="24"/>
        </w:rPr>
        <w:t>7.2.1 Priority Fixed - Year Olmadan</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3168"/>
            <w:shd w:fill="F2F4F7"/>
            <w:tcMar>
              <w:top w:w="80" w:type="dxa"/>
              <w:start w:w="120" w:type="dxa"/>
              <w:bottom w:w="80" w:type="dxa"/>
              <w:end w:w="120" w:type="dxa"/>
            </w:tcMar>
            <w:vAlign w:val="center"/>
          </w:tcPr>
          <w:p>
            <w:pPr>
              <w:jc w:val="center"/>
            </w:pPr>
            <w:r>
              <w:rPr>
                <w:rFonts w:ascii="Calibri" w:hAnsi="Calibri"/>
                <w:b/>
                <w:color w:val="000000"/>
                <w:sz w:val="18"/>
              </w:rPr>
              <w:t>Model</w:t>
            </w:r>
          </w:p>
        </w:tc>
        <w:tc>
          <w:tcPr>
            <w:tcW w:type="dxa" w:w="1440"/>
            <w:shd w:fill="F2F4F7"/>
            <w:tcMar>
              <w:top w:w="80" w:type="dxa"/>
              <w:start w:w="120" w:type="dxa"/>
              <w:bottom w:w="80" w:type="dxa"/>
              <w:end w:w="120" w:type="dxa"/>
            </w:tcMar>
            <w:vAlign w:val="center"/>
          </w:tcPr>
          <w:p>
            <w:pPr>
              <w:jc w:val="center"/>
            </w:pPr>
            <w:r>
              <w:rPr>
                <w:rFonts w:ascii="Calibri" w:hAnsi="Calibri"/>
                <w:b/>
                <w:color w:val="000000"/>
                <w:sz w:val="18"/>
              </w:rPr>
              <w:t>Accuracy</w:t>
            </w:r>
          </w:p>
        </w:tc>
        <w:tc>
          <w:tcPr>
            <w:tcW w:type="dxa" w:w="1440"/>
            <w:shd w:fill="F2F4F7"/>
            <w:tcMar>
              <w:top w:w="80" w:type="dxa"/>
              <w:start w:w="120" w:type="dxa"/>
              <w:bottom w:w="80" w:type="dxa"/>
              <w:end w:w="120" w:type="dxa"/>
            </w:tcMar>
            <w:vAlign w:val="center"/>
          </w:tcPr>
          <w:p>
            <w:pPr>
              <w:jc w:val="center"/>
            </w:pPr>
            <w:r>
              <w:rPr>
                <w:rFonts w:ascii="Calibri" w:hAnsi="Calibri"/>
                <w:b/>
                <w:color w:val="000000"/>
                <w:sz w:val="18"/>
              </w:rPr>
              <w:t>Precision</w:t>
            </w:r>
          </w:p>
        </w:tc>
        <w:tc>
          <w:tcPr>
            <w:tcW w:type="dxa" w:w="1440"/>
            <w:shd w:fill="F2F4F7"/>
            <w:tcMar>
              <w:top w:w="80" w:type="dxa"/>
              <w:start w:w="120" w:type="dxa"/>
              <w:bottom w:w="80" w:type="dxa"/>
              <w:end w:w="120" w:type="dxa"/>
            </w:tcMar>
            <w:vAlign w:val="center"/>
          </w:tcPr>
          <w:p>
            <w:pPr>
              <w:jc w:val="center"/>
            </w:pPr>
            <w:r>
              <w:rPr>
                <w:rFonts w:ascii="Calibri" w:hAnsi="Calibri"/>
                <w:b/>
                <w:color w:val="000000"/>
                <w:sz w:val="18"/>
              </w:rPr>
              <w:t>Recall</w:t>
            </w:r>
          </w:p>
        </w:tc>
        <w:tc>
          <w:tcPr>
            <w:tcW w:type="dxa" w:w="1440"/>
            <w:shd w:fill="F2F4F7"/>
            <w:tcMar>
              <w:top w:w="80" w:type="dxa"/>
              <w:start w:w="120" w:type="dxa"/>
              <w:bottom w:w="80" w:type="dxa"/>
              <w:end w:w="120" w:type="dxa"/>
            </w:tcMar>
            <w:vAlign w:val="center"/>
          </w:tcPr>
          <w:p>
            <w:pPr>
              <w:jc w:val="center"/>
            </w:pPr>
            <w:r>
              <w:rPr>
                <w:rFonts w:ascii="Calibri" w:hAnsi="Calibri"/>
                <w:b/>
                <w:color w:val="000000"/>
                <w:sz w:val="18"/>
              </w:rPr>
              <w:t>F1</w:t>
            </w:r>
          </w:p>
        </w:tc>
      </w:tr>
      <w:tr>
        <w:tc>
          <w:tcPr>
            <w:tcW w:type="dxa" w:w="3168"/>
            <w:tcMar>
              <w:top w:w="80" w:type="dxa"/>
              <w:start w:w="120" w:type="dxa"/>
              <w:bottom w:w="80" w:type="dxa"/>
              <w:end w:w="120" w:type="dxa"/>
            </w:tcMar>
            <w:vAlign w:val="center"/>
          </w:tcPr>
          <w:p>
            <w:pPr>
              <w:jc w:val="left"/>
            </w:pPr>
            <w:r>
              <w:rPr>
                <w:rFonts w:ascii="Calibri" w:hAnsi="Calibri"/>
                <w:color w:val="000000"/>
                <w:sz w:val="18"/>
              </w:rPr>
              <w:t>Logistic Regression</w:t>
            </w:r>
          </w:p>
        </w:tc>
        <w:tc>
          <w:tcPr>
            <w:tcW w:type="dxa" w:w="1440"/>
            <w:tcMar>
              <w:top w:w="80" w:type="dxa"/>
              <w:start w:w="120" w:type="dxa"/>
              <w:bottom w:w="80" w:type="dxa"/>
              <w:end w:w="120" w:type="dxa"/>
            </w:tcMar>
            <w:vAlign w:val="center"/>
          </w:tcPr>
          <w:p>
            <w:pPr>
              <w:jc w:val="center"/>
            </w:pPr>
            <w:r>
              <w:rPr>
                <w:rFonts w:ascii="Calibri" w:hAnsi="Calibri"/>
                <w:color w:val="000000"/>
                <w:sz w:val="18"/>
              </w:rPr>
              <w:t>0.9833</w:t>
            </w:r>
          </w:p>
        </w:tc>
        <w:tc>
          <w:tcPr>
            <w:tcW w:type="dxa" w:w="1440"/>
            <w:tcMar>
              <w:top w:w="80" w:type="dxa"/>
              <w:start w:w="120" w:type="dxa"/>
              <w:bottom w:w="80" w:type="dxa"/>
              <w:end w:w="120" w:type="dxa"/>
            </w:tcMar>
            <w:vAlign w:val="center"/>
          </w:tcPr>
          <w:p>
            <w:pPr>
              <w:jc w:val="center"/>
            </w:pPr>
            <w:r>
              <w:rPr>
                <w:rFonts w:ascii="Calibri" w:hAnsi="Calibri"/>
                <w:color w:val="000000"/>
                <w:sz w:val="18"/>
              </w:rPr>
              <w:t>0.9933</w:t>
            </w:r>
          </w:p>
        </w:tc>
        <w:tc>
          <w:tcPr>
            <w:tcW w:type="dxa" w:w="1440"/>
            <w:tcMar>
              <w:top w:w="80" w:type="dxa"/>
              <w:start w:w="120" w:type="dxa"/>
              <w:bottom w:w="80" w:type="dxa"/>
              <w:end w:w="120" w:type="dxa"/>
            </w:tcMar>
            <w:vAlign w:val="center"/>
          </w:tcPr>
          <w:p>
            <w:pPr>
              <w:jc w:val="center"/>
            </w:pPr>
            <w:r>
              <w:rPr>
                <w:rFonts w:ascii="Calibri" w:hAnsi="Calibri"/>
                <w:color w:val="000000"/>
                <w:sz w:val="18"/>
              </w:rPr>
              <w:t>0.9385</w:t>
            </w:r>
          </w:p>
        </w:tc>
        <w:tc>
          <w:tcPr>
            <w:tcW w:type="dxa" w:w="1440"/>
            <w:tcMar>
              <w:top w:w="80" w:type="dxa"/>
              <w:start w:w="120" w:type="dxa"/>
              <w:bottom w:w="80" w:type="dxa"/>
              <w:end w:w="120" w:type="dxa"/>
            </w:tcMar>
            <w:vAlign w:val="center"/>
          </w:tcPr>
          <w:p>
            <w:pPr>
              <w:jc w:val="center"/>
            </w:pPr>
            <w:r>
              <w:rPr>
                <w:rFonts w:ascii="Calibri" w:hAnsi="Calibri"/>
                <w:color w:val="000000"/>
                <w:sz w:val="18"/>
              </w:rPr>
              <w:t>0.9644</w:t>
            </w:r>
          </w:p>
        </w:tc>
      </w:tr>
      <w:tr>
        <w:tc>
          <w:tcPr>
            <w:tcW w:type="dxa" w:w="3168"/>
            <w:tcMar>
              <w:top w:w="80" w:type="dxa"/>
              <w:start w:w="120" w:type="dxa"/>
              <w:bottom w:w="80" w:type="dxa"/>
              <w:end w:w="120" w:type="dxa"/>
            </w:tcMar>
            <w:vAlign w:val="center"/>
          </w:tcPr>
          <w:p>
            <w:pPr>
              <w:jc w:val="left"/>
            </w:pPr>
            <w:r>
              <w:rPr>
                <w:rFonts w:ascii="Calibri" w:hAnsi="Calibri"/>
                <w:color w:val="000000"/>
                <w:sz w:val="18"/>
              </w:rPr>
              <w:t>Decision Tree</w:t>
            </w:r>
          </w:p>
        </w:tc>
        <w:tc>
          <w:tcPr>
            <w:tcW w:type="dxa" w:w="1440"/>
            <w:tcMar>
              <w:top w:w="80" w:type="dxa"/>
              <w:start w:w="120" w:type="dxa"/>
              <w:bottom w:w="80" w:type="dxa"/>
              <w:end w:w="120" w:type="dxa"/>
            </w:tcMar>
            <w:vAlign w:val="center"/>
          </w:tcPr>
          <w:p>
            <w:pPr>
              <w:jc w:val="center"/>
            </w:pPr>
            <w:r>
              <w:rPr>
                <w:rFonts w:ascii="Calibri" w:hAnsi="Calibri"/>
                <w:color w:val="000000"/>
                <w:sz w:val="18"/>
              </w:rPr>
              <w:t>0.8556</w:t>
            </w:r>
          </w:p>
        </w:tc>
        <w:tc>
          <w:tcPr>
            <w:tcW w:type="dxa" w:w="1440"/>
            <w:tcMar>
              <w:top w:w="80" w:type="dxa"/>
              <w:start w:w="120" w:type="dxa"/>
              <w:bottom w:w="80" w:type="dxa"/>
              <w:end w:w="120" w:type="dxa"/>
            </w:tcMar>
            <w:vAlign w:val="center"/>
          </w:tcPr>
          <w:p>
            <w:pPr>
              <w:jc w:val="center"/>
            </w:pPr>
            <w:r>
              <w:rPr>
                <w:rFonts w:ascii="Calibri" w:hAnsi="Calibri"/>
                <w:color w:val="000000"/>
                <w:sz w:val="18"/>
              </w:rPr>
              <w:t>0.7068</w:t>
            </w:r>
          </w:p>
        </w:tc>
        <w:tc>
          <w:tcPr>
            <w:tcW w:type="dxa" w:w="1440"/>
            <w:tcMar>
              <w:top w:w="80" w:type="dxa"/>
              <w:start w:w="120" w:type="dxa"/>
              <w:bottom w:w="80" w:type="dxa"/>
              <w:end w:w="120" w:type="dxa"/>
            </w:tcMar>
            <w:vAlign w:val="center"/>
          </w:tcPr>
          <w:p>
            <w:pPr>
              <w:jc w:val="center"/>
            </w:pPr>
            <w:r>
              <w:rPr>
                <w:rFonts w:ascii="Calibri" w:hAnsi="Calibri"/>
                <w:color w:val="000000"/>
                <w:sz w:val="18"/>
              </w:rPr>
              <w:t>0.7168</w:t>
            </w:r>
          </w:p>
        </w:tc>
        <w:tc>
          <w:tcPr>
            <w:tcW w:type="dxa" w:w="1440"/>
            <w:tcMar>
              <w:top w:w="80" w:type="dxa"/>
              <w:start w:w="120" w:type="dxa"/>
              <w:bottom w:w="80" w:type="dxa"/>
              <w:end w:w="120" w:type="dxa"/>
            </w:tcMar>
            <w:vAlign w:val="center"/>
          </w:tcPr>
          <w:p>
            <w:pPr>
              <w:jc w:val="center"/>
            </w:pPr>
            <w:r>
              <w:rPr>
                <w:rFonts w:ascii="Calibri" w:hAnsi="Calibri"/>
                <w:color w:val="000000"/>
                <w:sz w:val="18"/>
              </w:rPr>
              <w:t>0.7102</w:t>
            </w:r>
          </w:p>
        </w:tc>
      </w:tr>
      <w:tr>
        <w:tc>
          <w:tcPr>
            <w:tcW w:type="dxa" w:w="3168"/>
            <w:tcMar>
              <w:top w:w="80" w:type="dxa"/>
              <w:start w:w="120" w:type="dxa"/>
              <w:bottom w:w="80" w:type="dxa"/>
              <w:end w:w="120" w:type="dxa"/>
            </w:tcMar>
            <w:vAlign w:val="center"/>
          </w:tcPr>
          <w:p>
            <w:pPr>
              <w:jc w:val="left"/>
            </w:pPr>
            <w:r>
              <w:rPr>
                <w:rFonts w:ascii="Calibri" w:hAnsi="Calibri"/>
                <w:color w:val="000000"/>
                <w:sz w:val="18"/>
              </w:rPr>
              <w:t>Random Forest</w:t>
            </w:r>
          </w:p>
        </w:tc>
        <w:tc>
          <w:tcPr>
            <w:tcW w:type="dxa" w:w="1440"/>
            <w:tcMar>
              <w:top w:w="80" w:type="dxa"/>
              <w:start w:w="120" w:type="dxa"/>
              <w:bottom w:w="80" w:type="dxa"/>
              <w:end w:w="120" w:type="dxa"/>
            </w:tcMar>
            <w:vAlign w:val="center"/>
          </w:tcPr>
          <w:p>
            <w:pPr>
              <w:jc w:val="center"/>
            </w:pPr>
            <w:r>
              <w:rPr>
                <w:rFonts w:ascii="Calibri" w:hAnsi="Calibri"/>
                <w:color w:val="000000"/>
                <w:sz w:val="18"/>
              </w:rPr>
              <w:t>0.8889</w:t>
            </w:r>
          </w:p>
        </w:tc>
        <w:tc>
          <w:tcPr>
            <w:tcW w:type="dxa" w:w="1440"/>
            <w:tcMar>
              <w:top w:w="80" w:type="dxa"/>
              <w:start w:w="120" w:type="dxa"/>
              <w:bottom w:w="80" w:type="dxa"/>
              <w:end w:w="120" w:type="dxa"/>
            </w:tcMar>
            <w:vAlign w:val="center"/>
          </w:tcPr>
          <w:p>
            <w:pPr>
              <w:jc w:val="center"/>
            </w:pPr>
            <w:r>
              <w:rPr>
                <w:rFonts w:ascii="Calibri" w:hAnsi="Calibri"/>
                <w:color w:val="000000"/>
                <w:sz w:val="18"/>
              </w:rPr>
              <w:t>0.9352</w:t>
            </w:r>
          </w:p>
        </w:tc>
        <w:tc>
          <w:tcPr>
            <w:tcW w:type="dxa" w:w="1440"/>
            <w:tcMar>
              <w:top w:w="80" w:type="dxa"/>
              <w:start w:w="120" w:type="dxa"/>
              <w:bottom w:w="80" w:type="dxa"/>
              <w:end w:w="120" w:type="dxa"/>
            </w:tcMar>
            <w:vAlign w:val="center"/>
          </w:tcPr>
          <w:p>
            <w:pPr>
              <w:jc w:val="center"/>
            </w:pPr>
            <w:r>
              <w:rPr>
                <w:rFonts w:ascii="Calibri" w:hAnsi="Calibri"/>
                <w:color w:val="000000"/>
                <w:sz w:val="18"/>
              </w:rPr>
              <w:t>0.6053</w:t>
            </w:r>
          </w:p>
        </w:tc>
        <w:tc>
          <w:tcPr>
            <w:tcW w:type="dxa" w:w="1440"/>
            <w:tcMar>
              <w:top w:w="80" w:type="dxa"/>
              <w:start w:w="120" w:type="dxa"/>
              <w:bottom w:w="80" w:type="dxa"/>
              <w:end w:w="120" w:type="dxa"/>
            </w:tcMar>
            <w:vAlign w:val="center"/>
          </w:tcPr>
          <w:p>
            <w:pPr>
              <w:jc w:val="center"/>
            </w:pPr>
            <w:r>
              <w:rPr>
                <w:rFonts w:ascii="Calibri" w:hAnsi="Calibri"/>
                <w:color w:val="000000"/>
                <w:sz w:val="18"/>
              </w:rPr>
              <w:t>0.6948</w:t>
            </w:r>
          </w:p>
        </w:tc>
      </w:tr>
      <w:tr>
        <w:tc>
          <w:tcPr>
            <w:tcW w:type="dxa" w:w="3168"/>
            <w:tcMar>
              <w:top w:w="80" w:type="dxa"/>
              <w:start w:w="120" w:type="dxa"/>
              <w:bottom w:w="80" w:type="dxa"/>
              <w:end w:w="120" w:type="dxa"/>
            </w:tcMar>
            <w:vAlign w:val="center"/>
          </w:tcPr>
          <w:p>
            <w:pPr>
              <w:jc w:val="left"/>
            </w:pPr>
            <w:r>
              <w:rPr>
                <w:rFonts w:ascii="Calibri" w:hAnsi="Calibri"/>
                <w:color w:val="000000"/>
                <w:sz w:val="18"/>
              </w:rPr>
              <w:t>K-Nearest Neighbors</w:t>
            </w:r>
          </w:p>
        </w:tc>
        <w:tc>
          <w:tcPr>
            <w:tcW w:type="dxa" w:w="1440"/>
            <w:tcMar>
              <w:top w:w="80" w:type="dxa"/>
              <w:start w:w="120" w:type="dxa"/>
              <w:bottom w:w="80" w:type="dxa"/>
              <w:end w:w="120" w:type="dxa"/>
            </w:tcMar>
            <w:vAlign w:val="center"/>
          </w:tcPr>
          <w:p>
            <w:pPr>
              <w:jc w:val="center"/>
            </w:pPr>
            <w:r>
              <w:rPr>
                <w:rFonts w:ascii="Calibri" w:hAnsi="Calibri"/>
                <w:color w:val="000000"/>
                <w:sz w:val="18"/>
              </w:rPr>
              <w:t>0.9056</w:t>
            </w:r>
          </w:p>
        </w:tc>
        <w:tc>
          <w:tcPr>
            <w:tcW w:type="dxa" w:w="1440"/>
            <w:tcMar>
              <w:top w:w="80" w:type="dxa"/>
              <w:start w:w="120" w:type="dxa"/>
              <w:bottom w:w="80" w:type="dxa"/>
              <w:end w:w="120" w:type="dxa"/>
            </w:tcMar>
            <w:vAlign w:val="center"/>
          </w:tcPr>
          <w:p>
            <w:pPr>
              <w:jc w:val="center"/>
            </w:pPr>
            <w:r>
              <w:rPr>
                <w:rFonts w:ascii="Calibri" w:hAnsi="Calibri"/>
                <w:color w:val="000000"/>
                <w:sz w:val="18"/>
              </w:rPr>
              <w:t>0.9048</w:t>
            </w:r>
          </w:p>
        </w:tc>
        <w:tc>
          <w:tcPr>
            <w:tcW w:type="dxa" w:w="1440"/>
            <w:tcMar>
              <w:top w:w="80" w:type="dxa"/>
              <w:start w:w="120" w:type="dxa"/>
              <w:bottom w:w="80" w:type="dxa"/>
              <w:end w:w="120" w:type="dxa"/>
            </w:tcMar>
            <w:vAlign w:val="center"/>
          </w:tcPr>
          <w:p>
            <w:pPr>
              <w:jc w:val="center"/>
            </w:pPr>
            <w:r>
              <w:rPr>
                <w:rFonts w:ascii="Calibri" w:hAnsi="Calibri"/>
                <w:color w:val="000000"/>
                <w:sz w:val="18"/>
              </w:rPr>
              <w:t>0.6954</w:t>
            </w:r>
          </w:p>
        </w:tc>
        <w:tc>
          <w:tcPr>
            <w:tcW w:type="dxa" w:w="1440"/>
            <w:tcMar>
              <w:top w:w="80" w:type="dxa"/>
              <w:start w:w="120" w:type="dxa"/>
              <w:bottom w:w="80" w:type="dxa"/>
              <w:end w:w="120" w:type="dxa"/>
            </w:tcMar>
            <w:vAlign w:val="center"/>
          </w:tcPr>
          <w:p>
            <w:pPr>
              <w:jc w:val="center"/>
            </w:pPr>
            <w:r>
              <w:rPr>
                <w:rFonts w:ascii="Calibri" w:hAnsi="Calibri"/>
                <w:color w:val="000000"/>
                <w:sz w:val="18"/>
              </w:rPr>
              <w:t>0.7707</w:t>
            </w:r>
          </w:p>
        </w:tc>
      </w:tr>
    </w:tbl>
    <w:p/>
    <w:p>
      <w:pPr>
        <w:pStyle w:val="Heading3"/>
        <w:spacing w:before="160" w:after="80"/>
      </w:pPr>
      <w:r>
        <w:rPr>
          <w:rFonts w:ascii="Calibri" w:hAnsi="Calibri"/>
          <w:b/>
          <w:color w:val="1F4D78"/>
          <w:sz w:val="24"/>
        </w:rPr>
        <w:t>7.2.2 Equal Fixed - Year Olmadan</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3168"/>
            <w:shd w:fill="F2F4F7"/>
            <w:tcMar>
              <w:top w:w="80" w:type="dxa"/>
              <w:start w:w="120" w:type="dxa"/>
              <w:bottom w:w="80" w:type="dxa"/>
              <w:end w:w="120" w:type="dxa"/>
            </w:tcMar>
            <w:vAlign w:val="center"/>
          </w:tcPr>
          <w:p>
            <w:pPr>
              <w:jc w:val="center"/>
            </w:pPr>
            <w:r>
              <w:rPr>
                <w:rFonts w:ascii="Calibri" w:hAnsi="Calibri"/>
                <w:b/>
                <w:color w:val="000000"/>
                <w:sz w:val="18"/>
              </w:rPr>
              <w:t>Model</w:t>
            </w:r>
          </w:p>
        </w:tc>
        <w:tc>
          <w:tcPr>
            <w:tcW w:type="dxa" w:w="1440"/>
            <w:shd w:fill="F2F4F7"/>
            <w:tcMar>
              <w:top w:w="80" w:type="dxa"/>
              <w:start w:w="120" w:type="dxa"/>
              <w:bottom w:w="80" w:type="dxa"/>
              <w:end w:w="120" w:type="dxa"/>
            </w:tcMar>
            <w:vAlign w:val="center"/>
          </w:tcPr>
          <w:p>
            <w:pPr>
              <w:jc w:val="center"/>
            </w:pPr>
            <w:r>
              <w:rPr>
                <w:rFonts w:ascii="Calibri" w:hAnsi="Calibri"/>
                <w:b/>
                <w:color w:val="000000"/>
                <w:sz w:val="18"/>
              </w:rPr>
              <w:t>Accuracy</w:t>
            </w:r>
          </w:p>
        </w:tc>
        <w:tc>
          <w:tcPr>
            <w:tcW w:type="dxa" w:w="1440"/>
            <w:shd w:fill="F2F4F7"/>
            <w:tcMar>
              <w:top w:w="80" w:type="dxa"/>
              <w:start w:w="120" w:type="dxa"/>
              <w:bottom w:w="80" w:type="dxa"/>
              <w:end w:w="120" w:type="dxa"/>
            </w:tcMar>
            <w:vAlign w:val="center"/>
          </w:tcPr>
          <w:p>
            <w:pPr>
              <w:jc w:val="center"/>
            </w:pPr>
            <w:r>
              <w:rPr>
                <w:rFonts w:ascii="Calibri" w:hAnsi="Calibri"/>
                <w:b/>
                <w:color w:val="000000"/>
                <w:sz w:val="18"/>
              </w:rPr>
              <w:t>Precision</w:t>
            </w:r>
          </w:p>
        </w:tc>
        <w:tc>
          <w:tcPr>
            <w:tcW w:type="dxa" w:w="1440"/>
            <w:shd w:fill="F2F4F7"/>
            <w:tcMar>
              <w:top w:w="80" w:type="dxa"/>
              <w:start w:w="120" w:type="dxa"/>
              <w:bottom w:w="80" w:type="dxa"/>
              <w:end w:w="120" w:type="dxa"/>
            </w:tcMar>
            <w:vAlign w:val="center"/>
          </w:tcPr>
          <w:p>
            <w:pPr>
              <w:jc w:val="center"/>
            </w:pPr>
            <w:r>
              <w:rPr>
                <w:rFonts w:ascii="Calibri" w:hAnsi="Calibri"/>
                <w:b/>
                <w:color w:val="000000"/>
                <w:sz w:val="18"/>
              </w:rPr>
              <w:t>Recall</w:t>
            </w:r>
          </w:p>
        </w:tc>
        <w:tc>
          <w:tcPr>
            <w:tcW w:type="dxa" w:w="1440"/>
            <w:shd w:fill="F2F4F7"/>
            <w:tcMar>
              <w:top w:w="80" w:type="dxa"/>
              <w:start w:w="120" w:type="dxa"/>
              <w:bottom w:w="80" w:type="dxa"/>
              <w:end w:w="120" w:type="dxa"/>
            </w:tcMar>
            <w:vAlign w:val="center"/>
          </w:tcPr>
          <w:p>
            <w:pPr>
              <w:jc w:val="center"/>
            </w:pPr>
            <w:r>
              <w:rPr>
                <w:rFonts w:ascii="Calibri" w:hAnsi="Calibri"/>
                <w:b/>
                <w:color w:val="000000"/>
                <w:sz w:val="18"/>
              </w:rPr>
              <w:t>F1</w:t>
            </w:r>
          </w:p>
        </w:tc>
      </w:tr>
      <w:tr>
        <w:tc>
          <w:tcPr>
            <w:tcW w:type="dxa" w:w="3168"/>
            <w:tcMar>
              <w:top w:w="80" w:type="dxa"/>
              <w:start w:w="120" w:type="dxa"/>
              <w:bottom w:w="80" w:type="dxa"/>
              <w:end w:w="120" w:type="dxa"/>
            </w:tcMar>
            <w:vAlign w:val="center"/>
          </w:tcPr>
          <w:p>
            <w:pPr>
              <w:jc w:val="left"/>
            </w:pPr>
            <w:r>
              <w:rPr>
                <w:rFonts w:ascii="Calibri" w:hAnsi="Calibri"/>
                <w:color w:val="000000"/>
                <w:sz w:val="18"/>
              </w:rPr>
              <w:t>Logistic Regression</w:t>
            </w:r>
          </w:p>
        </w:tc>
        <w:tc>
          <w:tcPr>
            <w:tcW w:type="dxa" w:w="1440"/>
            <w:tcMar>
              <w:top w:w="80" w:type="dxa"/>
              <w:start w:w="120" w:type="dxa"/>
              <w:bottom w:w="80" w:type="dxa"/>
              <w:end w:w="120" w:type="dxa"/>
            </w:tcMar>
            <w:vAlign w:val="center"/>
          </w:tcPr>
          <w:p>
            <w:pPr>
              <w:jc w:val="center"/>
            </w:pPr>
            <w:r>
              <w:rPr>
                <w:rFonts w:ascii="Calibri" w:hAnsi="Calibri"/>
                <w:color w:val="000000"/>
                <w:sz w:val="18"/>
              </w:rPr>
              <w:t>0.9861</w:t>
            </w:r>
          </w:p>
        </w:tc>
        <w:tc>
          <w:tcPr>
            <w:tcW w:type="dxa" w:w="1440"/>
            <w:tcMar>
              <w:top w:w="80" w:type="dxa"/>
              <w:start w:w="120" w:type="dxa"/>
              <w:bottom w:w="80" w:type="dxa"/>
              <w:end w:w="120" w:type="dxa"/>
            </w:tcMar>
            <w:vAlign w:val="center"/>
          </w:tcPr>
          <w:p>
            <w:pPr>
              <w:jc w:val="center"/>
            </w:pPr>
            <w:r>
              <w:rPr>
                <w:rFonts w:ascii="Calibri" w:hAnsi="Calibri"/>
                <w:color w:val="000000"/>
                <w:sz w:val="18"/>
              </w:rPr>
              <w:t>0.9947</w:t>
            </w:r>
          </w:p>
        </w:tc>
        <w:tc>
          <w:tcPr>
            <w:tcW w:type="dxa" w:w="1440"/>
            <w:tcMar>
              <w:top w:w="80" w:type="dxa"/>
              <w:start w:w="120" w:type="dxa"/>
              <w:bottom w:w="80" w:type="dxa"/>
              <w:end w:w="120" w:type="dxa"/>
            </w:tcMar>
            <w:vAlign w:val="center"/>
          </w:tcPr>
          <w:p>
            <w:pPr>
              <w:jc w:val="center"/>
            </w:pPr>
            <w:r>
              <w:rPr>
                <w:rFonts w:ascii="Calibri" w:hAnsi="Calibri"/>
                <w:color w:val="000000"/>
                <w:sz w:val="18"/>
              </w:rPr>
              <w:t>0.9340</w:t>
            </w:r>
          </w:p>
        </w:tc>
        <w:tc>
          <w:tcPr>
            <w:tcW w:type="dxa" w:w="1440"/>
            <w:tcMar>
              <w:top w:w="80" w:type="dxa"/>
              <w:start w:w="120" w:type="dxa"/>
              <w:bottom w:w="80" w:type="dxa"/>
              <w:end w:w="120" w:type="dxa"/>
            </w:tcMar>
            <w:vAlign w:val="center"/>
          </w:tcPr>
          <w:p>
            <w:pPr>
              <w:jc w:val="center"/>
            </w:pPr>
            <w:r>
              <w:rPr>
                <w:rFonts w:ascii="Calibri" w:hAnsi="Calibri"/>
                <w:color w:val="000000"/>
                <w:sz w:val="18"/>
              </w:rPr>
              <w:t>0.9626</w:t>
            </w:r>
          </w:p>
        </w:tc>
      </w:tr>
      <w:tr>
        <w:tc>
          <w:tcPr>
            <w:tcW w:type="dxa" w:w="3168"/>
            <w:tcMar>
              <w:top w:w="80" w:type="dxa"/>
              <w:start w:w="120" w:type="dxa"/>
              <w:bottom w:w="80" w:type="dxa"/>
              <w:end w:w="120" w:type="dxa"/>
            </w:tcMar>
            <w:vAlign w:val="center"/>
          </w:tcPr>
          <w:p>
            <w:pPr>
              <w:jc w:val="left"/>
            </w:pPr>
            <w:r>
              <w:rPr>
                <w:rFonts w:ascii="Calibri" w:hAnsi="Calibri"/>
                <w:color w:val="000000"/>
                <w:sz w:val="18"/>
              </w:rPr>
              <w:t>Decision Tree</w:t>
            </w:r>
          </w:p>
        </w:tc>
        <w:tc>
          <w:tcPr>
            <w:tcW w:type="dxa" w:w="1440"/>
            <w:tcMar>
              <w:top w:w="80" w:type="dxa"/>
              <w:start w:w="120" w:type="dxa"/>
              <w:bottom w:w="80" w:type="dxa"/>
              <w:end w:w="120" w:type="dxa"/>
            </w:tcMar>
            <w:vAlign w:val="center"/>
          </w:tcPr>
          <w:p>
            <w:pPr>
              <w:jc w:val="center"/>
            </w:pPr>
            <w:r>
              <w:rPr>
                <w:rFonts w:ascii="Calibri" w:hAnsi="Calibri"/>
                <w:color w:val="000000"/>
                <w:sz w:val="18"/>
              </w:rPr>
              <w:t>0.8361</w:t>
            </w:r>
          </w:p>
        </w:tc>
        <w:tc>
          <w:tcPr>
            <w:tcW w:type="dxa" w:w="1440"/>
            <w:tcMar>
              <w:top w:w="80" w:type="dxa"/>
              <w:start w:w="120" w:type="dxa"/>
              <w:bottom w:w="80" w:type="dxa"/>
              <w:end w:w="120" w:type="dxa"/>
            </w:tcMar>
            <w:vAlign w:val="center"/>
          </w:tcPr>
          <w:p>
            <w:pPr>
              <w:jc w:val="center"/>
            </w:pPr>
            <w:r>
              <w:rPr>
                <w:rFonts w:ascii="Calibri" w:hAnsi="Calibri"/>
                <w:color w:val="000000"/>
                <w:sz w:val="18"/>
              </w:rPr>
              <w:t>0.5728</w:t>
            </w:r>
          </w:p>
        </w:tc>
        <w:tc>
          <w:tcPr>
            <w:tcW w:type="dxa" w:w="1440"/>
            <w:tcMar>
              <w:top w:w="80" w:type="dxa"/>
              <w:start w:w="120" w:type="dxa"/>
              <w:bottom w:w="80" w:type="dxa"/>
              <w:end w:w="120" w:type="dxa"/>
            </w:tcMar>
            <w:vAlign w:val="center"/>
          </w:tcPr>
          <w:p>
            <w:pPr>
              <w:jc w:val="center"/>
            </w:pPr>
            <w:r>
              <w:rPr>
                <w:rFonts w:ascii="Calibri" w:hAnsi="Calibri"/>
                <w:color w:val="000000"/>
                <w:sz w:val="18"/>
              </w:rPr>
              <w:t>0.5695</w:t>
            </w:r>
          </w:p>
        </w:tc>
        <w:tc>
          <w:tcPr>
            <w:tcW w:type="dxa" w:w="1440"/>
            <w:tcMar>
              <w:top w:w="80" w:type="dxa"/>
              <w:start w:w="120" w:type="dxa"/>
              <w:bottom w:w="80" w:type="dxa"/>
              <w:end w:w="120" w:type="dxa"/>
            </w:tcMar>
            <w:vAlign w:val="center"/>
          </w:tcPr>
          <w:p>
            <w:pPr>
              <w:jc w:val="center"/>
            </w:pPr>
            <w:r>
              <w:rPr>
                <w:rFonts w:ascii="Calibri" w:hAnsi="Calibri"/>
                <w:color w:val="000000"/>
                <w:sz w:val="18"/>
              </w:rPr>
              <w:t>0.5705</w:t>
            </w:r>
          </w:p>
        </w:tc>
      </w:tr>
      <w:tr>
        <w:tc>
          <w:tcPr>
            <w:tcW w:type="dxa" w:w="3168"/>
            <w:tcMar>
              <w:top w:w="80" w:type="dxa"/>
              <w:start w:w="120" w:type="dxa"/>
              <w:bottom w:w="80" w:type="dxa"/>
              <w:end w:w="120" w:type="dxa"/>
            </w:tcMar>
            <w:vAlign w:val="center"/>
          </w:tcPr>
          <w:p>
            <w:pPr>
              <w:jc w:val="left"/>
            </w:pPr>
            <w:r>
              <w:rPr>
                <w:rFonts w:ascii="Calibri" w:hAnsi="Calibri"/>
                <w:color w:val="000000"/>
                <w:sz w:val="18"/>
              </w:rPr>
              <w:t>Random Forest</w:t>
            </w:r>
          </w:p>
        </w:tc>
        <w:tc>
          <w:tcPr>
            <w:tcW w:type="dxa" w:w="1440"/>
            <w:tcMar>
              <w:top w:w="80" w:type="dxa"/>
              <w:start w:w="120" w:type="dxa"/>
              <w:bottom w:w="80" w:type="dxa"/>
              <w:end w:w="120" w:type="dxa"/>
            </w:tcMar>
            <w:vAlign w:val="center"/>
          </w:tcPr>
          <w:p>
            <w:pPr>
              <w:jc w:val="center"/>
            </w:pPr>
            <w:r>
              <w:rPr>
                <w:rFonts w:ascii="Calibri" w:hAnsi="Calibri"/>
                <w:color w:val="000000"/>
                <w:sz w:val="18"/>
              </w:rPr>
              <w:t>0.8806</w:t>
            </w:r>
          </w:p>
        </w:tc>
        <w:tc>
          <w:tcPr>
            <w:tcW w:type="dxa" w:w="1440"/>
            <w:tcMar>
              <w:top w:w="80" w:type="dxa"/>
              <w:start w:w="120" w:type="dxa"/>
              <w:bottom w:w="80" w:type="dxa"/>
              <w:end w:w="120" w:type="dxa"/>
            </w:tcMar>
            <w:vAlign w:val="center"/>
          </w:tcPr>
          <w:p>
            <w:pPr>
              <w:jc w:val="center"/>
            </w:pPr>
            <w:r>
              <w:rPr>
                <w:rFonts w:ascii="Calibri" w:hAnsi="Calibri"/>
                <w:color w:val="000000"/>
                <w:sz w:val="18"/>
              </w:rPr>
              <w:t>0.9594</w:t>
            </w:r>
          </w:p>
        </w:tc>
        <w:tc>
          <w:tcPr>
            <w:tcW w:type="dxa" w:w="1440"/>
            <w:tcMar>
              <w:top w:w="80" w:type="dxa"/>
              <w:start w:w="120" w:type="dxa"/>
              <w:bottom w:w="80" w:type="dxa"/>
              <w:end w:w="120" w:type="dxa"/>
            </w:tcMar>
            <w:vAlign w:val="center"/>
          </w:tcPr>
          <w:p>
            <w:pPr>
              <w:jc w:val="center"/>
            </w:pPr>
            <w:r>
              <w:rPr>
                <w:rFonts w:ascii="Calibri" w:hAnsi="Calibri"/>
                <w:color w:val="000000"/>
                <w:sz w:val="18"/>
              </w:rPr>
              <w:t>0.4232</w:t>
            </w:r>
          </w:p>
        </w:tc>
        <w:tc>
          <w:tcPr>
            <w:tcW w:type="dxa" w:w="1440"/>
            <w:tcMar>
              <w:top w:w="80" w:type="dxa"/>
              <w:start w:w="120" w:type="dxa"/>
              <w:bottom w:w="80" w:type="dxa"/>
              <w:end w:w="120" w:type="dxa"/>
            </w:tcMar>
            <w:vAlign w:val="center"/>
          </w:tcPr>
          <w:p>
            <w:pPr>
              <w:jc w:val="center"/>
            </w:pPr>
            <w:r>
              <w:rPr>
                <w:rFonts w:ascii="Calibri" w:hAnsi="Calibri"/>
                <w:color w:val="000000"/>
                <w:sz w:val="18"/>
              </w:rPr>
              <w:t>0.4683</w:t>
            </w:r>
          </w:p>
        </w:tc>
      </w:tr>
      <w:tr>
        <w:tc>
          <w:tcPr>
            <w:tcW w:type="dxa" w:w="3168"/>
            <w:tcMar>
              <w:top w:w="80" w:type="dxa"/>
              <w:start w:w="120" w:type="dxa"/>
              <w:bottom w:w="80" w:type="dxa"/>
              <w:end w:w="120" w:type="dxa"/>
            </w:tcMar>
            <w:vAlign w:val="center"/>
          </w:tcPr>
          <w:p>
            <w:pPr>
              <w:jc w:val="left"/>
            </w:pPr>
            <w:r>
              <w:rPr>
                <w:rFonts w:ascii="Calibri" w:hAnsi="Calibri"/>
                <w:color w:val="000000"/>
                <w:sz w:val="18"/>
              </w:rPr>
              <w:t>K-Nearest Neighbors</w:t>
            </w:r>
          </w:p>
        </w:tc>
        <w:tc>
          <w:tcPr>
            <w:tcW w:type="dxa" w:w="1440"/>
            <w:tcMar>
              <w:top w:w="80" w:type="dxa"/>
              <w:start w:w="120" w:type="dxa"/>
              <w:bottom w:w="80" w:type="dxa"/>
              <w:end w:w="120" w:type="dxa"/>
            </w:tcMar>
            <w:vAlign w:val="center"/>
          </w:tcPr>
          <w:p>
            <w:pPr>
              <w:jc w:val="center"/>
            </w:pPr>
            <w:r>
              <w:rPr>
                <w:rFonts w:ascii="Calibri" w:hAnsi="Calibri"/>
                <w:color w:val="000000"/>
                <w:sz w:val="18"/>
              </w:rPr>
              <w:t>0.9444</w:t>
            </w:r>
          </w:p>
        </w:tc>
        <w:tc>
          <w:tcPr>
            <w:tcW w:type="dxa" w:w="1440"/>
            <w:tcMar>
              <w:top w:w="80" w:type="dxa"/>
              <w:start w:w="120" w:type="dxa"/>
              <w:bottom w:w="80" w:type="dxa"/>
              <w:end w:w="120" w:type="dxa"/>
            </w:tcMar>
            <w:vAlign w:val="center"/>
          </w:tcPr>
          <w:p>
            <w:pPr>
              <w:jc w:val="center"/>
            </w:pPr>
            <w:r>
              <w:rPr>
                <w:rFonts w:ascii="Calibri" w:hAnsi="Calibri"/>
                <w:color w:val="000000"/>
                <w:sz w:val="18"/>
              </w:rPr>
              <w:t>0.9010</w:t>
            </w:r>
          </w:p>
        </w:tc>
        <w:tc>
          <w:tcPr>
            <w:tcW w:type="dxa" w:w="1440"/>
            <w:tcMar>
              <w:top w:w="80" w:type="dxa"/>
              <w:start w:w="120" w:type="dxa"/>
              <w:bottom w:w="80" w:type="dxa"/>
              <w:end w:w="120" w:type="dxa"/>
            </w:tcMar>
            <w:vAlign w:val="center"/>
          </w:tcPr>
          <w:p>
            <w:pPr>
              <w:jc w:val="center"/>
            </w:pPr>
            <w:r>
              <w:rPr>
                <w:rFonts w:ascii="Calibri" w:hAnsi="Calibri"/>
                <w:color w:val="000000"/>
                <w:sz w:val="18"/>
              </w:rPr>
              <w:t>0.7901</w:t>
            </w:r>
          </w:p>
        </w:tc>
        <w:tc>
          <w:tcPr>
            <w:tcW w:type="dxa" w:w="1440"/>
            <w:tcMar>
              <w:top w:w="80" w:type="dxa"/>
              <w:start w:w="120" w:type="dxa"/>
              <w:bottom w:w="80" w:type="dxa"/>
              <w:end w:w="120" w:type="dxa"/>
            </w:tcMar>
            <w:vAlign w:val="center"/>
          </w:tcPr>
          <w:p>
            <w:pPr>
              <w:jc w:val="center"/>
            </w:pPr>
            <w:r>
              <w:rPr>
                <w:rFonts w:ascii="Calibri" w:hAnsi="Calibri"/>
                <w:color w:val="000000"/>
                <w:sz w:val="18"/>
              </w:rPr>
              <w:t>0.8376</w:t>
            </w:r>
          </w:p>
        </w:tc>
      </w:tr>
    </w:tbl>
    <w:p/>
    <w:p>
      <w:pPr>
        <w:spacing w:after="120" w:line="264" w:lineRule="auto"/>
      </w:pPr>
      <w:r>
        <w:rPr>
          <w:rFonts w:ascii="Calibri" w:hAnsi="Calibri"/>
        </w:rPr>
        <w:t>Sabit eşik yaklaşımında sınıflar dengesizdir. Medium Risk sınıfında yoğunlaşma oluştuğu için bazı modeller uç sınıfları yakalamakta zorlanmıştır. Buna rağmen Lojistik Regresyon, risk sınıfının doğrusal skor mantığıyla üretilmiş olmasından dolayı en yüksek F1 performansını sağlamıştır.</w:t>
      </w:r>
    </w:p>
    <w:p>
      <w:pPr>
        <w:pStyle w:val="Heading2"/>
        <w:spacing w:before="160" w:after="80"/>
      </w:pPr>
      <w:r>
        <w:rPr>
          <w:rFonts w:ascii="Calibri" w:hAnsi="Calibri"/>
          <w:b/>
          <w:color w:val="2E74B5"/>
          <w:sz w:val="26"/>
        </w:rPr>
        <w:t>7.3 Yan Model Sonuçları: Kuantil Eşik</w:t>
      </w:r>
    </w:p>
    <w:p>
      <w:pPr>
        <w:pStyle w:val="Heading3"/>
        <w:spacing w:before="160" w:after="80"/>
      </w:pPr>
      <w:r>
        <w:rPr>
          <w:rFonts w:ascii="Calibri" w:hAnsi="Calibri"/>
          <w:b/>
          <w:color w:val="1F4D78"/>
          <w:sz w:val="24"/>
        </w:rPr>
        <w:t>7.3.1 Priority Quantile - Year Olmadan</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3168"/>
            <w:shd w:fill="F2F4F7"/>
            <w:tcMar>
              <w:top w:w="80" w:type="dxa"/>
              <w:start w:w="120" w:type="dxa"/>
              <w:bottom w:w="80" w:type="dxa"/>
              <w:end w:w="120" w:type="dxa"/>
            </w:tcMar>
            <w:vAlign w:val="center"/>
          </w:tcPr>
          <w:p>
            <w:pPr>
              <w:jc w:val="center"/>
            </w:pPr>
            <w:r>
              <w:rPr>
                <w:rFonts w:ascii="Calibri" w:hAnsi="Calibri"/>
                <w:b/>
                <w:color w:val="000000"/>
                <w:sz w:val="18"/>
              </w:rPr>
              <w:t>Model</w:t>
            </w:r>
          </w:p>
        </w:tc>
        <w:tc>
          <w:tcPr>
            <w:tcW w:type="dxa" w:w="1440"/>
            <w:shd w:fill="F2F4F7"/>
            <w:tcMar>
              <w:top w:w="80" w:type="dxa"/>
              <w:start w:w="120" w:type="dxa"/>
              <w:bottom w:w="80" w:type="dxa"/>
              <w:end w:w="120" w:type="dxa"/>
            </w:tcMar>
            <w:vAlign w:val="center"/>
          </w:tcPr>
          <w:p>
            <w:pPr>
              <w:jc w:val="center"/>
            </w:pPr>
            <w:r>
              <w:rPr>
                <w:rFonts w:ascii="Calibri" w:hAnsi="Calibri"/>
                <w:b/>
                <w:color w:val="000000"/>
                <w:sz w:val="18"/>
              </w:rPr>
              <w:t>Accuracy</w:t>
            </w:r>
          </w:p>
        </w:tc>
        <w:tc>
          <w:tcPr>
            <w:tcW w:type="dxa" w:w="1440"/>
            <w:shd w:fill="F2F4F7"/>
            <w:tcMar>
              <w:top w:w="80" w:type="dxa"/>
              <w:start w:w="120" w:type="dxa"/>
              <w:bottom w:w="80" w:type="dxa"/>
              <w:end w:w="120" w:type="dxa"/>
            </w:tcMar>
            <w:vAlign w:val="center"/>
          </w:tcPr>
          <w:p>
            <w:pPr>
              <w:jc w:val="center"/>
            </w:pPr>
            <w:r>
              <w:rPr>
                <w:rFonts w:ascii="Calibri" w:hAnsi="Calibri"/>
                <w:b/>
                <w:color w:val="000000"/>
                <w:sz w:val="18"/>
              </w:rPr>
              <w:t>Precision</w:t>
            </w:r>
          </w:p>
        </w:tc>
        <w:tc>
          <w:tcPr>
            <w:tcW w:type="dxa" w:w="1440"/>
            <w:shd w:fill="F2F4F7"/>
            <w:tcMar>
              <w:top w:w="80" w:type="dxa"/>
              <w:start w:w="120" w:type="dxa"/>
              <w:bottom w:w="80" w:type="dxa"/>
              <w:end w:w="120" w:type="dxa"/>
            </w:tcMar>
            <w:vAlign w:val="center"/>
          </w:tcPr>
          <w:p>
            <w:pPr>
              <w:jc w:val="center"/>
            </w:pPr>
            <w:r>
              <w:rPr>
                <w:rFonts w:ascii="Calibri" w:hAnsi="Calibri"/>
                <w:b/>
                <w:color w:val="000000"/>
                <w:sz w:val="18"/>
              </w:rPr>
              <w:t>Recall</w:t>
            </w:r>
          </w:p>
        </w:tc>
        <w:tc>
          <w:tcPr>
            <w:tcW w:type="dxa" w:w="1440"/>
            <w:shd w:fill="F2F4F7"/>
            <w:tcMar>
              <w:top w:w="80" w:type="dxa"/>
              <w:start w:w="120" w:type="dxa"/>
              <w:bottom w:w="80" w:type="dxa"/>
              <w:end w:w="120" w:type="dxa"/>
            </w:tcMar>
            <w:vAlign w:val="center"/>
          </w:tcPr>
          <w:p>
            <w:pPr>
              <w:jc w:val="center"/>
            </w:pPr>
            <w:r>
              <w:rPr>
                <w:rFonts w:ascii="Calibri" w:hAnsi="Calibri"/>
                <w:b/>
                <w:color w:val="000000"/>
                <w:sz w:val="18"/>
              </w:rPr>
              <w:t>F1</w:t>
            </w:r>
          </w:p>
        </w:tc>
      </w:tr>
      <w:tr>
        <w:tc>
          <w:tcPr>
            <w:tcW w:type="dxa" w:w="3168"/>
            <w:tcMar>
              <w:top w:w="80" w:type="dxa"/>
              <w:start w:w="120" w:type="dxa"/>
              <w:bottom w:w="80" w:type="dxa"/>
              <w:end w:w="120" w:type="dxa"/>
            </w:tcMar>
            <w:vAlign w:val="center"/>
          </w:tcPr>
          <w:p>
            <w:pPr>
              <w:jc w:val="left"/>
            </w:pPr>
            <w:r>
              <w:rPr>
                <w:rFonts w:ascii="Calibri" w:hAnsi="Calibri"/>
                <w:color w:val="000000"/>
                <w:sz w:val="18"/>
              </w:rPr>
              <w:t>Logistic Regression</w:t>
            </w:r>
          </w:p>
        </w:tc>
        <w:tc>
          <w:tcPr>
            <w:tcW w:type="dxa" w:w="1440"/>
            <w:tcMar>
              <w:top w:w="80" w:type="dxa"/>
              <w:start w:w="120" w:type="dxa"/>
              <w:bottom w:w="80" w:type="dxa"/>
              <w:end w:w="120" w:type="dxa"/>
            </w:tcMar>
            <w:vAlign w:val="center"/>
          </w:tcPr>
          <w:p>
            <w:pPr>
              <w:jc w:val="center"/>
            </w:pPr>
            <w:r>
              <w:rPr>
                <w:rFonts w:ascii="Calibri" w:hAnsi="Calibri"/>
                <w:color w:val="000000"/>
                <w:sz w:val="18"/>
              </w:rPr>
              <w:t>0.9944</w:t>
            </w:r>
          </w:p>
        </w:tc>
        <w:tc>
          <w:tcPr>
            <w:tcW w:type="dxa" w:w="1440"/>
            <w:tcMar>
              <w:top w:w="80" w:type="dxa"/>
              <w:start w:w="120" w:type="dxa"/>
              <w:bottom w:w="80" w:type="dxa"/>
              <w:end w:w="120" w:type="dxa"/>
            </w:tcMar>
            <w:vAlign w:val="center"/>
          </w:tcPr>
          <w:p>
            <w:pPr>
              <w:jc w:val="center"/>
            </w:pPr>
            <w:r>
              <w:rPr>
                <w:rFonts w:ascii="Calibri" w:hAnsi="Calibri"/>
                <w:color w:val="000000"/>
                <w:sz w:val="18"/>
              </w:rPr>
              <w:t>0.9945</w:t>
            </w:r>
          </w:p>
        </w:tc>
        <w:tc>
          <w:tcPr>
            <w:tcW w:type="dxa" w:w="1440"/>
            <w:tcMar>
              <w:top w:w="80" w:type="dxa"/>
              <w:start w:w="120" w:type="dxa"/>
              <w:bottom w:w="80" w:type="dxa"/>
              <w:end w:w="120" w:type="dxa"/>
            </w:tcMar>
            <w:vAlign w:val="center"/>
          </w:tcPr>
          <w:p>
            <w:pPr>
              <w:jc w:val="center"/>
            </w:pPr>
            <w:r>
              <w:rPr>
                <w:rFonts w:ascii="Calibri" w:hAnsi="Calibri"/>
                <w:color w:val="000000"/>
                <w:sz w:val="18"/>
              </w:rPr>
              <w:t>0.9944</w:t>
            </w:r>
          </w:p>
        </w:tc>
        <w:tc>
          <w:tcPr>
            <w:tcW w:type="dxa" w:w="1440"/>
            <w:tcMar>
              <w:top w:w="80" w:type="dxa"/>
              <w:start w:w="120" w:type="dxa"/>
              <w:bottom w:w="80" w:type="dxa"/>
              <w:end w:w="120" w:type="dxa"/>
            </w:tcMar>
            <w:vAlign w:val="center"/>
          </w:tcPr>
          <w:p>
            <w:pPr>
              <w:jc w:val="center"/>
            </w:pPr>
            <w:r>
              <w:rPr>
                <w:rFonts w:ascii="Calibri" w:hAnsi="Calibri"/>
                <w:color w:val="000000"/>
                <w:sz w:val="18"/>
              </w:rPr>
              <w:t>0.9944</w:t>
            </w:r>
          </w:p>
        </w:tc>
      </w:tr>
      <w:tr>
        <w:tc>
          <w:tcPr>
            <w:tcW w:type="dxa" w:w="3168"/>
            <w:tcMar>
              <w:top w:w="80" w:type="dxa"/>
              <w:start w:w="120" w:type="dxa"/>
              <w:bottom w:w="80" w:type="dxa"/>
              <w:end w:w="120" w:type="dxa"/>
            </w:tcMar>
            <w:vAlign w:val="center"/>
          </w:tcPr>
          <w:p>
            <w:pPr>
              <w:jc w:val="left"/>
            </w:pPr>
            <w:r>
              <w:rPr>
                <w:rFonts w:ascii="Calibri" w:hAnsi="Calibri"/>
                <w:color w:val="000000"/>
                <w:sz w:val="18"/>
              </w:rPr>
              <w:t>Decision Tree</w:t>
            </w:r>
          </w:p>
        </w:tc>
        <w:tc>
          <w:tcPr>
            <w:tcW w:type="dxa" w:w="1440"/>
            <w:tcMar>
              <w:top w:w="80" w:type="dxa"/>
              <w:start w:w="120" w:type="dxa"/>
              <w:bottom w:w="80" w:type="dxa"/>
              <w:end w:w="120" w:type="dxa"/>
            </w:tcMar>
            <w:vAlign w:val="center"/>
          </w:tcPr>
          <w:p>
            <w:pPr>
              <w:jc w:val="center"/>
            </w:pPr>
            <w:r>
              <w:rPr>
                <w:rFonts w:ascii="Calibri" w:hAnsi="Calibri"/>
                <w:color w:val="000000"/>
                <w:sz w:val="18"/>
              </w:rPr>
              <w:t>0.6944</w:t>
            </w:r>
          </w:p>
        </w:tc>
        <w:tc>
          <w:tcPr>
            <w:tcW w:type="dxa" w:w="1440"/>
            <w:tcMar>
              <w:top w:w="80" w:type="dxa"/>
              <w:start w:w="120" w:type="dxa"/>
              <w:bottom w:w="80" w:type="dxa"/>
              <w:end w:w="120" w:type="dxa"/>
            </w:tcMar>
            <w:vAlign w:val="center"/>
          </w:tcPr>
          <w:p>
            <w:pPr>
              <w:jc w:val="center"/>
            </w:pPr>
            <w:r>
              <w:rPr>
                <w:rFonts w:ascii="Calibri" w:hAnsi="Calibri"/>
                <w:color w:val="000000"/>
                <w:sz w:val="18"/>
              </w:rPr>
              <w:t>0.6885</w:t>
            </w:r>
          </w:p>
        </w:tc>
        <w:tc>
          <w:tcPr>
            <w:tcW w:type="dxa" w:w="1440"/>
            <w:tcMar>
              <w:top w:w="80" w:type="dxa"/>
              <w:start w:w="120" w:type="dxa"/>
              <w:bottom w:w="80" w:type="dxa"/>
              <w:end w:w="120" w:type="dxa"/>
            </w:tcMar>
            <w:vAlign w:val="center"/>
          </w:tcPr>
          <w:p>
            <w:pPr>
              <w:jc w:val="center"/>
            </w:pPr>
            <w:r>
              <w:rPr>
                <w:rFonts w:ascii="Calibri" w:hAnsi="Calibri"/>
                <w:color w:val="000000"/>
                <w:sz w:val="18"/>
              </w:rPr>
              <w:t>0.6935</w:t>
            </w:r>
          </w:p>
        </w:tc>
        <w:tc>
          <w:tcPr>
            <w:tcW w:type="dxa" w:w="1440"/>
            <w:tcMar>
              <w:top w:w="80" w:type="dxa"/>
              <w:start w:w="120" w:type="dxa"/>
              <w:bottom w:w="80" w:type="dxa"/>
              <w:end w:w="120" w:type="dxa"/>
            </w:tcMar>
            <w:vAlign w:val="center"/>
          </w:tcPr>
          <w:p>
            <w:pPr>
              <w:jc w:val="center"/>
            </w:pPr>
            <w:r>
              <w:rPr>
                <w:rFonts w:ascii="Calibri" w:hAnsi="Calibri"/>
                <w:color w:val="000000"/>
                <w:sz w:val="18"/>
              </w:rPr>
              <w:t>0.6903</w:t>
            </w:r>
          </w:p>
        </w:tc>
      </w:tr>
      <w:tr>
        <w:tc>
          <w:tcPr>
            <w:tcW w:type="dxa" w:w="3168"/>
            <w:tcMar>
              <w:top w:w="80" w:type="dxa"/>
              <w:start w:w="120" w:type="dxa"/>
              <w:bottom w:w="80" w:type="dxa"/>
              <w:end w:w="120" w:type="dxa"/>
            </w:tcMar>
            <w:vAlign w:val="center"/>
          </w:tcPr>
          <w:p>
            <w:pPr>
              <w:jc w:val="left"/>
            </w:pPr>
            <w:r>
              <w:rPr>
                <w:rFonts w:ascii="Calibri" w:hAnsi="Calibri"/>
                <w:color w:val="000000"/>
                <w:sz w:val="18"/>
              </w:rPr>
              <w:t>Random Forest</w:t>
            </w:r>
          </w:p>
        </w:tc>
        <w:tc>
          <w:tcPr>
            <w:tcW w:type="dxa" w:w="1440"/>
            <w:tcMar>
              <w:top w:w="80" w:type="dxa"/>
              <w:start w:w="120" w:type="dxa"/>
              <w:bottom w:w="80" w:type="dxa"/>
              <w:end w:w="120" w:type="dxa"/>
            </w:tcMar>
            <w:vAlign w:val="center"/>
          </w:tcPr>
          <w:p>
            <w:pPr>
              <w:jc w:val="center"/>
            </w:pPr>
            <w:r>
              <w:rPr>
                <w:rFonts w:ascii="Calibri" w:hAnsi="Calibri"/>
                <w:color w:val="000000"/>
                <w:sz w:val="18"/>
              </w:rPr>
              <w:t>0.8556</w:t>
            </w:r>
          </w:p>
        </w:tc>
        <w:tc>
          <w:tcPr>
            <w:tcW w:type="dxa" w:w="1440"/>
            <w:tcMar>
              <w:top w:w="80" w:type="dxa"/>
              <w:start w:w="120" w:type="dxa"/>
              <w:bottom w:w="80" w:type="dxa"/>
              <w:end w:w="120" w:type="dxa"/>
            </w:tcMar>
            <w:vAlign w:val="center"/>
          </w:tcPr>
          <w:p>
            <w:pPr>
              <w:jc w:val="center"/>
            </w:pPr>
            <w:r>
              <w:rPr>
                <w:rFonts w:ascii="Calibri" w:hAnsi="Calibri"/>
                <w:color w:val="000000"/>
                <w:sz w:val="18"/>
              </w:rPr>
              <w:t>0.8569</w:t>
            </w:r>
          </w:p>
        </w:tc>
        <w:tc>
          <w:tcPr>
            <w:tcW w:type="dxa" w:w="1440"/>
            <w:tcMar>
              <w:top w:w="80" w:type="dxa"/>
              <w:start w:w="120" w:type="dxa"/>
              <w:bottom w:w="80" w:type="dxa"/>
              <w:end w:w="120" w:type="dxa"/>
            </w:tcMar>
            <w:vAlign w:val="center"/>
          </w:tcPr>
          <w:p>
            <w:pPr>
              <w:jc w:val="center"/>
            </w:pPr>
            <w:r>
              <w:rPr>
                <w:rFonts w:ascii="Calibri" w:hAnsi="Calibri"/>
                <w:color w:val="000000"/>
                <w:sz w:val="18"/>
              </w:rPr>
              <w:t>0.8552</w:t>
            </w:r>
          </w:p>
        </w:tc>
        <w:tc>
          <w:tcPr>
            <w:tcW w:type="dxa" w:w="1440"/>
            <w:tcMar>
              <w:top w:w="80" w:type="dxa"/>
              <w:start w:w="120" w:type="dxa"/>
              <w:bottom w:w="80" w:type="dxa"/>
              <w:end w:w="120" w:type="dxa"/>
            </w:tcMar>
            <w:vAlign w:val="center"/>
          </w:tcPr>
          <w:p>
            <w:pPr>
              <w:jc w:val="center"/>
            </w:pPr>
            <w:r>
              <w:rPr>
                <w:rFonts w:ascii="Calibri" w:hAnsi="Calibri"/>
                <w:color w:val="000000"/>
                <w:sz w:val="18"/>
              </w:rPr>
              <w:t>0.8559</w:t>
            </w:r>
          </w:p>
        </w:tc>
      </w:tr>
      <w:tr>
        <w:tc>
          <w:tcPr>
            <w:tcW w:type="dxa" w:w="3168"/>
            <w:tcMar>
              <w:top w:w="80" w:type="dxa"/>
              <w:start w:w="120" w:type="dxa"/>
              <w:bottom w:w="80" w:type="dxa"/>
              <w:end w:w="120" w:type="dxa"/>
            </w:tcMar>
            <w:vAlign w:val="center"/>
          </w:tcPr>
          <w:p>
            <w:pPr>
              <w:jc w:val="left"/>
            </w:pPr>
            <w:r>
              <w:rPr>
                <w:rFonts w:ascii="Calibri" w:hAnsi="Calibri"/>
                <w:color w:val="000000"/>
                <w:sz w:val="18"/>
              </w:rPr>
              <w:t>K-Nearest Neighbors</w:t>
            </w:r>
          </w:p>
        </w:tc>
        <w:tc>
          <w:tcPr>
            <w:tcW w:type="dxa" w:w="1440"/>
            <w:tcMar>
              <w:top w:w="80" w:type="dxa"/>
              <w:start w:w="120" w:type="dxa"/>
              <w:bottom w:w="80" w:type="dxa"/>
              <w:end w:w="120" w:type="dxa"/>
            </w:tcMar>
            <w:vAlign w:val="center"/>
          </w:tcPr>
          <w:p>
            <w:pPr>
              <w:jc w:val="center"/>
            </w:pPr>
            <w:r>
              <w:rPr>
                <w:rFonts w:ascii="Calibri" w:hAnsi="Calibri"/>
                <w:color w:val="000000"/>
                <w:sz w:val="18"/>
              </w:rPr>
              <w:t>0.8222</w:t>
            </w:r>
          </w:p>
        </w:tc>
        <w:tc>
          <w:tcPr>
            <w:tcW w:type="dxa" w:w="1440"/>
            <w:tcMar>
              <w:top w:w="80" w:type="dxa"/>
              <w:start w:w="120" w:type="dxa"/>
              <w:bottom w:w="80" w:type="dxa"/>
              <w:end w:w="120" w:type="dxa"/>
            </w:tcMar>
            <w:vAlign w:val="center"/>
          </w:tcPr>
          <w:p>
            <w:pPr>
              <w:jc w:val="center"/>
            </w:pPr>
            <w:r>
              <w:rPr>
                <w:rFonts w:ascii="Calibri" w:hAnsi="Calibri"/>
                <w:color w:val="000000"/>
                <w:sz w:val="18"/>
              </w:rPr>
              <w:t>0.8206</w:t>
            </w:r>
          </w:p>
        </w:tc>
        <w:tc>
          <w:tcPr>
            <w:tcW w:type="dxa" w:w="1440"/>
            <w:tcMar>
              <w:top w:w="80" w:type="dxa"/>
              <w:start w:w="120" w:type="dxa"/>
              <w:bottom w:w="80" w:type="dxa"/>
              <w:end w:w="120" w:type="dxa"/>
            </w:tcMar>
            <w:vAlign w:val="center"/>
          </w:tcPr>
          <w:p>
            <w:pPr>
              <w:jc w:val="center"/>
            </w:pPr>
            <w:r>
              <w:rPr>
                <w:rFonts w:ascii="Calibri" w:hAnsi="Calibri"/>
                <w:color w:val="000000"/>
                <w:sz w:val="18"/>
              </w:rPr>
              <w:t>0.8219</w:t>
            </w:r>
          </w:p>
        </w:tc>
        <w:tc>
          <w:tcPr>
            <w:tcW w:type="dxa" w:w="1440"/>
            <w:tcMar>
              <w:top w:w="80" w:type="dxa"/>
              <w:start w:w="120" w:type="dxa"/>
              <w:bottom w:w="80" w:type="dxa"/>
              <w:end w:w="120" w:type="dxa"/>
            </w:tcMar>
            <w:vAlign w:val="center"/>
          </w:tcPr>
          <w:p>
            <w:pPr>
              <w:jc w:val="center"/>
            </w:pPr>
            <w:r>
              <w:rPr>
                <w:rFonts w:ascii="Calibri" w:hAnsi="Calibri"/>
                <w:color w:val="000000"/>
                <w:sz w:val="18"/>
              </w:rPr>
              <w:t>0.8193</w:t>
            </w:r>
          </w:p>
        </w:tc>
      </w:tr>
    </w:tbl>
    <w:p/>
    <w:p>
      <w:pPr>
        <w:pStyle w:val="Heading3"/>
        <w:spacing w:before="160" w:after="80"/>
      </w:pPr>
      <w:r>
        <w:rPr>
          <w:rFonts w:ascii="Calibri" w:hAnsi="Calibri"/>
          <w:b/>
          <w:color w:val="1F4D78"/>
          <w:sz w:val="24"/>
        </w:rPr>
        <w:t>7.3.2 Equal Quantile - Year Olmadan</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3168"/>
            <w:shd w:fill="F2F4F7"/>
            <w:tcMar>
              <w:top w:w="80" w:type="dxa"/>
              <w:start w:w="120" w:type="dxa"/>
              <w:bottom w:w="80" w:type="dxa"/>
              <w:end w:w="120" w:type="dxa"/>
            </w:tcMar>
            <w:vAlign w:val="center"/>
          </w:tcPr>
          <w:p>
            <w:pPr>
              <w:jc w:val="center"/>
            </w:pPr>
            <w:r>
              <w:rPr>
                <w:rFonts w:ascii="Calibri" w:hAnsi="Calibri"/>
                <w:b/>
                <w:color w:val="000000"/>
                <w:sz w:val="18"/>
              </w:rPr>
              <w:t>Model</w:t>
            </w:r>
          </w:p>
        </w:tc>
        <w:tc>
          <w:tcPr>
            <w:tcW w:type="dxa" w:w="1440"/>
            <w:shd w:fill="F2F4F7"/>
            <w:tcMar>
              <w:top w:w="80" w:type="dxa"/>
              <w:start w:w="120" w:type="dxa"/>
              <w:bottom w:w="80" w:type="dxa"/>
              <w:end w:w="120" w:type="dxa"/>
            </w:tcMar>
            <w:vAlign w:val="center"/>
          </w:tcPr>
          <w:p>
            <w:pPr>
              <w:jc w:val="center"/>
            </w:pPr>
            <w:r>
              <w:rPr>
                <w:rFonts w:ascii="Calibri" w:hAnsi="Calibri"/>
                <w:b/>
                <w:color w:val="000000"/>
                <w:sz w:val="18"/>
              </w:rPr>
              <w:t>Accuracy</w:t>
            </w:r>
          </w:p>
        </w:tc>
        <w:tc>
          <w:tcPr>
            <w:tcW w:type="dxa" w:w="1440"/>
            <w:shd w:fill="F2F4F7"/>
            <w:tcMar>
              <w:top w:w="80" w:type="dxa"/>
              <w:start w:w="120" w:type="dxa"/>
              <w:bottom w:w="80" w:type="dxa"/>
              <w:end w:w="120" w:type="dxa"/>
            </w:tcMar>
            <w:vAlign w:val="center"/>
          </w:tcPr>
          <w:p>
            <w:pPr>
              <w:jc w:val="center"/>
            </w:pPr>
            <w:r>
              <w:rPr>
                <w:rFonts w:ascii="Calibri" w:hAnsi="Calibri"/>
                <w:b/>
                <w:color w:val="000000"/>
                <w:sz w:val="18"/>
              </w:rPr>
              <w:t>Precision</w:t>
            </w:r>
          </w:p>
        </w:tc>
        <w:tc>
          <w:tcPr>
            <w:tcW w:type="dxa" w:w="1440"/>
            <w:shd w:fill="F2F4F7"/>
            <w:tcMar>
              <w:top w:w="80" w:type="dxa"/>
              <w:start w:w="120" w:type="dxa"/>
              <w:bottom w:w="80" w:type="dxa"/>
              <w:end w:w="120" w:type="dxa"/>
            </w:tcMar>
            <w:vAlign w:val="center"/>
          </w:tcPr>
          <w:p>
            <w:pPr>
              <w:jc w:val="center"/>
            </w:pPr>
            <w:r>
              <w:rPr>
                <w:rFonts w:ascii="Calibri" w:hAnsi="Calibri"/>
                <w:b/>
                <w:color w:val="000000"/>
                <w:sz w:val="18"/>
              </w:rPr>
              <w:t>Recall</w:t>
            </w:r>
          </w:p>
        </w:tc>
        <w:tc>
          <w:tcPr>
            <w:tcW w:type="dxa" w:w="1440"/>
            <w:shd w:fill="F2F4F7"/>
            <w:tcMar>
              <w:top w:w="80" w:type="dxa"/>
              <w:start w:w="120" w:type="dxa"/>
              <w:bottom w:w="80" w:type="dxa"/>
              <w:end w:w="120" w:type="dxa"/>
            </w:tcMar>
            <w:vAlign w:val="center"/>
          </w:tcPr>
          <w:p>
            <w:pPr>
              <w:jc w:val="center"/>
            </w:pPr>
            <w:r>
              <w:rPr>
                <w:rFonts w:ascii="Calibri" w:hAnsi="Calibri"/>
                <w:b/>
                <w:color w:val="000000"/>
                <w:sz w:val="18"/>
              </w:rPr>
              <w:t>F1</w:t>
            </w:r>
          </w:p>
        </w:tc>
      </w:tr>
      <w:tr>
        <w:tc>
          <w:tcPr>
            <w:tcW w:type="dxa" w:w="3168"/>
            <w:tcMar>
              <w:top w:w="80" w:type="dxa"/>
              <w:start w:w="120" w:type="dxa"/>
              <w:bottom w:w="80" w:type="dxa"/>
              <w:end w:w="120" w:type="dxa"/>
            </w:tcMar>
            <w:vAlign w:val="center"/>
          </w:tcPr>
          <w:p>
            <w:pPr>
              <w:jc w:val="left"/>
            </w:pPr>
            <w:r>
              <w:rPr>
                <w:rFonts w:ascii="Calibri" w:hAnsi="Calibri"/>
                <w:color w:val="000000"/>
                <w:sz w:val="18"/>
              </w:rPr>
              <w:t>Logistic Regression</w:t>
            </w:r>
          </w:p>
        </w:tc>
        <w:tc>
          <w:tcPr>
            <w:tcW w:type="dxa" w:w="1440"/>
            <w:tcMar>
              <w:top w:w="80" w:type="dxa"/>
              <w:start w:w="120" w:type="dxa"/>
              <w:bottom w:w="80" w:type="dxa"/>
              <w:end w:w="120" w:type="dxa"/>
            </w:tcMar>
            <w:vAlign w:val="center"/>
          </w:tcPr>
          <w:p>
            <w:pPr>
              <w:jc w:val="center"/>
            </w:pPr>
            <w:r>
              <w:rPr>
                <w:rFonts w:ascii="Calibri" w:hAnsi="Calibri"/>
                <w:color w:val="000000"/>
                <w:sz w:val="18"/>
              </w:rPr>
              <w:t>1.0000</w:t>
            </w:r>
          </w:p>
        </w:tc>
        <w:tc>
          <w:tcPr>
            <w:tcW w:type="dxa" w:w="1440"/>
            <w:tcMar>
              <w:top w:w="80" w:type="dxa"/>
              <w:start w:w="120" w:type="dxa"/>
              <w:bottom w:w="80" w:type="dxa"/>
              <w:end w:w="120" w:type="dxa"/>
            </w:tcMar>
            <w:vAlign w:val="center"/>
          </w:tcPr>
          <w:p>
            <w:pPr>
              <w:jc w:val="center"/>
            </w:pPr>
            <w:r>
              <w:rPr>
                <w:rFonts w:ascii="Calibri" w:hAnsi="Calibri"/>
                <w:color w:val="000000"/>
                <w:sz w:val="18"/>
              </w:rPr>
              <w:t>1.0000</w:t>
            </w:r>
          </w:p>
        </w:tc>
        <w:tc>
          <w:tcPr>
            <w:tcW w:type="dxa" w:w="1440"/>
            <w:tcMar>
              <w:top w:w="80" w:type="dxa"/>
              <w:start w:w="120" w:type="dxa"/>
              <w:bottom w:w="80" w:type="dxa"/>
              <w:end w:w="120" w:type="dxa"/>
            </w:tcMar>
            <w:vAlign w:val="center"/>
          </w:tcPr>
          <w:p>
            <w:pPr>
              <w:jc w:val="center"/>
            </w:pPr>
            <w:r>
              <w:rPr>
                <w:rFonts w:ascii="Calibri" w:hAnsi="Calibri"/>
                <w:color w:val="000000"/>
                <w:sz w:val="18"/>
              </w:rPr>
              <w:t>1.0000</w:t>
            </w:r>
          </w:p>
        </w:tc>
        <w:tc>
          <w:tcPr>
            <w:tcW w:type="dxa" w:w="1440"/>
            <w:tcMar>
              <w:top w:w="80" w:type="dxa"/>
              <w:start w:w="120" w:type="dxa"/>
              <w:bottom w:w="80" w:type="dxa"/>
              <w:end w:w="120" w:type="dxa"/>
            </w:tcMar>
            <w:vAlign w:val="center"/>
          </w:tcPr>
          <w:p>
            <w:pPr>
              <w:jc w:val="center"/>
            </w:pPr>
            <w:r>
              <w:rPr>
                <w:rFonts w:ascii="Calibri" w:hAnsi="Calibri"/>
                <w:color w:val="000000"/>
                <w:sz w:val="18"/>
              </w:rPr>
              <w:t>1.0000</w:t>
            </w:r>
          </w:p>
        </w:tc>
      </w:tr>
      <w:tr>
        <w:tc>
          <w:tcPr>
            <w:tcW w:type="dxa" w:w="3168"/>
            <w:tcMar>
              <w:top w:w="80" w:type="dxa"/>
              <w:start w:w="120" w:type="dxa"/>
              <w:bottom w:w="80" w:type="dxa"/>
              <w:end w:w="120" w:type="dxa"/>
            </w:tcMar>
            <w:vAlign w:val="center"/>
          </w:tcPr>
          <w:p>
            <w:pPr>
              <w:jc w:val="left"/>
            </w:pPr>
            <w:r>
              <w:rPr>
                <w:rFonts w:ascii="Calibri" w:hAnsi="Calibri"/>
                <w:color w:val="000000"/>
                <w:sz w:val="18"/>
              </w:rPr>
              <w:t>Decision Tree</w:t>
            </w:r>
          </w:p>
        </w:tc>
        <w:tc>
          <w:tcPr>
            <w:tcW w:type="dxa" w:w="1440"/>
            <w:tcMar>
              <w:top w:w="80" w:type="dxa"/>
              <w:start w:w="120" w:type="dxa"/>
              <w:bottom w:w="80" w:type="dxa"/>
              <w:end w:w="120" w:type="dxa"/>
            </w:tcMar>
            <w:vAlign w:val="center"/>
          </w:tcPr>
          <w:p>
            <w:pPr>
              <w:jc w:val="center"/>
            </w:pPr>
            <w:r>
              <w:rPr>
                <w:rFonts w:ascii="Calibri" w:hAnsi="Calibri"/>
                <w:color w:val="000000"/>
                <w:sz w:val="18"/>
              </w:rPr>
              <w:t>0.6333</w:t>
            </w:r>
          </w:p>
        </w:tc>
        <w:tc>
          <w:tcPr>
            <w:tcW w:type="dxa" w:w="1440"/>
            <w:tcMar>
              <w:top w:w="80" w:type="dxa"/>
              <w:start w:w="120" w:type="dxa"/>
              <w:bottom w:w="80" w:type="dxa"/>
              <w:end w:w="120" w:type="dxa"/>
            </w:tcMar>
            <w:vAlign w:val="center"/>
          </w:tcPr>
          <w:p>
            <w:pPr>
              <w:jc w:val="center"/>
            </w:pPr>
            <w:r>
              <w:rPr>
                <w:rFonts w:ascii="Calibri" w:hAnsi="Calibri"/>
                <w:color w:val="000000"/>
                <w:sz w:val="18"/>
              </w:rPr>
              <w:t>0.6351</w:t>
            </w:r>
          </w:p>
        </w:tc>
        <w:tc>
          <w:tcPr>
            <w:tcW w:type="dxa" w:w="1440"/>
            <w:tcMar>
              <w:top w:w="80" w:type="dxa"/>
              <w:start w:w="120" w:type="dxa"/>
              <w:bottom w:w="80" w:type="dxa"/>
              <w:end w:w="120" w:type="dxa"/>
            </w:tcMar>
            <w:vAlign w:val="center"/>
          </w:tcPr>
          <w:p>
            <w:pPr>
              <w:jc w:val="center"/>
            </w:pPr>
            <w:r>
              <w:rPr>
                <w:rFonts w:ascii="Calibri" w:hAnsi="Calibri"/>
                <w:color w:val="000000"/>
                <w:sz w:val="18"/>
              </w:rPr>
              <w:t>0.6328</w:t>
            </w:r>
          </w:p>
        </w:tc>
        <w:tc>
          <w:tcPr>
            <w:tcW w:type="dxa" w:w="1440"/>
            <w:tcMar>
              <w:top w:w="80" w:type="dxa"/>
              <w:start w:w="120" w:type="dxa"/>
              <w:bottom w:w="80" w:type="dxa"/>
              <w:end w:w="120" w:type="dxa"/>
            </w:tcMar>
            <w:vAlign w:val="center"/>
          </w:tcPr>
          <w:p>
            <w:pPr>
              <w:jc w:val="center"/>
            </w:pPr>
            <w:r>
              <w:rPr>
                <w:rFonts w:ascii="Calibri" w:hAnsi="Calibri"/>
                <w:color w:val="000000"/>
                <w:sz w:val="18"/>
              </w:rPr>
              <w:t>0.6339</w:t>
            </w:r>
          </w:p>
        </w:tc>
      </w:tr>
      <w:tr>
        <w:tc>
          <w:tcPr>
            <w:tcW w:type="dxa" w:w="3168"/>
            <w:tcMar>
              <w:top w:w="80" w:type="dxa"/>
              <w:start w:w="120" w:type="dxa"/>
              <w:bottom w:w="80" w:type="dxa"/>
              <w:end w:w="120" w:type="dxa"/>
            </w:tcMar>
            <w:vAlign w:val="center"/>
          </w:tcPr>
          <w:p>
            <w:pPr>
              <w:jc w:val="left"/>
            </w:pPr>
            <w:r>
              <w:rPr>
                <w:rFonts w:ascii="Calibri" w:hAnsi="Calibri"/>
                <w:color w:val="000000"/>
                <w:sz w:val="18"/>
              </w:rPr>
              <w:t>Random Forest</w:t>
            </w:r>
          </w:p>
        </w:tc>
        <w:tc>
          <w:tcPr>
            <w:tcW w:type="dxa" w:w="1440"/>
            <w:tcMar>
              <w:top w:w="80" w:type="dxa"/>
              <w:start w:w="120" w:type="dxa"/>
              <w:bottom w:w="80" w:type="dxa"/>
              <w:end w:w="120" w:type="dxa"/>
            </w:tcMar>
            <w:vAlign w:val="center"/>
          </w:tcPr>
          <w:p>
            <w:pPr>
              <w:jc w:val="center"/>
            </w:pPr>
            <w:r>
              <w:rPr>
                <w:rFonts w:ascii="Calibri" w:hAnsi="Calibri"/>
                <w:color w:val="000000"/>
                <w:sz w:val="18"/>
              </w:rPr>
              <w:t>0.8611</w:t>
            </w:r>
          </w:p>
        </w:tc>
        <w:tc>
          <w:tcPr>
            <w:tcW w:type="dxa" w:w="1440"/>
            <w:tcMar>
              <w:top w:w="80" w:type="dxa"/>
              <w:start w:w="120" w:type="dxa"/>
              <w:bottom w:w="80" w:type="dxa"/>
              <w:end w:w="120" w:type="dxa"/>
            </w:tcMar>
            <w:vAlign w:val="center"/>
          </w:tcPr>
          <w:p>
            <w:pPr>
              <w:jc w:val="center"/>
            </w:pPr>
            <w:r>
              <w:rPr>
                <w:rFonts w:ascii="Calibri" w:hAnsi="Calibri"/>
                <w:color w:val="000000"/>
                <w:sz w:val="18"/>
              </w:rPr>
              <w:t>0.8587</w:t>
            </w:r>
          </w:p>
        </w:tc>
        <w:tc>
          <w:tcPr>
            <w:tcW w:type="dxa" w:w="1440"/>
            <w:tcMar>
              <w:top w:w="80" w:type="dxa"/>
              <w:start w:w="120" w:type="dxa"/>
              <w:bottom w:w="80" w:type="dxa"/>
              <w:end w:w="120" w:type="dxa"/>
            </w:tcMar>
            <w:vAlign w:val="center"/>
          </w:tcPr>
          <w:p>
            <w:pPr>
              <w:jc w:val="center"/>
            </w:pPr>
            <w:r>
              <w:rPr>
                <w:rFonts w:ascii="Calibri" w:hAnsi="Calibri"/>
                <w:color w:val="000000"/>
                <w:sz w:val="18"/>
              </w:rPr>
              <w:t>0.8602</w:t>
            </w:r>
          </w:p>
        </w:tc>
        <w:tc>
          <w:tcPr>
            <w:tcW w:type="dxa" w:w="1440"/>
            <w:tcMar>
              <w:top w:w="80" w:type="dxa"/>
              <w:start w:w="120" w:type="dxa"/>
              <w:bottom w:w="80" w:type="dxa"/>
              <w:end w:w="120" w:type="dxa"/>
            </w:tcMar>
            <w:vAlign w:val="center"/>
          </w:tcPr>
          <w:p>
            <w:pPr>
              <w:jc w:val="center"/>
            </w:pPr>
            <w:r>
              <w:rPr>
                <w:rFonts w:ascii="Calibri" w:hAnsi="Calibri"/>
                <w:color w:val="000000"/>
                <w:sz w:val="18"/>
              </w:rPr>
              <w:t>0.8579</w:t>
            </w:r>
          </w:p>
        </w:tc>
      </w:tr>
      <w:tr>
        <w:tc>
          <w:tcPr>
            <w:tcW w:type="dxa" w:w="3168"/>
            <w:tcMar>
              <w:top w:w="80" w:type="dxa"/>
              <w:start w:w="120" w:type="dxa"/>
              <w:bottom w:w="80" w:type="dxa"/>
              <w:end w:w="120" w:type="dxa"/>
            </w:tcMar>
            <w:vAlign w:val="center"/>
          </w:tcPr>
          <w:p>
            <w:pPr>
              <w:jc w:val="left"/>
            </w:pPr>
            <w:r>
              <w:rPr>
                <w:rFonts w:ascii="Calibri" w:hAnsi="Calibri"/>
                <w:color w:val="000000"/>
                <w:sz w:val="18"/>
              </w:rPr>
              <w:t>K-Nearest Neighbors</w:t>
            </w:r>
          </w:p>
        </w:tc>
        <w:tc>
          <w:tcPr>
            <w:tcW w:type="dxa" w:w="1440"/>
            <w:tcMar>
              <w:top w:w="80" w:type="dxa"/>
              <w:start w:w="120" w:type="dxa"/>
              <w:bottom w:w="80" w:type="dxa"/>
              <w:end w:w="120" w:type="dxa"/>
            </w:tcMar>
            <w:vAlign w:val="center"/>
          </w:tcPr>
          <w:p>
            <w:pPr>
              <w:jc w:val="center"/>
            </w:pPr>
            <w:r>
              <w:rPr>
                <w:rFonts w:ascii="Calibri" w:hAnsi="Calibri"/>
                <w:color w:val="000000"/>
                <w:sz w:val="18"/>
              </w:rPr>
              <w:t>0.7722</w:t>
            </w:r>
          </w:p>
        </w:tc>
        <w:tc>
          <w:tcPr>
            <w:tcW w:type="dxa" w:w="1440"/>
            <w:tcMar>
              <w:top w:w="80" w:type="dxa"/>
              <w:start w:w="120" w:type="dxa"/>
              <w:bottom w:w="80" w:type="dxa"/>
              <w:end w:w="120" w:type="dxa"/>
            </w:tcMar>
            <w:vAlign w:val="center"/>
          </w:tcPr>
          <w:p>
            <w:pPr>
              <w:jc w:val="center"/>
            </w:pPr>
            <w:r>
              <w:rPr>
                <w:rFonts w:ascii="Calibri" w:hAnsi="Calibri"/>
                <w:color w:val="000000"/>
                <w:sz w:val="18"/>
              </w:rPr>
              <w:t>0.7677</w:t>
            </w:r>
          </w:p>
        </w:tc>
        <w:tc>
          <w:tcPr>
            <w:tcW w:type="dxa" w:w="1440"/>
            <w:tcMar>
              <w:top w:w="80" w:type="dxa"/>
              <w:start w:w="120" w:type="dxa"/>
              <w:bottom w:w="80" w:type="dxa"/>
              <w:end w:w="120" w:type="dxa"/>
            </w:tcMar>
            <w:vAlign w:val="center"/>
          </w:tcPr>
          <w:p>
            <w:pPr>
              <w:jc w:val="center"/>
            </w:pPr>
            <w:r>
              <w:rPr>
                <w:rFonts w:ascii="Calibri" w:hAnsi="Calibri"/>
                <w:color w:val="000000"/>
                <w:sz w:val="18"/>
              </w:rPr>
              <w:t>0.7713</w:t>
            </w:r>
          </w:p>
        </w:tc>
        <w:tc>
          <w:tcPr>
            <w:tcW w:type="dxa" w:w="1440"/>
            <w:tcMar>
              <w:top w:w="80" w:type="dxa"/>
              <w:start w:w="120" w:type="dxa"/>
              <w:bottom w:w="80" w:type="dxa"/>
              <w:end w:w="120" w:type="dxa"/>
            </w:tcMar>
            <w:vAlign w:val="center"/>
          </w:tcPr>
          <w:p>
            <w:pPr>
              <w:jc w:val="center"/>
            </w:pPr>
            <w:r>
              <w:rPr>
                <w:rFonts w:ascii="Calibri" w:hAnsi="Calibri"/>
                <w:color w:val="000000"/>
                <w:sz w:val="18"/>
              </w:rPr>
              <w:t>0.7688</w:t>
            </w:r>
          </w:p>
        </w:tc>
      </w:tr>
    </w:tbl>
    <w:p/>
    <w:p>
      <w:pPr>
        <w:spacing w:after="120" w:line="264" w:lineRule="auto"/>
      </w:pPr>
      <w:r>
        <w:rPr>
          <w:rFonts w:ascii="Calibri" w:hAnsi="Calibri"/>
        </w:rPr>
        <w:t>Kuantil eşik yaklaşımı sınıfları dengeli hale getirdiği için Random Forest ve KNN gibi modellerin performansı daha kararlı görünmektedir. Lojistik Regresyon ise hem sabit hem kuantil eşiklerde en başarılı modeldir.</w:t>
      </w:r>
    </w:p>
    <w:p>
      <w:pPr>
        <w:jc w:val="center"/>
      </w:pPr>
      <w:r>
        <w:drawing>
          <wp:inline xmlns:a="http://schemas.openxmlformats.org/drawingml/2006/main" xmlns:pic="http://schemas.openxmlformats.org/drawingml/2006/picture">
            <wp:extent cx="5486400" cy="3657600"/>
            <wp:docPr id="9" name="Picture 9"/>
            <wp:cNvGraphicFramePr>
              <a:graphicFrameLocks noChangeAspect="1"/>
            </wp:cNvGraphicFramePr>
            <a:graphic>
              <a:graphicData uri="http://schemas.openxmlformats.org/drawingml/2006/picture">
                <pic:pic>
                  <pic:nvPicPr>
                    <pic:cNvPr id="0" name="confusion_matrices_priority_fixed_without_year.png"/>
                    <pic:cNvPicPr/>
                  </pic:nvPicPr>
                  <pic:blipFill>
                    <a:blip r:embed="rId17"/>
                    <a:stretch>
                      <a:fillRect/>
                    </a:stretch>
                  </pic:blipFill>
                  <pic:spPr>
                    <a:xfrm>
                      <a:off x="0" y="0"/>
                      <a:ext cx="5486400" cy="3657600"/>
                    </a:xfrm>
                    <a:prstGeom prst="rect"/>
                  </pic:spPr>
                </pic:pic>
              </a:graphicData>
            </a:graphic>
          </wp:inline>
        </w:drawing>
      </w:r>
    </w:p>
    <w:p>
      <w:pPr>
        <w:spacing w:before="40" w:after="160"/>
        <w:jc w:val="center"/>
      </w:pPr>
      <w:r>
        <w:rPr>
          <w:rFonts w:ascii="Calibri" w:hAnsi="Calibri"/>
          <w:i/>
          <w:color w:val="585858"/>
          <w:sz w:val="18"/>
        </w:rPr>
        <w:t>Şekil 8. Priority Fixed hedefi için confusion matrix sonuçları.</w:t>
      </w:r>
    </w:p>
    <w:p>
      <w:pPr>
        <w:jc w:val="center"/>
      </w:pPr>
      <w:r>
        <w:drawing>
          <wp:inline xmlns:a="http://schemas.openxmlformats.org/drawingml/2006/main" xmlns:pic="http://schemas.openxmlformats.org/drawingml/2006/picture">
            <wp:extent cx="5486400" cy="3657600"/>
            <wp:docPr id="10" name="Picture 10"/>
            <wp:cNvGraphicFramePr>
              <a:graphicFrameLocks noChangeAspect="1"/>
            </wp:cNvGraphicFramePr>
            <a:graphic>
              <a:graphicData uri="http://schemas.openxmlformats.org/drawingml/2006/picture">
                <pic:pic>
                  <pic:nvPicPr>
                    <pic:cNvPr id="0" name="confusion_matrices_equal_fixed_without_year.png"/>
                    <pic:cNvPicPr/>
                  </pic:nvPicPr>
                  <pic:blipFill>
                    <a:blip r:embed="rId18"/>
                    <a:stretch>
                      <a:fillRect/>
                    </a:stretch>
                  </pic:blipFill>
                  <pic:spPr>
                    <a:xfrm>
                      <a:off x="0" y="0"/>
                      <a:ext cx="5486400" cy="3657600"/>
                    </a:xfrm>
                    <a:prstGeom prst="rect"/>
                  </pic:spPr>
                </pic:pic>
              </a:graphicData>
            </a:graphic>
          </wp:inline>
        </w:drawing>
      </w:r>
    </w:p>
    <w:p>
      <w:pPr>
        <w:spacing w:before="40" w:after="160"/>
        <w:jc w:val="center"/>
      </w:pPr>
      <w:r>
        <w:rPr>
          <w:rFonts w:ascii="Calibri" w:hAnsi="Calibri"/>
          <w:i/>
          <w:color w:val="585858"/>
          <w:sz w:val="18"/>
        </w:rPr>
        <w:t>Şekil 9. Equal Fixed hedefi için confusion matrix sonuçları.</w:t>
      </w:r>
    </w:p>
    <w:p>
      <w:pPr>
        <w:jc w:val="center"/>
      </w:pPr>
      <w:r>
        <w:drawing>
          <wp:inline xmlns:a="http://schemas.openxmlformats.org/drawingml/2006/main" xmlns:pic="http://schemas.openxmlformats.org/drawingml/2006/picture">
            <wp:extent cx="5486400" cy="3657600"/>
            <wp:docPr id="11" name="Picture 11"/>
            <wp:cNvGraphicFramePr>
              <a:graphicFrameLocks noChangeAspect="1"/>
            </wp:cNvGraphicFramePr>
            <a:graphic>
              <a:graphicData uri="http://schemas.openxmlformats.org/drawingml/2006/picture">
                <pic:pic>
                  <pic:nvPicPr>
                    <pic:cNvPr id="0" name="confusion_matrices_priority_quantile_without_year.png"/>
                    <pic:cNvPicPr/>
                  </pic:nvPicPr>
                  <pic:blipFill>
                    <a:blip r:embed="rId19"/>
                    <a:stretch>
                      <a:fillRect/>
                    </a:stretch>
                  </pic:blipFill>
                  <pic:spPr>
                    <a:xfrm>
                      <a:off x="0" y="0"/>
                      <a:ext cx="5486400" cy="3657600"/>
                    </a:xfrm>
                    <a:prstGeom prst="rect"/>
                  </pic:spPr>
                </pic:pic>
              </a:graphicData>
            </a:graphic>
          </wp:inline>
        </w:drawing>
      </w:r>
    </w:p>
    <w:p>
      <w:pPr>
        <w:spacing w:before="40" w:after="160"/>
        <w:jc w:val="center"/>
      </w:pPr>
      <w:r>
        <w:rPr>
          <w:rFonts w:ascii="Calibri" w:hAnsi="Calibri"/>
          <w:i/>
          <w:color w:val="585858"/>
          <w:sz w:val="18"/>
        </w:rPr>
        <w:t>Şekil 10. Priority Quantile hedefi için confusion matrix sonuçları.</w:t>
      </w:r>
    </w:p>
    <w:p>
      <w:pPr>
        <w:jc w:val="center"/>
      </w:pPr>
      <w:r>
        <w:drawing>
          <wp:inline xmlns:a="http://schemas.openxmlformats.org/drawingml/2006/main" xmlns:pic="http://schemas.openxmlformats.org/drawingml/2006/picture">
            <wp:extent cx="5394960" cy="3236976"/>
            <wp:docPr id="12" name="Picture 12"/>
            <wp:cNvGraphicFramePr>
              <a:graphicFrameLocks noChangeAspect="1"/>
            </wp:cNvGraphicFramePr>
            <a:graphic>
              <a:graphicData uri="http://schemas.openxmlformats.org/drawingml/2006/picture">
                <pic:pic>
                  <pic:nvPicPr>
                    <pic:cNvPr id="0" name="rf_feature_importance_priority_fixed_without_year.png"/>
                    <pic:cNvPicPr/>
                  </pic:nvPicPr>
                  <pic:blipFill>
                    <a:blip r:embed="rId20"/>
                    <a:stretch>
                      <a:fillRect/>
                    </a:stretch>
                  </pic:blipFill>
                  <pic:spPr>
                    <a:xfrm>
                      <a:off x="0" y="0"/>
                      <a:ext cx="5394960" cy="3236976"/>
                    </a:xfrm>
                    <a:prstGeom prst="rect"/>
                  </pic:spPr>
                </pic:pic>
              </a:graphicData>
            </a:graphic>
          </wp:inline>
        </w:drawing>
      </w:r>
    </w:p>
    <w:p>
      <w:pPr>
        <w:spacing w:before="40" w:after="160"/>
        <w:jc w:val="center"/>
      </w:pPr>
      <w:r>
        <w:rPr>
          <w:rFonts w:ascii="Calibri" w:hAnsi="Calibri"/>
          <w:i/>
          <w:color w:val="585858"/>
          <w:sz w:val="18"/>
        </w:rPr>
        <w:t>Şekil 11. Priority Fixed Random Forest değişken önemleri.</w:t>
      </w:r>
    </w:p>
    <w:p>
      <w:pPr>
        <w:jc w:val="center"/>
      </w:pPr>
      <w:r>
        <w:drawing>
          <wp:inline xmlns:a="http://schemas.openxmlformats.org/drawingml/2006/main" xmlns:pic="http://schemas.openxmlformats.org/drawingml/2006/picture">
            <wp:extent cx="5394960" cy="3236976"/>
            <wp:docPr id="13" name="Picture 13"/>
            <wp:cNvGraphicFramePr>
              <a:graphicFrameLocks noChangeAspect="1"/>
            </wp:cNvGraphicFramePr>
            <a:graphic>
              <a:graphicData uri="http://schemas.openxmlformats.org/drawingml/2006/picture">
                <pic:pic>
                  <pic:nvPicPr>
                    <pic:cNvPr id="0" name="rf_feature_importance_equal_quantile_without_year.png"/>
                    <pic:cNvPicPr/>
                  </pic:nvPicPr>
                  <pic:blipFill>
                    <a:blip r:embed="rId21"/>
                    <a:stretch>
                      <a:fillRect/>
                    </a:stretch>
                  </pic:blipFill>
                  <pic:spPr>
                    <a:xfrm>
                      <a:off x="0" y="0"/>
                      <a:ext cx="5394960" cy="3236976"/>
                    </a:xfrm>
                    <a:prstGeom prst="rect"/>
                  </pic:spPr>
                </pic:pic>
              </a:graphicData>
            </a:graphic>
          </wp:inline>
        </w:drawing>
      </w:r>
    </w:p>
    <w:p>
      <w:pPr>
        <w:spacing w:before="40" w:after="160"/>
        <w:jc w:val="center"/>
      </w:pPr>
      <w:r>
        <w:rPr>
          <w:rFonts w:ascii="Calibri" w:hAnsi="Calibri"/>
          <w:i/>
          <w:color w:val="585858"/>
          <w:sz w:val="18"/>
        </w:rPr>
        <w:t>Şekil 12. Equal Quantile Random Forest değişken önemleri.</w:t>
      </w:r>
    </w:p>
    <w:p>
      <w:pPr>
        <w:pStyle w:val="Heading2"/>
        <w:spacing w:before="160" w:after="80"/>
      </w:pPr>
      <w:r>
        <w:rPr>
          <w:rFonts w:ascii="Calibri" w:hAnsi="Calibri"/>
          <w:b/>
          <w:color w:val="2E74B5"/>
          <w:sz w:val="26"/>
        </w:rPr>
        <w:t>7.4 Ana Model ve Yan Model Karşılaştırması</w:t>
      </w:r>
    </w:p>
    <w:tbl>
      <w:tblPr>
        <w:tblStyle w:val="TableGrid"/>
        <w:tblW w:type="auto" w:w="0"/>
        <w:tblLayout w:type="fixed"/>
        <w:tblLook w:firstColumn="1" w:firstRow="1" w:lastColumn="0" w:lastRow="0" w:noHBand="0" w:noVBand="1" w:val="04A0"/>
      </w:tblPr>
      <w:tblGrid>
        <w:gridCol w:w="3120"/>
        <w:gridCol w:w="3120"/>
        <w:gridCol w:w="3120"/>
      </w:tblGrid>
      <w:tr>
        <w:tc>
          <w:tcPr>
            <w:tcW w:type="dxa" w:w="2448"/>
            <w:shd w:fill="F2F4F7"/>
            <w:tcMar>
              <w:top w:w="80" w:type="dxa"/>
              <w:start w:w="120" w:type="dxa"/>
              <w:bottom w:w="80" w:type="dxa"/>
              <w:end w:w="120" w:type="dxa"/>
            </w:tcMar>
            <w:vAlign w:val="center"/>
          </w:tcPr>
          <w:p>
            <w:pPr>
              <w:jc w:val="center"/>
            </w:pPr>
            <w:r>
              <w:rPr>
                <w:rFonts w:ascii="Calibri" w:hAnsi="Calibri"/>
                <w:b/>
                <w:color w:val="000000"/>
                <w:sz w:val="17"/>
              </w:rPr>
              <w:t>Kriter</w:t>
            </w:r>
          </w:p>
        </w:tc>
        <w:tc>
          <w:tcPr>
            <w:tcW w:type="dxa" w:w="3456"/>
            <w:shd w:fill="F2F4F7"/>
            <w:tcMar>
              <w:top w:w="80" w:type="dxa"/>
              <w:start w:w="120" w:type="dxa"/>
              <w:bottom w:w="80" w:type="dxa"/>
              <w:end w:w="120" w:type="dxa"/>
            </w:tcMar>
            <w:vAlign w:val="center"/>
          </w:tcPr>
          <w:p>
            <w:pPr>
              <w:jc w:val="center"/>
            </w:pPr>
            <w:r>
              <w:rPr>
                <w:rFonts w:ascii="Calibri" w:hAnsi="Calibri"/>
                <w:b/>
                <w:color w:val="000000"/>
                <w:sz w:val="17"/>
              </w:rPr>
              <w:t>Sabit Eşik</w:t>
            </w:r>
          </w:p>
        </w:tc>
        <w:tc>
          <w:tcPr>
            <w:tcW w:type="dxa" w:w="3456"/>
            <w:shd w:fill="F2F4F7"/>
            <w:tcMar>
              <w:top w:w="80" w:type="dxa"/>
              <w:start w:w="120" w:type="dxa"/>
              <w:bottom w:w="80" w:type="dxa"/>
              <w:end w:w="120" w:type="dxa"/>
            </w:tcMar>
            <w:vAlign w:val="center"/>
          </w:tcPr>
          <w:p>
            <w:pPr>
              <w:jc w:val="center"/>
            </w:pPr>
            <w:r>
              <w:rPr>
                <w:rFonts w:ascii="Calibri" w:hAnsi="Calibri"/>
                <w:b/>
                <w:color w:val="000000"/>
                <w:sz w:val="17"/>
              </w:rPr>
              <w:t>Kuantil Eşik</w:t>
            </w:r>
          </w:p>
        </w:tc>
      </w:tr>
      <w:tr>
        <w:tc>
          <w:tcPr>
            <w:tcW w:type="dxa" w:w="2448"/>
            <w:tcMar>
              <w:top w:w="80" w:type="dxa"/>
              <w:start w:w="120" w:type="dxa"/>
              <w:bottom w:w="80" w:type="dxa"/>
              <w:end w:w="120" w:type="dxa"/>
            </w:tcMar>
            <w:vAlign w:val="center"/>
          </w:tcPr>
          <w:p>
            <w:pPr>
              <w:jc w:val="left"/>
            </w:pPr>
            <w:r>
              <w:rPr>
                <w:rFonts w:ascii="Calibri" w:hAnsi="Calibri"/>
                <w:color w:val="000000"/>
                <w:sz w:val="17"/>
              </w:rPr>
              <w:t>Sınıf dengesi</w:t>
            </w:r>
          </w:p>
        </w:tc>
        <w:tc>
          <w:tcPr>
            <w:tcW w:type="dxa" w:w="3456"/>
            <w:tcMar>
              <w:top w:w="80" w:type="dxa"/>
              <w:start w:w="120" w:type="dxa"/>
              <w:bottom w:w="80" w:type="dxa"/>
              <w:end w:w="120" w:type="dxa"/>
            </w:tcMar>
            <w:vAlign w:val="center"/>
          </w:tcPr>
          <w:p>
            <w:pPr>
              <w:jc w:val="center"/>
            </w:pPr>
            <w:r>
              <w:rPr>
                <w:rFonts w:ascii="Calibri" w:hAnsi="Calibri"/>
                <w:color w:val="000000"/>
                <w:sz w:val="17"/>
              </w:rPr>
              <w:t>Medium sınıfına yığılma vardır.</w:t>
            </w:r>
          </w:p>
        </w:tc>
        <w:tc>
          <w:tcPr>
            <w:tcW w:type="dxa" w:w="3456"/>
            <w:tcMar>
              <w:top w:w="80" w:type="dxa"/>
              <w:start w:w="120" w:type="dxa"/>
              <w:bottom w:w="80" w:type="dxa"/>
              <w:end w:w="120" w:type="dxa"/>
            </w:tcMar>
            <w:vAlign w:val="center"/>
          </w:tcPr>
          <w:p>
            <w:pPr>
              <w:jc w:val="center"/>
            </w:pPr>
            <w:r>
              <w:rPr>
                <w:rFonts w:ascii="Calibri" w:hAnsi="Calibri"/>
                <w:color w:val="000000"/>
                <w:sz w:val="17"/>
              </w:rPr>
              <w:t>Yaklaşık dengeli dağılım üretir.</w:t>
            </w:r>
          </w:p>
        </w:tc>
      </w:tr>
      <w:tr>
        <w:tc>
          <w:tcPr>
            <w:tcW w:type="dxa" w:w="2448"/>
            <w:tcMar>
              <w:top w:w="80" w:type="dxa"/>
              <w:start w:w="120" w:type="dxa"/>
              <w:bottom w:w="80" w:type="dxa"/>
              <w:end w:w="120" w:type="dxa"/>
            </w:tcMar>
            <w:vAlign w:val="center"/>
          </w:tcPr>
          <w:p>
            <w:pPr>
              <w:jc w:val="left"/>
            </w:pPr>
            <w:r>
              <w:rPr>
                <w:rFonts w:ascii="Calibri" w:hAnsi="Calibri"/>
                <w:color w:val="000000"/>
                <w:sz w:val="17"/>
              </w:rPr>
              <w:t>Yorumlanabilirlik</w:t>
            </w:r>
          </w:p>
        </w:tc>
        <w:tc>
          <w:tcPr>
            <w:tcW w:type="dxa" w:w="3456"/>
            <w:tcMar>
              <w:top w:w="80" w:type="dxa"/>
              <w:start w:w="120" w:type="dxa"/>
              <w:bottom w:w="80" w:type="dxa"/>
              <w:end w:w="120" w:type="dxa"/>
            </w:tcMar>
            <w:vAlign w:val="center"/>
          </w:tcPr>
          <w:p>
            <w:pPr>
              <w:jc w:val="center"/>
            </w:pPr>
            <w:r>
              <w:rPr>
                <w:rFonts w:ascii="Calibri" w:hAnsi="Calibri"/>
                <w:color w:val="000000"/>
                <w:sz w:val="17"/>
              </w:rPr>
              <w:t>0-1 skor aralığında sezgisel sınırlar sunar.</w:t>
            </w:r>
          </w:p>
        </w:tc>
        <w:tc>
          <w:tcPr>
            <w:tcW w:type="dxa" w:w="3456"/>
            <w:tcMar>
              <w:top w:w="80" w:type="dxa"/>
              <w:start w:w="120" w:type="dxa"/>
              <w:bottom w:w="80" w:type="dxa"/>
              <w:end w:w="120" w:type="dxa"/>
            </w:tcMar>
            <w:vAlign w:val="center"/>
          </w:tcPr>
          <w:p>
            <w:pPr>
              <w:jc w:val="center"/>
            </w:pPr>
            <w:r>
              <w:rPr>
                <w:rFonts w:ascii="Calibri" w:hAnsi="Calibri"/>
                <w:color w:val="000000"/>
                <w:sz w:val="17"/>
              </w:rPr>
              <w:t>Veri seti içi göreli sıralamayı öne çıkarır.</w:t>
            </w:r>
          </w:p>
        </w:tc>
      </w:tr>
      <w:tr>
        <w:tc>
          <w:tcPr>
            <w:tcW w:type="dxa" w:w="2448"/>
            <w:tcMar>
              <w:top w:w="80" w:type="dxa"/>
              <w:start w:w="120" w:type="dxa"/>
              <w:bottom w:w="80" w:type="dxa"/>
              <w:end w:w="120" w:type="dxa"/>
            </w:tcMar>
            <w:vAlign w:val="center"/>
          </w:tcPr>
          <w:p>
            <w:pPr>
              <w:jc w:val="left"/>
            </w:pPr>
            <w:r>
              <w:rPr>
                <w:rFonts w:ascii="Calibri" w:hAnsi="Calibri"/>
                <w:color w:val="000000"/>
                <w:sz w:val="17"/>
              </w:rPr>
              <w:t>En iyi model</w:t>
            </w:r>
          </w:p>
        </w:tc>
        <w:tc>
          <w:tcPr>
            <w:tcW w:type="dxa" w:w="3456"/>
            <w:tcMar>
              <w:top w:w="80" w:type="dxa"/>
              <w:start w:w="120" w:type="dxa"/>
              <w:bottom w:w="80" w:type="dxa"/>
              <w:end w:w="120" w:type="dxa"/>
            </w:tcMar>
            <w:vAlign w:val="center"/>
          </w:tcPr>
          <w:p>
            <w:pPr>
              <w:jc w:val="center"/>
            </w:pPr>
            <w:r>
              <w:rPr>
                <w:rFonts w:ascii="Calibri" w:hAnsi="Calibri"/>
                <w:color w:val="000000"/>
                <w:sz w:val="17"/>
              </w:rPr>
              <w:t>Logistic Regression</w:t>
            </w:r>
          </w:p>
        </w:tc>
        <w:tc>
          <w:tcPr>
            <w:tcW w:type="dxa" w:w="3456"/>
            <w:tcMar>
              <w:top w:w="80" w:type="dxa"/>
              <w:start w:w="120" w:type="dxa"/>
              <w:bottom w:w="80" w:type="dxa"/>
              <w:end w:w="120" w:type="dxa"/>
            </w:tcMar>
            <w:vAlign w:val="center"/>
          </w:tcPr>
          <w:p>
            <w:pPr>
              <w:jc w:val="center"/>
            </w:pPr>
            <w:r>
              <w:rPr>
                <w:rFonts w:ascii="Calibri" w:hAnsi="Calibri"/>
                <w:color w:val="000000"/>
                <w:sz w:val="17"/>
              </w:rPr>
              <w:t>Logistic Regression</w:t>
            </w:r>
          </w:p>
        </w:tc>
      </w:tr>
      <w:tr>
        <w:tc>
          <w:tcPr>
            <w:tcW w:type="dxa" w:w="2448"/>
            <w:tcMar>
              <w:top w:w="80" w:type="dxa"/>
              <w:start w:w="120" w:type="dxa"/>
              <w:bottom w:w="80" w:type="dxa"/>
              <w:end w:w="120" w:type="dxa"/>
            </w:tcMar>
            <w:vAlign w:val="center"/>
          </w:tcPr>
          <w:p>
            <w:pPr>
              <w:jc w:val="left"/>
            </w:pPr>
            <w:r>
              <w:rPr>
                <w:rFonts w:ascii="Calibri" w:hAnsi="Calibri"/>
                <w:color w:val="000000"/>
                <w:sz w:val="17"/>
              </w:rPr>
              <w:t>Ağaç modelleri</w:t>
            </w:r>
          </w:p>
        </w:tc>
        <w:tc>
          <w:tcPr>
            <w:tcW w:type="dxa" w:w="3456"/>
            <w:tcMar>
              <w:top w:w="80" w:type="dxa"/>
              <w:start w:w="120" w:type="dxa"/>
              <w:bottom w:w="80" w:type="dxa"/>
              <w:end w:w="120" w:type="dxa"/>
            </w:tcMar>
            <w:vAlign w:val="center"/>
          </w:tcPr>
          <w:p>
            <w:pPr>
              <w:jc w:val="center"/>
            </w:pPr>
            <w:r>
              <w:rPr>
                <w:rFonts w:ascii="Calibri" w:hAnsi="Calibri"/>
                <w:color w:val="000000"/>
                <w:sz w:val="17"/>
              </w:rPr>
              <w:t>Dengesiz sınıflardan etkilenir.</w:t>
            </w:r>
          </w:p>
        </w:tc>
        <w:tc>
          <w:tcPr>
            <w:tcW w:type="dxa" w:w="3456"/>
            <w:tcMar>
              <w:top w:w="80" w:type="dxa"/>
              <w:start w:w="120" w:type="dxa"/>
              <w:bottom w:w="80" w:type="dxa"/>
              <w:end w:w="120" w:type="dxa"/>
            </w:tcMar>
            <w:vAlign w:val="center"/>
          </w:tcPr>
          <w:p>
            <w:pPr>
              <w:jc w:val="center"/>
            </w:pPr>
            <w:r>
              <w:rPr>
                <w:rFonts w:ascii="Calibri" w:hAnsi="Calibri"/>
                <w:color w:val="000000"/>
                <w:sz w:val="17"/>
              </w:rPr>
              <w:t>Dengeli sınıflarda daha kararlı sonuç verir.</w:t>
            </w:r>
          </w:p>
        </w:tc>
      </w:tr>
      <w:tr>
        <w:tc>
          <w:tcPr>
            <w:tcW w:type="dxa" w:w="2448"/>
            <w:tcMar>
              <w:top w:w="80" w:type="dxa"/>
              <w:start w:w="120" w:type="dxa"/>
              <w:bottom w:w="80" w:type="dxa"/>
              <w:end w:w="120" w:type="dxa"/>
            </w:tcMar>
            <w:vAlign w:val="center"/>
          </w:tcPr>
          <w:p>
            <w:pPr>
              <w:jc w:val="left"/>
            </w:pPr>
            <w:r>
              <w:rPr>
                <w:rFonts w:ascii="Calibri" w:hAnsi="Calibri"/>
                <w:color w:val="000000"/>
                <w:sz w:val="17"/>
              </w:rPr>
              <w:t>Metodolojik rol</w:t>
            </w:r>
          </w:p>
        </w:tc>
        <w:tc>
          <w:tcPr>
            <w:tcW w:type="dxa" w:w="3456"/>
            <w:tcMar>
              <w:top w:w="80" w:type="dxa"/>
              <w:start w:w="120" w:type="dxa"/>
              <w:bottom w:w="80" w:type="dxa"/>
              <w:end w:w="120" w:type="dxa"/>
            </w:tcMar>
            <w:vAlign w:val="center"/>
          </w:tcPr>
          <w:p>
            <w:pPr>
              <w:jc w:val="center"/>
            </w:pPr>
            <w:r>
              <w:rPr>
                <w:rFonts w:ascii="Calibri" w:hAnsi="Calibri"/>
                <w:color w:val="000000"/>
                <w:sz w:val="17"/>
              </w:rPr>
              <w:t>Ana model olarak sunulmuştur.</w:t>
            </w:r>
          </w:p>
        </w:tc>
        <w:tc>
          <w:tcPr>
            <w:tcW w:type="dxa" w:w="3456"/>
            <w:tcMar>
              <w:top w:w="80" w:type="dxa"/>
              <w:start w:w="120" w:type="dxa"/>
              <w:bottom w:w="80" w:type="dxa"/>
              <w:end w:w="120" w:type="dxa"/>
            </w:tcMar>
            <w:vAlign w:val="center"/>
          </w:tcPr>
          <w:p>
            <w:pPr>
              <w:jc w:val="center"/>
            </w:pPr>
            <w:r>
              <w:rPr>
                <w:rFonts w:ascii="Calibri" w:hAnsi="Calibri"/>
                <w:color w:val="000000"/>
                <w:sz w:val="17"/>
              </w:rPr>
              <w:t>Yan/karşılaştırmalı model olarak sunulmuştur.</w:t>
            </w:r>
          </w:p>
        </w:tc>
      </w:tr>
    </w:tbl>
    <w:p/>
    <w:p>
      <w:pPr>
        <w:pStyle w:val="Heading2"/>
        <w:spacing w:before="160" w:after="80"/>
      </w:pPr>
      <w:r>
        <w:rPr>
          <w:rFonts w:ascii="Calibri" w:hAnsi="Calibri"/>
          <w:b/>
          <w:color w:val="2E74B5"/>
          <w:sz w:val="26"/>
        </w:rPr>
        <w:t>7.5 Year Değişkeninin Etkisi</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2448"/>
            <w:shd w:fill="F2F4F7"/>
            <w:tcMar>
              <w:top w:w="80" w:type="dxa"/>
              <w:start w:w="120" w:type="dxa"/>
              <w:bottom w:w="80" w:type="dxa"/>
              <w:end w:w="120" w:type="dxa"/>
            </w:tcMar>
            <w:vAlign w:val="center"/>
          </w:tcPr>
          <w:p>
            <w:pPr>
              <w:jc w:val="center"/>
            </w:pPr>
            <w:r>
              <w:rPr>
                <w:rFonts w:ascii="Calibri" w:hAnsi="Calibri"/>
                <w:b/>
                <w:color w:val="000000"/>
                <w:sz w:val="17"/>
              </w:rPr>
              <w:t>Hedef</w:t>
            </w:r>
          </w:p>
        </w:tc>
        <w:tc>
          <w:tcPr>
            <w:tcW w:type="dxa" w:w="2880"/>
            <w:shd w:fill="F2F4F7"/>
            <w:tcMar>
              <w:top w:w="80" w:type="dxa"/>
              <w:start w:w="120" w:type="dxa"/>
              <w:bottom w:w="80" w:type="dxa"/>
              <w:end w:w="120" w:type="dxa"/>
            </w:tcMar>
            <w:vAlign w:val="center"/>
          </w:tcPr>
          <w:p>
            <w:pPr>
              <w:jc w:val="center"/>
            </w:pPr>
            <w:r>
              <w:rPr>
                <w:rFonts w:ascii="Calibri" w:hAnsi="Calibri"/>
                <w:b/>
                <w:color w:val="000000"/>
                <w:sz w:val="17"/>
              </w:rPr>
              <w:t>Model</w:t>
            </w:r>
          </w:p>
        </w:tc>
        <w:tc>
          <w:tcPr>
            <w:tcW w:type="dxa" w:w="1440"/>
            <w:shd w:fill="F2F4F7"/>
            <w:tcMar>
              <w:top w:w="80" w:type="dxa"/>
              <w:start w:w="120" w:type="dxa"/>
              <w:bottom w:w="80" w:type="dxa"/>
              <w:end w:w="120" w:type="dxa"/>
            </w:tcMar>
            <w:vAlign w:val="center"/>
          </w:tcPr>
          <w:p>
            <w:pPr>
              <w:jc w:val="center"/>
            </w:pPr>
            <w:r>
              <w:rPr>
                <w:rFonts w:ascii="Calibri" w:hAnsi="Calibri"/>
                <w:b/>
                <w:color w:val="000000"/>
                <w:sz w:val="17"/>
              </w:rPr>
              <w:t>Year Yok F1</w:t>
            </w:r>
          </w:p>
        </w:tc>
        <w:tc>
          <w:tcPr>
            <w:tcW w:type="dxa" w:w="1440"/>
            <w:shd w:fill="F2F4F7"/>
            <w:tcMar>
              <w:top w:w="80" w:type="dxa"/>
              <w:start w:w="120" w:type="dxa"/>
              <w:bottom w:w="80" w:type="dxa"/>
              <w:end w:w="120" w:type="dxa"/>
            </w:tcMar>
            <w:vAlign w:val="center"/>
          </w:tcPr>
          <w:p>
            <w:pPr>
              <w:jc w:val="center"/>
            </w:pPr>
            <w:r>
              <w:rPr>
                <w:rFonts w:ascii="Calibri" w:hAnsi="Calibri"/>
                <w:b/>
                <w:color w:val="000000"/>
                <w:sz w:val="17"/>
              </w:rPr>
              <w:t>Year Var F1</w:t>
            </w:r>
          </w:p>
        </w:tc>
        <w:tc>
          <w:tcPr>
            <w:tcW w:type="dxa" w:w="1152"/>
            <w:shd w:fill="F2F4F7"/>
            <w:tcMar>
              <w:top w:w="80" w:type="dxa"/>
              <w:start w:w="120" w:type="dxa"/>
              <w:bottom w:w="80" w:type="dxa"/>
              <w:end w:w="120" w:type="dxa"/>
            </w:tcMar>
            <w:vAlign w:val="center"/>
          </w:tcPr>
          <w:p>
            <w:pPr>
              <w:jc w:val="center"/>
            </w:pPr>
            <w:r>
              <w:rPr>
                <w:rFonts w:ascii="Calibri" w:hAnsi="Calibri"/>
                <w:b/>
                <w:color w:val="000000"/>
                <w:sz w:val="17"/>
              </w:rPr>
              <w:t>Fark</w:t>
            </w:r>
          </w:p>
        </w:tc>
      </w:tr>
      <w:tr>
        <w:tc>
          <w:tcPr>
            <w:tcW w:type="dxa" w:w="2448"/>
            <w:tcMar>
              <w:top w:w="80" w:type="dxa"/>
              <w:start w:w="120" w:type="dxa"/>
              <w:bottom w:w="80" w:type="dxa"/>
              <w:end w:w="120" w:type="dxa"/>
            </w:tcMar>
            <w:vAlign w:val="center"/>
          </w:tcPr>
          <w:p>
            <w:pPr>
              <w:jc w:val="left"/>
            </w:pPr>
            <w:r>
              <w:rPr>
                <w:rFonts w:ascii="Calibri" w:hAnsi="Calibri"/>
                <w:color w:val="000000"/>
                <w:sz w:val="17"/>
              </w:rPr>
              <w:t>Priority Fixed</w:t>
            </w:r>
          </w:p>
        </w:tc>
        <w:tc>
          <w:tcPr>
            <w:tcW w:type="dxa" w:w="2880"/>
            <w:tcMar>
              <w:top w:w="80" w:type="dxa"/>
              <w:start w:w="120" w:type="dxa"/>
              <w:bottom w:w="80" w:type="dxa"/>
              <w:end w:w="120" w:type="dxa"/>
            </w:tcMar>
            <w:vAlign w:val="center"/>
          </w:tcPr>
          <w:p>
            <w:pPr>
              <w:jc w:val="center"/>
            </w:pPr>
            <w:r>
              <w:rPr>
                <w:rFonts w:ascii="Calibri" w:hAnsi="Calibri"/>
                <w:color w:val="000000"/>
                <w:sz w:val="17"/>
              </w:rPr>
              <w:t>Logistic Regression</w:t>
            </w:r>
          </w:p>
        </w:tc>
        <w:tc>
          <w:tcPr>
            <w:tcW w:type="dxa" w:w="1440"/>
            <w:tcMar>
              <w:top w:w="80" w:type="dxa"/>
              <w:start w:w="120" w:type="dxa"/>
              <w:bottom w:w="80" w:type="dxa"/>
              <w:end w:w="120" w:type="dxa"/>
            </w:tcMar>
            <w:vAlign w:val="center"/>
          </w:tcPr>
          <w:p>
            <w:pPr>
              <w:jc w:val="center"/>
            </w:pPr>
            <w:r>
              <w:rPr>
                <w:rFonts w:ascii="Calibri" w:hAnsi="Calibri"/>
                <w:color w:val="000000"/>
                <w:sz w:val="17"/>
              </w:rPr>
              <w:t>0.9644</w:t>
            </w:r>
          </w:p>
        </w:tc>
        <w:tc>
          <w:tcPr>
            <w:tcW w:type="dxa" w:w="1440"/>
            <w:tcMar>
              <w:top w:w="80" w:type="dxa"/>
              <w:start w:w="120" w:type="dxa"/>
              <w:bottom w:w="80" w:type="dxa"/>
              <w:end w:w="120" w:type="dxa"/>
            </w:tcMar>
            <w:vAlign w:val="center"/>
          </w:tcPr>
          <w:p>
            <w:pPr>
              <w:jc w:val="center"/>
            </w:pPr>
            <w:r>
              <w:rPr>
                <w:rFonts w:ascii="Calibri" w:hAnsi="Calibri"/>
                <w:color w:val="000000"/>
                <w:sz w:val="17"/>
              </w:rPr>
              <w:t>0.9573</w:t>
            </w:r>
          </w:p>
        </w:tc>
        <w:tc>
          <w:tcPr>
            <w:tcW w:type="dxa" w:w="1152"/>
            <w:tcMar>
              <w:top w:w="80" w:type="dxa"/>
              <w:start w:w="120" w:type="dxa"/>
              <w:bottom w:w="80" w:type="dxa"/>
              <w:end w:w="120" w:type="dxa"/>
            </w:tcMar>
            <w:vAlign w:val="center"/>
          </w:tcPr>
          <w:p>
            <w:pPr>
              <w:jc w:val="center"/>
            </w:pPr>
            <w:r>
              <w:rPr>
                <w:rFonts w:ascii="Calibri" w:hAnsi="Calibri"/>
                <w:color w:val="000000"/>
                <w:sz w:val="17"/>
              </w:rPr>
              <w:t>-0.0071</w:t>
            </w:r>
          </w:p>
        </w:tc>
      </w:tr>
      <w:tr>
        <w:tc>
          <w:tcPr>
            <w:tcW w:type="dxa" w:w="2448"/>
            <w:tcMar>
              <w:top w:w="80" w:type="dxa"/>
              <w:start w:w="120" w:type="dxa"/>
              <w:bottom w:w="80" w:type="dxa"/>
              <w:end w:w="120" w:type="dxa"/>
            </w:tcMar>
            <w:vAlign w:val="center"/>
          </w:tcPr>
          <w:p>
            <w:pPr>
              <w:jc w:val="left"/>
            </w:pPr>
            <w:r>
              <w:rPr>
                <w:rFonts w:ascii="Calibri" w:hAnsi="Calibri"/>
                <w:color w:val="000000"/>
                <w:sz w:val="17"/>
              </w:rPr>
              <w:t>Priority Fixed</w:t>
            </w:r>
          </w:p>
        </w:tc>
        <w:tc>
          <w:tcPr>
            <w:tcW w:type="dxa" w:w="2880"/>
            <w:tcMar>
              <w:top w:w="80" w:type="dxa"/>
              <w:start w:w="120" w:type="dxa"/>
              <w:bottom w:w="80" w:type="dxa"/>
              <w:end w:w="120" w:type="dxa"/>
            </w:tcMar>
            <w:vAlign w:val="center"/>
          </w:tcPr>
          <w:p>
            <w:pPr>
              <w:jc w:val="center"/>
            </w:pPr>
            <w:r>
              <w:rPr>
                <w:rFonts w:ascii="Calibri" w:hAnsi="Calibri"/>
                <w:color w:val="000000"/>
                <w:sz w:val="17"/>
              </w:rPr>
              <w:t>Random Forest</w:t>
            </w:r>
          </w:p>
        </w:tc>
        <w:tc>
          <w:tcPr>
            <w:tcW w:type="dxa" w:w="1440"/>
            <w:tcMar>
              <w:top w:w="80" w:type="dxa"/>
              <w:start w:w="120" w:type="dxa"/>
              <w:bottom w:w="80" w:type="dxa"/>
              <w:end w:w="120" w:type="dxa"/>
            </w:tcMar>
            <w:vAlign w:val="center"/>
          </w:tcPr>
          <w:p>
            <w:pPr>
              <w:jc w:val="center"/>
            </w:pPr>
            <w:r>
              <w:rPr>
                <w:rFonts w:ascii="Calibri" w:hAnsi="Calibri"/>
                <w:color w:val="000000"/>
                <w:sz w:val="17"/>
              </w:rPr>
              <w:t>0.6948</w:t>
            </w:r>
          </w:p>
        </w:tc>
        <w:tc>
          <w:tcPr>
            <w:tcW w:type="dxa" w:w="1440"/>
            <w:tcMar>
              <w:top w:w="80" w:type="dxa"/>
              <w:start w:w="120" w:type="dxa"/>
              <w:bottom w:w="80" w:type="dxa"/>
              <w:end w:w="120" w:type="dxa"/>
            </w:tcMar>
            <w:vAlign w:val="center"/>
          </w:tcPr>
          <w:p>
            <w:pPr>
              <w:jc w:val="center"/>
            </w:pPr>
            <w:r>
              <w:rPr>
                <w:rFonts w:ascii="Calibri" w:hAnsi="Calibri"/>
                <w:color w:val="000000"/>
                <w:sz w:val="17"/>
              </w:rPr>
              <w:t>0.7095</w:t>
            </w:r>
          </w:p>
        </w:tc>
        <w:tc>
          <w:tcPr>
            <w:tcW w:type="dxa" w:w="1152"/>
            <w:tcMar>
              <w:top w:w="80" w:type="dxa"/>
              <w:start w:w="120" w:type="dxa"/>
              <w:bottom w:w="80" w:type="dxa"/>
              <w:end w:w="120" w:type="dxa"/>
            </w:tcMar>
            <w:vAlign w:val="center"/>
          </w:tcPr>
          <w:p>
            <w:pPr>
              <w:jc w:val="center"/>
            </w:pPr>
            <w:r>
              <w:rPr>
                <w:rFonts w:ascii="Calibri" w:hAnsi="Calibri"/>
                <w:color w:val="000000"/>
                <w:sz w:val="17"/>
              </w:rPr>
              <w:t>+0.0147</w:t>
            </w:r>
          </w:p>
        </w:tc>
      </w:tr>
      <w:tr>
        <w:tc>
          <w:tcPr>
            <w:tcW w:type="dxa" w:w="2448"/>
            <w:tcMar>
              <w:top w:w="80" w:type="dxa"/>
              <w:start w:w="120" w:type="dxa"/>
              <w:bottom w:w="80" w:type="dxa"/>
              <w:end w:w="120" w:type="dxa"/>
            </w:tcMar>
            <w:vAlign w:val="center"/>
          </w:tcPr>
          <w:p>
            <w:pPr>
              <w:jc w:val="left"/>
            </w:pPr>
            <w:r>
              <w:rPr>
                <w:rFonts w:ascii="Calibri" w:hAnsi="Calibri"/>
                <w:color w:val="000000"/>
                <w:sz w:val="17"/>
              </w:rPr>
              <w:t>Equal Fixed</w:t>
            </w:r>
          </w:p>
        </w:tc>
        <w:tc>
          <w:tcPr>
            <w:tcW w:type="dxa" w:w="2880"/>
            <w:tcMar>
              <w:top w:w="80" w:type="dxa"/>
              <w:start w:w="120" w:type="dxa"/>
              <w:bottom w:w="80" w:type="dxa"/>
              <w:end w:w="120" w:type="dxa"/>
            </w:tcMar>
            <w:vAlign w:val="center"/>
          </w:tcPr>
          <w:p>
            <w:pPr>
              <w:jc w:val="center"/>
            </w:pPr>
            <w:r>
              <w:rPr>
                <w:rFonts w:ascii="Calibri" w:hAnsi="Calibri"/>
                <w:color w:val="000000"/>
                <w:sz w:val="17"/>
              </w:rPr>
              <w:t>Logistic Regression</w:t>
            </w:r>
          </w:p>
        </w:tc>
        <w:tc>
          <w:tcPr>
            <w:tcW w:type="dxa" w:w="1440"/>
            <w:tcMar>
              <w:top w:w="80" w:type="dxa"/>
              <w:start w:w="120" w:type="dxa"/>
              <w:bottom w:w="80" w:type="dxa"/>
              <w:end w:w="120" w:type="dxa"/>
            </w:tcMar>
            <w:vAlign w:val="center"/>
          </w:tcPr>
          <w:p>
            <w:pPr>
              <w:jc w:val="center"/>
            </w:pPr>
            <w:r>
              <w:rPr>
                <w:rFonts w:ascii="Calibri" w:hAnsi="Calibri"/>
                <w:color w:val="000000"/>
                <w:sz w:val="17"/>
              </w:rPr>
              <w:t>0.9626</w:t>
            </w:r>
          </w:p>
        </w:tc>
        <w:tc>
          <w:tcPr>
            <w:tcW w:type="dxa" w:w="1440"/>
            <w:tcMar>
              <w:top w:w="80" w:type="dxa"/>
              <w:start w:w="120" w:type="dxa"/>
              <w:bottom w:w="80" w:type="dxa"/>
              <w:end w:w="120" w:type="dxa"/>
            </w:tcMar>
            <w:vAlign w:val="center"/>
          </w:tcPr>
          <w:p>
            <w:pPr>
              <w:jc w:val="center"/>
            </w:pPr>
            <w:r>
              <w:rPr>
                <w:rFonts w:ascii="Calibri" w:hAnsi="Calibri"/>
                <w:color w:val="000000"/>
                <w:sz w:val="17"/>
              </w:rPr>
              <w:t>0.9626</w:t>
            </w:r>
          </w:p>
        </w:tc>
        <w:tc>
          <w:tcPr>
            <w:tcW w:type="dxa" w:w="1152"/>
            <w:tcMar>
              <w:top w:w="80" w:type="dxa"/>
              <w:start w:w="120" w:type="dxa"/>
              <w:bottom w:w="80" w:type="dxa"/>
              <w:end w:w="120" w:type="dxa"/>
            </w:tcMar>
            <w:vAlign w:val="center"/>
          </w:tcPr>
          <w:p>
            <w:pPr>
              <w:jc w:val="center"/>
            </w:pPr>
            <w:r>
              <w:rPr>
                <w:rFonts w:ascii="Calibri" w:hAnsi="Calibri"/>
                <w:color w:val="000000"/>
                <w:sz w:val="17"/>
              </w:rPr>
              <w:t>0.0000</w:t>
            </w:r>
          </w:p>
        </w:tc>
      </w:tr>
      <w:tr>
        <w:tc>
          <w:tcPr>
            <w:tcW w:type="dxa" w:w="2448"/>
            <w:tcMar>
              <w:top w:w="80" w:type="dxa"/>
              <w:start w:w="120" w:type="dxa"/>
              <w:bottom w:w="80" w:type="dxa"/>
              <w:end w:w="120" w:type="dxa"/>
            </w:tcMar>
            <w:vAlign w:val="center"/>
          </w:tcPr>
          <w:p>
            <w:pPr>
              <w:jc w:val="left"/>
            </w:pPr>
            <w:r>
              <w:rPr>
                <w:rFonts w:ascii="Calibri" w:hAnsi="Calibri"/>
                <w:color w:val="000000"/>
                <w:sz w:val="17"/>
              </w:rPr>
              <w:t>Equal Fixed</w:t>
            </w:r>
          </w:p>
        </w:tc>
        <w:tc>
          <w:tcPr>
            <w:tcW w:type="dxa" w:w="2880"/>
            <w:tcMar>
              <w:top w:w="80" w:type="dxa"/>
              <w:start w:w="120" w:type="dxa"/>
              <w:bottom w:w="80" w:type="dxa"/>
              <w:end w:w="120" w:type="dxa"/>
            </w:tcMar>
            <w:vAlign w:val="center"/>
          </w:tcPr>
          <w:p>
            <w:pPr>
              <w:jc w:val="center"/>
            </w:pPr>
            <w:r>
              <w:rPr>
                <w:rFonts w:ascii="Calibri" w:hAnsi="Calibri"/>
                <w:color w:val="000000"/>
                <w:sz w:val="17"/>
              </w:rPr>
              <w:t>Random Forest</w:t>
            </w:r>
          </w:p>
        </w:tc>
        <w:tc>
          <w:tcPr>
            <w:tcW w:type="dxa" w:w="1440"/>
            <w:tcMar>
              <w:top w:w="80" w:type="dxa"/>
              <w:start w:w="120" w:type="dxa"/>
              <w:bottom w:w="80" w:type="dxa"/>
              <w:end w:w="120" w:type="dxa"/>
            </w:tcMar>
            <w:vAlign w:val="center"/>
          </w:tcPr>
          <w:p>
            <w:pPr>
              <w:jc w:val="center"/>
            </w:pPr>
            <w:r>
              <w:rPr>
                <w:rFonts w:ascii="Calibri" w:hAnsi="Calibri"/>
                <w:color w:val="000000"/>
                <w:sz w:val="17"/>
              </w:rPr>
              <w:t>0.4683</w:t>
            </w:r>
          </w:p>
        </w:tc>
        <w:tc>
          <w:tcPr>
            <w:tcW w:type="dxa" w:w="1440"/>
            <w:tcMar>
              <w:top w:w="80" w:type="dxa"/>
              <w:start w:w="120" w:type="dxa"/>
              <w:bottom w:w="80" w:type="dxa"/>
              <w:end w:w="120" w:type="dxa"/>
            </w:tcMar>
            <w:vAlign w:val="center"/>
          </w:tcPr>
          <w:p>
            <w:pPr>
              <w:jc w:val="center"/>
            </w:pPr>
            <w:r>
              <w:rPr>
                <w:rFonts w:ascii="Calibri" w:hAnsi="Calibri"/>
                <w:color w:val="000000"/>
                <w:sz w:val="17"/>
              </w:rPr>
              <w:t>0.4412</w:t>
            </w:r>
          </w:p>
        </w:tc>
        <w:tc>
          <w:tcPr>
            <w:tcW w:type="dxa" w:w="1152"/>
            <w:tcMar>
              <w:top w:w="80" w:type="dxa"/>
              <w:start w:w="120" w:type="dxa"/>
              <w:bottom w:w="80" w:type="dxa"/>
              <w:end w:w="120" w:type="dxa"/>
            </w:tcMar>
            <w:vAlign w:val="center"/>
          </w:tcPr>
          <w:p>
            <w:pPr>
              <w:jc w:val="center"/>
            </w:pPr>
            <w:r>
              <w:rPr>
                <w:rFonts w:ascii="Calibri" w:hAnsi="Calibri"/>
                <w:color w:val="000000"/>
                <w:sz w:val="17"/>
              </w:rPr>
              <w:t>-0.0270</w:t>
            </w:r>
          </w:p>
        </w:tc>
      </w:tr>
      <w:tr>
        <w:tc>
          <w:tcPr>
            <w:tcW w:type="dxa" w:w="2448"/>
            <w:tcMar>
              <w:top w:w="80" w:type="dxa"/>
              <w:start w:w="120" w:type="dxa"/>
              <w:bottom w:w="80" w:type="dxa"/>
              <w:end w:w="120" w:type="dxa"/>
            </w:tcMar>
            <w:vAlign w:val="center"/>
          </w:tcPr>
          <w:p>
            <w:pPr>
              <w:jc w:val="left"/>
            </w:pPr>
            <w:r>
              <w:rPr>
                <w:rFonts w:ascii="Calibri" w:hAnsi="Calibri"/>
                <w:color w:val="000000"/>
                <w:sz w:val="17"/>
              </w:rPr>
              <w:t>Priority Quantile</w:t>
            </w:r>
          </w:p>
        </w:tc>
        <w:tc>
          <w:tcPr>
            <w:tcW w:type="dxa" w:w="2880"/>
            <w:tcMar>
              <w:top w:w="80" w:type="dxa"/>
              <w:start w:w="120" w:type="dxa"/>
              <w:bottom w:w="80" w:type="dxa"/>
              <w:end w:w="120" w:type="dxa"/>
            </w:tcMar>
            <w:vAlign w:val="center"/>
          </w:tcPr>
          <w:p>
            <w:pPr>
              <w:jc w:val="center"/>
            </w:pPr>
            <w:r>
              <w:rPr>
                <w:rFonts w:ascii="Calibri" w:hAnsi="Calibri"/>
                <w:color w:val="000000"/>
                <w:sz w:val="17"/>
              </w:rPr>
              <w:t>Logistic Regression</w:t>
            </w:r>
          </w:p>
        </w:tc>
        <w:tc>
          <w:tcPr>
            <w:tcW w:type="dxa" w:w="1440"/>
            <w:tcMar>
              <w:top w:w="80" w:type="dxa"/>
              <w:start w:w="120" w:type="dxa"/>
              <w:bottom w:w="80" w:type="dxa"/>
              <w:end w:w="120" w:type="dxa"/>
            </w:tcMar>
            <w:vAlign w:val="center"/>
          </w:tcPr>
          <w:p>
            <w:pPr>
              <w:jc w:val="center"/>
            </w:pPr>
            <w:r>
              <w:rPr>
                <w:rFonts w:ascii="Calibri" w:hAnsi="Calibri"/>
                <w:color w:val="000000"/>
                <w:sz w:val="17"/>
              </w:rPr>
              <w:t>0.9944</w:t>
            </w:r>
          </w:p>
        </w:tc>
        <w:tc>
          <w:tcPr>
            <w:tcW w:type="dxa" w:w="1440"/>
            <w:tcMar>
              <w:top w:w="80" w:type="dxa"/>
              <w:start w:w="120" w:type="dxa"/>
              <w:bottom w:w="80" w:type="dxa"/>
              <w:end w:w="120" w:type="dxa"/>
            </w:tcMar>
            <w:vAlign w:val="center"/>
          </w:tcPr>
          <w:p>
            <w:pPr>
              <w:jc w:val="center"/>
            </w:pPr>
            <w:r>
              <w:rPr>
                <w:rFonts w:ascii="Calibri" w:hAnsi="Calibri"/>
                <w:color w:val="000000"/>
                <w:sz w:val="17"/>
              </w:rPr>
              <w:t>0.9944</w:t>
            </w:r>
          </w:p>
        </w:tc>
        <w:tc>
          <w:tcPr>
            <w:tcW w:type="dxa" w:w="1152"/>
            <w:tcMar>
              <w:top w:w="80" w:type="dxa"/>
              <w:start w:w="120" w:type="dxa"/>
              <w:bottom w:w="80" w:type="dxa"/>
              <w:end w:w="120" w:type="dxa"/>
            </w:tcMar>
            <w:vAlign w:val="center"/>
          </w:tcPr>
          <w:p>
            <w:pPr>
              <w:jc w:val="center"/>
            </w:pPr>
            <w:r>
              <w:rPr>
                <w:rFonts w:ascii="Calibri" w:hAnsi="Calibri"/>
                <w:color w:val="000000"/>
                <w:sz w:val="17"/>
              </w:rPr>
              <w:t>0.0000</w:t>
            </w:r>
          </w:p>
        </w:tc>
      </w:tr>
      <w:tr>
        <w:tc>
          <w:tcPr>
            <w:tcW w:type="dxa" w:w="2448"/>
            <w:tcMar>
              <w:top w:w="80" w:type="dxa"/>
              <w:start w:w="120" w:type="dxa"/>
              <w:bottom w:w="80" w:type="dxa"/>
              <w:end w:w="120" w:type="dxa"/>
            </w:tcMar>
            <w:vAlign w:val="center"/>
          </w:tcPr>
          <w:p>
            <w:pPr>
              <w:jc w:val="left"/>
            </w:pPr>
            <w:r>
              <w:rPr>
                <w:rFonts w:ascii="Calibri" w:hAnsi="Calibri"/>
                <w:color w:val="000000"/>
                <w:sz w:val="17"/>
              </w:rPr>
              <w:t>Priority Quantile</w:t>
            </w:r>
          </w:p>
        </w:tc>
        <w:tc>
          <w:tcPr>
            <w:tcW w:type="dxa" w:w="2880"/>
            <w:tcMar>
              <w:top w:w="80" w:type="dxa"/>
              <w:start w:w="120" w:type="dxa"/>
              <w:bottom w:w="80" w:type="dxa"/>
              <w:end w:w="120" w:type="dxa"/>
            </w:tcMar>
            <w:vAlign w:val="center"/>
          </w:tcPr>
          <w:p>
            <w:pPr>
              <w:jc w:val="center"/>
            </w:pPr>
            <w:r>
              <w:rPr>
                <w:rFonts w:ascii="Calibri" w:hAnsi="Calibri"/>
                <w:color w:val="000000"/>
                <w:sz w:val="17"/>
              </w:rPr>
              <w:t>Random Forest</w:t>
            </w:r>
          </w:p>
        </w:tc>
        <w:tc>
          <w:tcPr>
            <w:tcW w:type="dxa" w:w="1440"/>
            <w:tcMar>
              <w:top w:w="80" w:type="dxa"/>
              <w:start w:w="120" w:type="dxa"/>
              <w:bottom w:w="80" w:type="dxa"/>
              <w:end w:w="120" w:type="dxa"/>
            </w:tcMar>
            <w:vAlign w:val="center"/>
          </w:tcPr>
          <w:p>
            <w:pPr>
              <w:jc w:val="center"/>
            </w:pPr>
            <w:r>
              <w:rPr>
                <w:rFonts w:ascii="Calibri" w:hAnsi="Calibri"/>
                <w:color w:val="000000"/>
                <w:sz w:val="17"/>
              </w:rPr>
              <w:t>0.8559</w:t>
            </w:r>
          </w:p>
        </w:tc>
        <w:tc>
          <w:tcPr>
            <w:tcW w:type="dxa" w:w="1440"/>
            <w:tcMar>
              <w:top w:w="80" w:type="dxa"/>
              <w:start w:w="120" w:type="dxa"/>
              <w:bottom w:w="80" w:type="dxa"/>
              <w:end w:w="120" w:type="dxa"/>
            </w:tcMar>
            <w:vAlign w:val="center"/>
          </w:tcPr>
          <w:p>
            <w:pPr>
              <w:jc w:val="center"/>
            </w:pPr>
            <w:r>
              <w:rPr>
                <w:rFonts w:ascii="Calibri" w:hAnsi="Calibri"/>
                <w:color w:val="000000"/>
                <w:sz w:val="17"/>
              </w:rPr>
              <w:t>0.8569</w:t>
            </w:r>
          </w:p>
        </w:tc>
        <w:tc>
          <w:tcPr>
            <w:tcW w:type="dxa" w:w="1152"/>
            <w:tcMar>
              <w:top w:w="80" w:type="dxa"/>
              <w:start w:w="120" w:type="dxa"/>
              <w:bottom w:w="80" w:type="dxa"/>
              <w:end w:w="120" w:type="dxa"/>
            </w:tcMar>
            <w:vAlign w:val="center"/>
          </w:tcPr>
          <w:p>
            <w:pPr>
              <w:jc w:val="center"/>
            </w:pPr>
            <w:r>
              <w:rPr>
                <w:rFonts w:ascii="Calibri" w:hAnsi="Calibri"/>
                <w:color w:val="000000"/>
                <w:sz w:val="17"/>
              </w:rPr>
              <w:t>+0.0010</w:t>
            </w:r>
          </w:p>
        </w:tc>
      </w:tr>
      <w:tr>
        <w:tc>
          <w:tcPr>
            <w:tcW w:type="dxa" w:w="2448"/>
            <w:tcMar>
              <w:top w:w="80" w:type="dxa"/>
              <w:start w:w="120" w:type="dxa"/>
              <w:bottom w:w="80" w:type="dxa"/>
              <w:end w:w="120" w:type="dxa"/>
            </w:tcMar>
            <w:vAlign w:val="center"/>
          </w:tcPr>
          <w:p>
            <w:pPr>
              <w:jc w:val="left"/>
            </w:pPr>
            <w:r>
              <w:rPr>
                <w:rFonts w:ascii="Calibri" w:hAnsi="Calibri"/>
                <w:color w:val="000000"/>
                <w:sz w:val="17"/>
              </w:rPr>
              <w:t>Equal Quantile</w:t>
            </w:r>
          </w:p>
        </w:tc>
        <w:tc>
          <w:tcPr>
            <w:tcW w:type="dxa" w:w="2880"/>
            <w:tcMar>
              <w:top w:w="80" w:type="dxa"/>
              <w:start w:w="120" w:type="dxa"/>
              <w:bottom w:w="80" w:type="dxa"/>
              <w:end w:w="120" w:type="dxa"/>
            </w:tcMar>
            <w:vAlign w:val="center"/>
          </w:tcPr>
          <w:p>
            <w:pPr>
              <w:jc w:val="center"/>
            </w:pPr>
            <w:r>
              <w:rPr>
                <w:rFonts w:ascii="Calibri" w:hAnsi="Calibri"/>
                <w:color w:val="000000"/>
                <w:sz w:val="17"/>
              </w:rPr>
              <w:t>Logistic Regression</w:t>
            </w:r>
          </w:p>
        </w:tc>
        <w:tc>
          <w:tcPr>
            <w:tcW w:type="dxa" w:w="1440"/>
            <w:tcMar>
              <w:top w:w="80" w:type="dxa"/>
              <w:start w:w="120" w:type="dxa"/>
              <w:bottom w:w="80" w:type="dxa"/>
              <w:end w:w="120" w:type="dxa"/>
            </w:tcMar>
            <w:vAlign w:val="center"/>
          </w:tcPr>
          <w:p>
            <w:pPr>
              <w:jc w:val="center"/>
            </w:pPr>
            <w:r>
              <w:rPr>
                <w:rFonts w:ascii="Calibri" w:hAnsi="Calibri"/>
                <w:color w:val="000000"/>
                <w:sz w:val="17"/>
              </w:rPr>
              <w:t>1.0000</w:t>
            </w:r>
          </w:p>
        </w:tc>
        <w:tc>
          <w:tcPr>
            <w:tcW w:type="dxa" w:w="1440"/>
            <w:tcMar>
              <w:top w:w="80" w:type="dxa"/>
              <w:start w:w="120" w:type="dxa"/>
              <w:bottom w:w="80" w:type="dxa"/>
              <w:end w:w="120" w:type="dxa"/>
            </w:tcMar>
            <w:vAlign w:val="center"/>
          </w:tcPr>
          <w:p>
            <w:pPr>
              <w:jc w:val="center"/>
            </w:pPr>
            <w:r>
              <w:rPr>
                <w:rFonts w:ascii="Calibri" w:hAnsi="Calibri"/>
                <w:color w:val="000000"/>
                <w:sz w:val="17"/>
              </w:rPr>
              <w:t>1.0000</w:t>
            </w:r>
          </w:p>
        </w:tc>
        <w:tc>
          <w:tcPr>
            <w:tcW w:type="dxa" w:w="1152"/>
            <w:tcMar>
              <w:top w:w="80" w:type="dxa"/>
              <w:start w:w="120" w:type="dxa"/>
              <w:bottom w:w="80" w:type="dxa"/>
              <w:end w:w="120" w:type="dxa"/>
            </w:tcMar>
            <w:vAlign w:val="center"/>
          </w:tcPr>
          <w:p>
            <w:pPr>
              <w:jc w:val="center"/>
            </w:pPr>
            <w:r>
              <w:rPr>
                <w:rFonts w:ascii="Calibri" w:hAnsi="Calibri"/>
                <w:color w:val="000000"/>
                <w:sz w:val="17"/>
              </w:rPr>
              <w:t>0.0000</w:t>
            </w:r>
          </w:p>
        </w:tc>
      </w:tr>
      <w:tr>
        <w:tc>
          <w:tcPr>
            <w:tcW w:type="dxa" w:w="2448"/>
            <w:tcMar>
              <w:top w:w="80" w:type="dxa"/>
              <w:start w:w="120" w:type="dxa"/>
              <w:bottom w:w="80" w:type="dxa"/>
              <w:end w:w="120" w:type="dxa"/>
            </w:tcMar>
            <w:vAlign w:val="center"/>
          </w:tcPr>
          <w:p>
            <w:pPr>
              <w:jc w:val="left"/>
            </w:pPr>
            <w:r>
              <w:rPr>
                <w:rFonts w:ascii="Calibri" w:hAnsi="Calibri"/>
                <w:color w:val="000000"/>
                <w:sz w:val="17"/>
              </w:rPr>
              <w:t>Equal Quantile</w:t>
            </w:r>
          </w:p>
        </w:tc>
        <w:tc>
          <w:tcPr>
            <w:tcW w:type="dxa" w:w="2880"/>
            <w:tcMar>
              <w:top w:w="80" w:type="dxa"/>
              <w:start w:w="120" w:type="dxa"/>
              <w:bottom w:w="80" w:type="dxa"/>
              <w:end w:w="120" w:type="dxa"/>
            </w:tcMar>
            <w:vAlign w:val="center"/>
          </w:tcPr>
          <w:p>
            <w:pPr>
              <w:jc w:val="center"/>
            </w:pPr>
            <w:r>
              <w:rPr>
                <w:rFonts w:ascii="Calibri" w:hAnsi="Calibri"/>
                <w:color w:val="000000"/>
                <w:sz w:val="17"/>
              </w:rPr>
              <w:t>Random Forest</w:t>
            </w:r>
          </w:p>
        </w:tc>
        <w:tc>
          <w:tcPr>
            <w:tcW w:type="dxa" w:w="1440"/>
            <w:tcMar>
              <w:top w:w="80" w:type="dxa"/>
              <w:start w:w="120" w:type="dxa"/>
              <w:bottom w:w="80" w:type="dxa"/>
              <w:end w:w="120" w:type="dxa"/>
            </w:tcMar>
            <w:vAlign w:val="center"/>
          </w:tcPr>
          <w:p>
            <w:pPr>
              <w:jc w:val="center"/>
            </w:pPr>
            <w:r>
              <w:rPr>
                <w:rFonts w:ascii="Calibri" w:hAnsi="Calibri"/>
                <w:color w:val="000000"/>
                <w:sz w:val="17"/>
              </w:rPr>
              <w:t>0.8579</w:t>
            </w:r>
          </w:p>
        </w:tc>
        <w:tc>
          <w:tcPr>
            <w:tcW w:type="dxa" w:w="1440"/>
            <w:tcMar>
              <w:top w:w="80" w:type="dxa"/>
              <w:start w:w="120" w:type="dxa"/>
              <w:bottom w:w="80" w:type="dxa"/>
              <w:end w:w="120" w:type="dxa"/>
            </w:tcMar>
            <w:vAlign w:val="center"/>
          </w:tcPr>
          <w:p>
            <w:pPr>
              <w:jc w:val="center"/>
            </w:pPr>
            <w:r>
              <w:rPr>
                <w:rFonts w:ascii="Calibri" w:hAnsi="Calibri"/>
                <w:color w:val="000000"/>
                <w:sz w:val="17"/>
              </w:rPr>
              <w:t>0.8367</w:t>
            </w:r>
          </w:p>
        </w:tc>
        <w:tc>
          <w:tcPr>
            <w:tcW w:type="dxa" w:w="1152"/>
            <w:tcMar>
              <w:top w:w="80" w:type="dxa"/>
              <w:start w:w="120" w:type="dxa"/>
              <w:bottom w:w="80" w:type="dxa"/>
              <w:end w:w="120" w:type="dxa"/>
            </w:tcMar>
            <w:vAlign w:val="center"/>
          </w:tcPr>
          <w:p>
            <w:pPr>
              <w:jc w:val="center"/>
            </w:pPr>
            <w:r>
              <w:rPr>
                <w:rFonts w:ascii="Calibri" w:hAnsi="Calibri"/>
                <w:color w:val="000000"/>
                <w:sz w:val="17"/>
              </w:rPr>
              <w:t>-0.0212</w:t>
            </w:r>
          </w:p>
        </w:tc>
      </w:tr>
    </w:tbl>
    <w:p/>
    <w:p>
      <w:pPr>
        <w:spacing w:after="120" w:line="264" w:lineRule="auto"/>
      </w:pPr>
      <w:r>
        <w:rPr>
          <w:rFonts w:ascii="Calibri" w:hAnsi="Calibri"/>
        </w:rPr>
        <w:t>Year değişkeni modele anlamlı ve tutarlı bir katkı sağlamamıştır. Risk skorları performans metriklerinden türetildiği için yıl bilgisi çoğu modelde yalnızca bağlamsal/gürültü niteliğinde kalmıştır. Bu nedenle nihai yorumlarda Year hariç model daha sade ve genellenebilir kabul edilmiştir.</w:t>
      </w:r>
    </w:p>
    <w:p>
      <w:pPr>
        <w:pStyle w:val="Heading1"/>
        <w:spacing w:before="240" w:after="120"/>
      </w:pPr>
      <w:r>
        <w:rPr>
          <w:rFonts w:ascii="Calibri" w:hAnsi="Calibri"/>
          <w:b/>
          <w:color w:val="2E74B5"/>
          <w:sz w:val="32"/>
        </w:rPr>
        <w:t>8. Sonuç ve Değerlendirme</w:t>
      </w:r>
    </w:p>
    <w:p>
      <w:pPr>
        <w:spacing w:after="120" w:line="264" w:lineRule="auto"/>
      </w:pPr>
      <w:r>
        <w:rPr>
          <w:rFonts w:ascii="Calibri" w:hAnsi="Calibri"/>
        </w:rPr>
        <w:t>Bu projede 1800 gözlem ve 12 değişkenden oluşan Supplier Risk Assessment veri seti kullanılarak uçtan uca bir veri madenciliği çalışması yürütülmüştür. EDA sonucunda orijinal Risk_Category değişkeninin risk hedefi olarak doğrudan kullanılamayacağı görülmüş, bunun yerine seçilen yedi değişken üzerinden iki farklı kompozit risk skoru üretilmiştir.</w:t>
      </w:r>
    </w:p>
    <w:p>
      <w:pPr>
        <w:spacing w:after="120" w:line="264" w:lineRule="auto"/>
      </w:pPr>
      <w:r>
        <w:rPr>
          <w:rFonts w:ascii="Calibri" w:hAnsi="Calibri"/>
        </w:rPr>
        <w:t>Sabit eşik yaklaşımı skor aralığının sezgisel yorumlanmasını sağlarken, kuantil eşik yaklaşımı sınıf dengesizliği sorununu azaltmıştır. Modelleme aşamasında en başarılı algoritma Lojistik Regresyon olmuştur. Bu sonuç, hedef sınıfların doğrusal ağırlıklı skor sisteminden türetilmesiyle uyumludur.</w:t>
      </w:r>
    </w:p>
    <w:p>
      <w:pPr>
        <w:pStyle w:val="Heading2"/>
        <w:spacing w:before="160" w:after="80"/>
      </w:pPr>
      <w:r>
        <w:rPr>
          <w:rFonts w:ascii="Calibri" w:hAnsi="Calibri"/>
          <w:b/>
          <w:color w:val="2E74B5"/>
          <w:sz w:val="26"/>
        </w:rPr>
        <w:t>8.1 Öğrenilenler</w:t>
      </w:r>
    </w:p>
    <w:p>
      <w:pPr>
        <w:pStyle w:val="ListBullet"/>
        <w:spacing w:after="80"/>
      </w:pPr>
      <w:r>
        <w:rPr>
          <w:rFonts w:ascii="Calibri" w:hAnsi="Calibri"/>
        </w:rPr>
        <w:t>EDA sonuçlarının hedef değişken seçimini doğrudan etkileyebileceği görüldü.</w:t>
      </w:r>
    </w:p>
    <w:p>
      <w:pPr>
        <w:pStyle w:val="ListBullet"/>
        <w:spacing w:after="80"/>
      </w:pPr>
      <w:r>
        <w:rPr>
          <w:rFonts w:ascii="Calibri" w:hAnsi="Calibri"/>
        </w:rPr>
        <w:t>Özellik mühendisliği ve eşik seçimi, model başarısı kadar metodolojik yorumlanabilirliği de belirler.</w:t>
      </w:r>
    </w:p>
    <w:p>
      <w:pPr>
        <w:pStyle w:val="ListBullet"/>
        <w:spacing w:after="80"/>
      </w:pPr>
      <w:r>
        <w:rPr>
          <w:rFonts w:ascii="Calibri" w:hAnsi="Calibri"/>
        </w:rPr>
        <w:t>Pipeline kullanımı ölçeklendirme işlemini eğitim akışının güvenli parçası haline getirir.</w:t>
      </w:r>
    </w:p>
    <w:p>
      <w:pPr>
        <w:pStyle w:val="ListBullet"/>
        <w:spacing w:after="80"/>
      </w:pPr>
      <w:r>
        <w:rPr>
          <w:rFonts w:ascii="Calibri" w:hAnsi="Calibri"/>
        </w:rPr>
        <w:t>Sınıf dengesizliği, accuracy tek başına yüksek olsa bile macro F1 yorumunu önemli kılar.</w:t>
      </w:r>
    </w:p>
    <w:p>
      <w:pPr>
        <w:pStyle w:val="ListBullet"/>
        <w:spacing w:after="80"/>
      </w:pPr>
      <w:r>
        <w:rPr>
          <w:rFonts w:ascii="Calibri" w:hAnsi="Calibri"/>
        </w:rPr>
        <w:t>VIF ve R² gibi kontroller, oluşturulan skor sisteminin istatistiksel tutarlılığını destekler.</w:t>
      </w:r>
    </w:p>
    <w:p>
      <w:pPr>
        <w:pStyle w:val="Heading2"/>
        <w:spacing w:before="160" w:after="80"/>
      </w:pPr>
      <w:r>
        <w:rPr>
          <w:rFonts w:ascii="Calibri" w:hAnsi="Calibri"/>
          <w:b/>
          <w:color w:val="2E74B5"/>
          <w:sz w:val="26"/>
        </w:rPr>
        <w:t>8.2 Gelecekte Yapılabilecek İyileştirmeler</w:t>
      </w:r>
    </w:p>
    <w:p>
      <w:pPr>
        <w:pStyle w:val="ListBullet"/>
        <w:spacing w:after="80"/>
      </w:pPr>
      <w:r>
        <w:rPr>
          <w:rFonts w:ascii="Calibri" w:hAnsi="Calibri"/>
        </w:rPr>
        <w:t>GridSearchCV veya RandomizedSearchCV ile hiperparametre optimizasyonu yapılabilir.</w:t>
      </w:r>
    </w:p>
    <w:p>
      <w:pPr>
        <w:pStyle w:val="ListBullet"/>
        <w:spacing w:after="80"/>
      </w:pPr>
      <w:r>
        <w:rPr>
          <w:rFonts w:ascii="Calibri" w:hAnsi="Calibri"/>
        </w:rPr>
        <w:t>XGBoost ve LightGBM gibi gelişmiş topluluk yöntemleri denenebilir.</w:t>
      </w:r>
    </w:p>
    <w:p>
      <w:pPr>
        <w:pStyle w:val="ListBullet"/>
        <w:spacing w:after="80"/>
      </w:pPr>
      <w:r>
        <w:rPr>
          <w:rFonts w:ascii="Calibri" w:hAnsi="Calibri"/>
        </w:rPr>
        <w:t>Zaman boyutu güçlendirilmiş gerçek verilerle tedarikçi risk trendleri incelenebilir.</w:t>
      </w:r>
    </w:p>
    <w:p>
      <w:pPr>
        <w:pStyle w:val="ListBullet"/>
        <w:spacing w:after="80"/>
      </w:pPr>
      <w:r>
        <w:rPr>
          <w:rFonts w:ascii="Calibri" w:hAnsi="Calibri"/>
        </w:rPr>
        <w:t>Model sonuçları farklı sektörlerden dış veri setleriyle doğrulanabilir.</w:t>
      </w:r>
    </w:p>
    <w:p>
      <w:pPr>
        <w:pStyle w:val="ListBullet"/>
        <w:spacing w:after="80"/>
      </w:pPr>
      <w:r>
        <w:rPr>
          <w:rFonts w:ascii="Calibri" w:hAnsi="Calibri"/>
        </w:rPr>
        <w:t>Risk skor ağırlıkları uzman görüşü veya AHP/TOPSIS gibi MCDM yöntemleriyle kalibre edilebilir.</w:t>
      </w:r>
    </w:p>
    <w:p>
      <w:pPr>
        <w:pStyle w:val="Heading1"/>
        <w:spacing w:before="240" w:after="120"/>
      </w:pPr>
      <w:r>
        <w:rPr>
          <w:rFonts w:ascii="Calibri" w:hAnsi="Calibri"/>
          <w:b/>
          <w:color w:val="2E74B5"/>
          <w:sz w:val="32"/>
        </w:rPr>
        <w:t>9. Kaynakça</w:t>
      </w:r>
    </w:p>
    <w:p>
      <w:pPr>
        <w:spacing w:after="120" w:line="264" w:lineRule="auto"/>
      </w:pPr>
      <w:r>
        <w:rPr>
          <w:rFonts w:ascii="Calibri" w:hAnsi="Calibri"/>
        </w:rPr>
        <w:t>Baryannis, G., Dani, S., &amp; Antoniou, G. (2019). Predicting supply chain risks using machine learning: The trade-off between performance and interpretability. Future Generation Computer Systems, 101, 993-1004. https://doi.org/10.1016/j.future.2019.07.059</w:t>
      </w:r>
    </w:p>
    <w:p>
      <w:pPr>
        <w:spacing w:after="120" w:line="264" w:lineRule="auto"/>
      </w:pPr>
      <w:r>
        <w:rPr>
          <w:rFonts w:ascii="Calibri" w:hAnsi="Calibri"/>
        </w:rPr>
        <w:t>Ho, W., Xu, X., &amp; Dey, P. K. (2010). Multi-criteria decision making approaches for supplier evaluation and selection: A literature review. European Journal of Operational Research, 202(1), 16-24. https://doi.org/10.1016/j.ejor.2009.05.009</w:t>
      </w:r>
    </w:p>
    <w:p>
      <w:pPr>
        <w:spacing w:after="120" w:line="264" w:lineRule="auto"/>
      </w:pPr>
      <w:r>
        <w:rPr>
          <w:rFonts w:ascii="Calibri" w:hAnsi="Calibri"/>
        </w:rPr>
        <w:t>Tang, C. S. (2006). Perspectives in supply chain risk management. International Journal of Production Economics, 103(2), 451-488. https://doi.org/10.1016/j.ijpe.2005.12.006</w:t>
      </w:r>
    </w:p>
    <w:p>
      <w:pPr>
        <w:spacing w:after="120" w:line="264" w:lineRule="auto"/>
      </w:pPr>
      <w:r>
        <w:rPr>
          <w:rFonts w:ascii="Calibri" w:hAnsi="Calibri"/>
        </w:rPr>
        <w:t>Kaggle. (2025). Supplier Risk Assessment Dataset. https://www.kaggle.com/datasets/programmer3/supplier-risk-assessment-dataset/data</w:t>
      </w:r>
    </w:p>
    <w:p>
      <w:pPr>
        <w:spacing w:after="120" w:line="264" w:lineRule="auto"/>
      </w:pPr>
      <w:r>
        <w:rPr>
          <w:rFonts w:ascii="Calibri" w:hAnsi="Calibri"/>
        </w:rPr>
        <w:t>scikit-learn developers. (2026). Pipeline, StandardScaler and RandomForestClassifier documentation. https://scikit-learn.org/stable/</w:t>
      </w:r>
    </w:p>
    <w:p>
      <w:pPr>
        <w:spacing w:after="120" w:line="264" w:lineRule="auto"/>
      </w:pPr>
      <w:r>
        <w:rPr>
          <w:rFonts w:ascii="Calibri" w:hAnsi="Calibri"/>
        </w:rPr>
        <w:t>pandas developers. (2026). pandas documentation. https://pandas.pydata.org/docs/</w:t>
      </w:r>
    </w:p>
    <w:p>
      <w:pPr>
        <w:spacing w:after="120" w:line="264" w:lineRule="auto"/>
      </w:pPr>
      <w:r>
        <w:rPr>
          <w:rFonts w:ascii="Calibri" w:hAnsi="Calibri"/>
        </w:rPr>
        <w:t>NumPy developers. (2026). NumPy documentation. https://numpy.org/doc/stable/</w:t>
      </w:r>
    </w:p>
    <w:p>
      <w:pPr>
        <w:spacing w:after="120" w:line="264" w:lineRule="auto"/>
      </w:pPr>
      <w:r>
        <w:rPr>
          <w:rFonts w:ascii="Calibri" w:hAnsi="Calibri"/>
        </w:rPr>
        <w:t>Matplotlib developers. (2026). Matplotlib documentation. https://matplotlib.org/stable/</w:t>
      </w:r>
    </w:p>
    <w:p>
      <w:pPr>
        <w:spacing w:after="120" w:line="264" w:lineRule="auto"/>
      </w:pPr>
      <w:r>
        <w:rPr>
          <w:rFonts w:ascii="Calibri" w:hAnsi="Calibri"/>
        </w:rPr>
        <w:t>Waskom, M. (2026). seaborn documentation. https://seaborn.pydata.org/</w:t>
      </w:r>
    </w:p>
    <w:p>
      <w:pPr>
        <w:spacing w:after="120" w:line="264" w:lineRule="auto"/>
      </w:pPr>
      <w:r>
        <w:rPr>
          <w:rFonts w:ascii="Calibri" w:hAnsi="Calibri"/>
        </w:rPr>
        <w:t>Wikimedia Commons. (2025). Yıldız Technical University Logo.png. https://commons.wikimedia.org/wiki/File:Yıldız_Technical_University_Logo.png</w:t>
      </w:r>
    </w:p>
    <w:p>
      <w:pPr>
        <w:pStyle w:val="Heading1"/>
        <w:spacing w:before="240" w:after="120"/>
      </w:pPr>
      <w:r>
        <w:rPr>
          <w:rFonts w:ascii="Calibri" w:hAnsi="Calibri"/>
          <w:b/>
          <w:color w:val="2E74B5"/>
          <w:sz w:val="32"/>
        </w:rPr>
        <w:t>10. Ekler</w:t>
      </w:r>
    </w:p>
    <w:p>
      <w:pPr>
        <w:pStyle w:val="Heading2"/>
        <w:spacing w:before="160" w:after="80"/>
      </w:pPr>
      <w:r>
        <w:rPr>
          <w:rFonts w:ascii="Calibri" w:hAnsi="Calibri"/>
          <w:b/>
          <w:color w:val="2E74B5"/>
          <w:sz w:val="26"/>
        </w:rPr>
        <w:t>10.1 Proje Dosyaları Envanteri</w:t>
      </w:r>
    </w:p>
    <w:tbl>
      <w:tblPr>
        <w:tblStyle w:val="TableGrid"/>
        <w:tblW w:type="auto" w:w="0"/>
        <w:tblLayout w:type="fixed"/>
        <w:tblLook w:firstColumn="1" w:firstRow="1" w:lastColumn="0" w:lastRow="0" w:noHBand="0" w:noVBand="1" w:val="04A0"/>
      </w:tblPr>
      <w:tblGrid>
        <w:gridCol w:w="4680"/>
        <w:gridCol w:w="4680"/>
      </w:tblGrid>
      <w:tr>
        <w:tc>
          <w:tcPr>
            <w:tcW w:type="dxa" w:w="5184"/>
            <w:shd w:fill="F2F4F7"/>
            <w:tcMar>
              <w:top w:w="80" w:type="dxa"/>
              <w:start w:w="120" w:type="dxa"/>
              <w:bottom w:w="80" w:type="dxa"/>
              <w:end w:w="120" w:type="dxa"/>
            </w:tcMar>
            <w:vAlign w:val="center"/>
          </w:tcPr>
          <w:p>
            <w:pPr>
              <w:jc w:val="center"/>
            </w:pPr>
            <w:r>
              <w:rPr>
                <w:rFonts w:ascii="Calibri" w:hAnsi="Calibri"/>
                <w:b/>
                <w:color w:val="000000"/>
                <w:sz w:val="16"/>
              </w:rPr>
              <w:t>Dosya</w:t>
            </w:r>
          </w:p>
        </w:tc>
        <w:tc>
          <w:tcPr>
            <w:tcW w:type="dxa" w:w="3888"/>
            <w:shd w:fill="F2F4F7"/>
            <w:tcMar>
              <w:top w:w="80" w:type="dxa"/>
              <w:start w:w="120" w:type="dxa"/>
              <w:bottom w:w="80" w:type="dxa"/>
              <w:end w:w="120" w:type="dxa"/>
            </w:tcMar>
            <w:vAlign w:val="center"/>
          </w:tcPr>
          <w:p>
            <w:pPr>
              <w:jc w:val="center"/>
            </w:pPr>
            <w:r>
              <w:rPr>
                <w:rFonts w:ascii="Calibri" w:hAnsi="Calibri"/>
                <w:b/>
                <w:color w:val="000000"/>
                <w:sz w:val="16"/>
              </w:rPr>
              <w:t>Not</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.DS_Store</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.gitignore</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Model_ve_Istatistik_Raporu.md</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ODEV_YAZIM_TALIMATLARI.md</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Supplier Risk Data Exploration.md</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Tedarikci_Risk_Degerlendirmesi_Raporu.docx</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VERİ MADENCİLİĞİNE GİRİŞ PROJE 2026 (2).pdf</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advanced_stats.py</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boxplot_Delivery_Performance_Score.png</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boxplot_Financial_Stability_Score.png</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boxplot_MCDM_Score.png</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boxplot_Quality_Compliance_Score.png</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confusion_matrices_equal_fixed_with_year.png</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confusion_matrices_equal_fixed_without_year.png</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confusion_matrices_equal_quantile.png</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confusion_matrices_equal_quantile_with_year.png</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confusion_matrices_equal_quantile_without_year.png</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confusion_matrices_equal_with_year.png</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confusion_matrices_equal_without_year.png</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confusion_matrices_priority_fixed_with_year.png</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confusion_matrices_priority_fixed_without_year.png</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confusion_matrices_priority_quantile.png</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confusion_matrices_priority_quantile_with_year.png</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confusion_matrices_priority_quantile_without_year.png</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confusion_matrices_priority_with_year.png</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confusion_matrices_priority_without_year.png</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correlation_heatmap.png</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eda_supplier_risk.py</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ml_modeling.py</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model_comparison_equal_fixed_with_year.csv</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model_comparison_equal_fixed_without_year.csv</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model_comparison_equal_quantile.csv</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model_comparison_equal_quantile_with_year.csv</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model_comparison_equal_quantile_without_year.csv</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r>
        <w:tc>
          <w:tcPr>
            <w:tcW w:type="dxa" w:w="5184"/>
            <w:tcMar>
              <w:top w:w="80" w:type="dxa"/>
              <w:start w:w="120" w:type="dxa"/>
              <w:bottom w:w="80" w:type="dxa"/>
              <w:end w:w="120" w:type="dxa"/>
            </w:tcMar>
            <w:vAlign w:val="center"/>
          </w:tcPr>
          <w:p>
            <w:pPr>
              <w:jc w:val="left"/>
            </w:pPr>
            <w:r>
              <w:rPr>
                <w:rFonts w:ascii="Calibri" w:hAnsi="Calibri"/>
                <w:color w:val="000000"/>
                <w:sz w:val="16"/>
              </w:rPr>
              <w:t>model_comparison_equal_with_year.csv</w:t>
            </w:r>
          </w:p>
        </w:tc>
        <w:tc>
          <w:tcPr>
            <w:tcW w:type="dxa" w:w="3888"/>
            <w:tcMar>
              <w:top w:w="80" w:type="dxa"/>
              <w:start w:w="120" w:type="dxa"/>
              <w:bottom w:w="80" w:type="dxa"/>
              <w:end w:w="120" w:type="dxa"/>
            </w:tcMar>
            <w:vAlign w:val="center"/>
          </w:tcPr>
          <w:p>
            <w:pPr>
              <w:jc w:val="center"/>
            </w:pPr>
            <w:r>
              <w:rPr>
                <w:rFonts w:ascii="Calibri" w:hAnsi="Calibri"/>
                <w:color w:val="000000"/>
                <w:sz w:val="16"/>
              </w:rPr>
              <w:t>Proje klasöründe analiz edildi.</w:t>
            </w:r>
          </w:p>
        </w:tc>
      </w:tr>
    </w:tbl>
    <w:p/>
    <w:p>
      <w:pPr>
        <w:spacing w:after="120" w:line="264" w:lineRule="auto"/>
      </w:pPr>
      <w:r>
        <w:rPr>
          <w:rFonts w:ascii="Calibri" w:hAnsi="Calibri"/>
        </w:rPr>
        <w:t>Ek dosyalar: model_comparison_equal_without_year.csv, model_comparison_f1_equal_quantile.png, model_comparison_f1_priority_quantile.png, model_comparison_priority_fixed_with_year.csv, model_comparison_priority_fixed_without_year.csv, model_comparison_priority_quantile.csv, model_comparison_priority_quantile_with_year.csv, model_comparison_priority_quantile_without_year.csv, model_comparison_priority_with_year.csv, model_comparison_priority_without_year.csv, quantile_thresholds.csv, r2_results.txt, rf_feature_importance_equal_fixed_with_year.png, rf_feature_importance_equal_fixed_without_year.png, rf_feature_importance_equal_quantile.png, rf_feature_importance_equal_quantile_with_year.png, rf_feature_importance_equal_quantile_without_year.png, rf_feature_importance_equal_with_year.png, rf_feature_importance_equal_without_year.png, rf_feature_importance_priority_fixed_with_year.png, rf_feature_importance_priority_fixed_without_year.png, rf_feature_importance_priority_quantile.png, rf_feature_importance_priority_quantile_with_year.png, rf_feature_importance_priority_quantile_without_year.png, rf_feature_importance_priority_with_year.png, rf_feature_importance_priority_without_year.png, risk_category_distribution.png, risk_class_comparison.png, supplier_risk.csv, supplier_risk_scored.csv, supplier_risk_scored_quantile.csv, supplier_scoring.py, supplier_scoring_quantile.py, threshold_comparison.png, vif_results.csv, year_distribution.png, ytu_logo.png</w:t>
      </w:r>
    </w:p>
    <w:p>
      <w:pPr>
        <w:pStyle w:val="Heading2"/>
        <w:spacing w:before="160" w:after="80"/>
      </w:pPr>
      <w:r>
        <w:rPr>
          <w:rFonts w:ascii="Calibri" w:hAnsi="Calibri"/>
          <w:b/>
          <w:color w:val="2E74B5"/>
          <w:sz w:val="26"/>
        </w:rPr>
        <w:t>10.2 Kod Ekleri</w:t>
      </w:r>
    </w:p>
    <w:p>
      <w:pPr>
        <w:pStyle w:val="Heading2"/>
        <w:spacing w:before="160" w:after="80"/>
      </w:pPr>
      <w:r>
        <w:rPr>
          <w:rFonts w:ascii="Calibri" w:hAnsi="Calibri"/>
          <w:b/>
          <w:color w:val="2E74B5"/>
          <w:sz w:val="26"/>
        </w:rPr>
        <w:t>eda_supplier_risk.py</w:t>
      </w:r>
    </w:p>
    <w:p>
      <w:pPr>
        <w:spacing w:after="40"/>
      </w:pPr>
      <w:r>
        <w:rPr>
          <w:rFonts w:ascii="Courier New" w:hAnsi="Courier New"/>
          <w:sz w:val="15"/>
        </w:rPr>
        <w:t>import pandas as pd</w:t>
        <w:br/>
        <w:t># pyrefly: ignore [missing-import]</w:t>
        <w:br/>
        <w:t>import numpy as np</w:t>
        <w:br/>
        <w:t># pyrefly: ignore [missing-import]</w:t>
        <w:br/>
        <w:t>import matplotlib.pyplot as plt</w:t>
        <w:br/>
        <w:t>import seaborn as sns</w:t>
        <w:br/>
        <w:br/>
        <w:t>def main():</w:t>
        <w:br/>
        <w:t xml:space="preserve">    # 1. Loading the dataset</w:t>
        <w:br/>
        <w:t xml:space="preserve">    # Reads the CSV file from the current directory.</w:t>
        <w:br/>
        <w:t xml:space="preserve">    file_path = 'supplier_risk.csv'</w:t>
        <w:br/>
        <w:t xml:space="preserve">    try:</w:t>
        <w:br/>
        <w:t xml:space="preserve">        df = pd.read_csv(file_path)</w:t>
        <w:br/>
        <w:t xml:space="preserve">        print(f"Successfully loaded {file_path}\n")</w:t>
        <w:br/>
        <w:t xml:space="preserve">    except FileNotFoundError:</w:t>
        <w:br/>
        <w:t xml:space="preserve">        print(f"Error: Could not find {file_path}. Please make sure the file is in the same directory.")</w:t>
        <w:br/>
        <w:t xml:space="preserve">        return</w:t>
        <w:br/>
        <w:br/>
        <w:t xml:space="preserve">    # 2. Showing dataset shape</w:t>
        <w:br/>
        <w:t xml:space="preserve">    # Prints the number of rows and columns.</w:t>
        <w:br/>
        <w:t xml:space="preserve">    print("--- 2. Dataset Shape ---")</w:t>
        <w:br/>
        <w:t xml:space="preserve">    print(f"Rows: {df.shape[0]}, Columns: {df.shape[1]}\n")</w:t>
        <w:br/>
        <w:br/>
        <w:t xml:space="preserve">    # 3. Showing column names and data types</w:t>
        <w:br/>
        <w:t xml:space="preserve">    # df.info() provides a concise summary including names, non-null counts, and data types.</w:t>
        <w:br/>
        <w:t xml:space="preserve">    print("--- 3. Column Names and Data Types ---")</w:t>
        <w:br/>
        <w:t xml:space="preserve">    print(df.info())</w:t>
        <w:br/>
        <w:t xml:space="preserve">    print("\n")</w:t>
        <w:br/>
        <w:br/>
        <w:t xml:space="preserve">    # 4. Checking missing values</w:t>
        <w:br/>
        <w:t xml:space="preserve">    # Sums the null values for each column and displays only those with missing data.</w:t>
        <w:br/>
        <w:t xml:space="preserve">    print("--- 4. Missing Values ---")</w:t>
        <w:br/>
        <w:t xml:space="preserve">    missing_values = df.isnull().sum()</w:t>
        <w:br/>
        <w:t xml:space="preserve">    if missing_values.sum() &gt; 0:</w:t>
        <w:br/>
        <w:t xml:space="preserve">        print(missing_values[missing_values &gt; 0])</w:t>
        <w:br/>
        <w:t xml:space="preserve">    else:</w:t>
        <w:br/>
        <w:t xml:space="preserve">        print("No missing values found.")</w:t>
        <w:br/>
        <w:t xml:space="preserve">    print("\n")</w:t>
      </w:r>
    </w:p>
    <w:p>
      <w:pPr>
        <w:spacing w:after="40"/>
      </w:pPr>
      <w:r>
        <w:rPr>
          <w:rFonts w:ascii="Courier New" w:hAnsi="Courier New"/>
          <w:sz w:val="15"/>
        </w:rPr>
        <w:br/>
        <w:t xml:space="preserve">    # 5. Checking duplicate rows</w:t>
        <w:br/>
        <w:t xml:space="preserve">    # Counts the total number of exact duplicate rows.</w:t>
        <w:br/>
        <w:t xml:space="preserve">    print("--- 5. Duplicate Rows ---")</w:t>
        <w:br/>
        <w:t xml:space="preserve">    duplicate_count = df.duplicated().sum()</w:t>
        <w:br/>
        <w:t xml:space="preserve">    print(f"Number of duplicate rows: {duplicate_count}\n")</w:t>
        <w:br/>
        <w:br/>
        <w:t xml:space="preserve">    # 6. Showing descriptive statistics</w:t>
        <w:br/>
        <w:t xml:space="preserve">    # Provides mean, std, min, max, and quartiles for numerical columns.</w:t>
        <w:br/>
        <w:t xml:space="preserve">    print("--- 6. Descriptive Statistics ---")</w:t>
        <w:br/>
        <w:t xml:space="preserve">    print(df.describe())</w:t>
        <w:br/>
        <w:t xml:space="preserve">    print("\n")</w:t>
        <w:br/>
        <w:br/>
        <w:t xml:space="preserve">    # 7. Showing the distribution of Risk_Category</w:t>
        <w:br/>
        <w:t xml:space="preserve">    # Counts the occurrences of each category in the Risk_Category column.</w:t>
        <w:br/>
        <w:t xml:space="preserve">    print("--- 7. Distribution of Risk_Category ---")</w:t>
        <w:br/>
        <w:t xml:space="preserve">    if 'Risk_Category' in df.columns:</w:t>
        <w:br/>
        <w:t xml:space="preserve">        print(df['Risk_Category'].value_counts())</w:t>
        <w:br/>
        <w:t xml:space="preserve">    else:</w:t>
        <w:br/>
        <w:t xml:space="preserve">        print("'Risk_Category' column not found.")</w:t>
        <w:br/>
        <w:t xml:space="preserve">    print("\n")</w:t>
        <w:br/>
        <w:br/>
        <w:t xml:space="preserve">    # 8. Showing the distribution of Year</w:t>
        <w:br/>
        <w:t xml:space="preserve">    # Counts the number of records for each year and sorts them chronologically.</w:t>
        <w:br/>
        <w:t xml:space="preserve">    print("--- 8. Distribution of Year ---")</w:t>
        <w:br/>
        <w:t xml:space="preserve">    if 'Year' in df.columns:</w:t>
        <w:br/>
        <w:t xml:space="preserve">        print(df['Year'].value_counts().sort_index())</w:t>
        <w:br/>
        <w:t xml:space="preserve">    else:</w:t>
        <w:br/>
        <w:t xml:space="preserve">        print("'Year' column not found.")</w:t>
        <w:br/>
        <w:t xml:space="preserve">    print("\n")</w:t>
        <w:br/>
        <w:br/>
        <w:t xml:space="preserve">    # 9. Showing the number of unique suppliers</w:t>
        <w:br/>
        <w:t xml:space="preserve">    # Uses nunique() on the Supplier_ID column to find distinct supplier count.</w:t>
        <w:br/>
        <w:t xml:space="preserve">    print("--- 9. Number of Unique Suppliers ---")</w:t>
        <w:br/>
        <w:t xml:space="preserve">    if 'Supplier_ID' in df.columns:</w:t>
        <w:br/>
        <w:t xml:space="preserve">        print(f"Number of unique suppliers (Supplier_ID): {df['Supplier_ID'].nunique()}")</w:t>
        <w:br/>
        <w:t xml:space="preserve">    else:</w:t>
        <w:br/>
        <w:t xml:space="preserve">        print("'Supplier_ID' column not found.")</w:t>
      </w:r>
    </w:p>
    <w:p>
      <w:pPr>
        <w:spacing w:after="40"/>
      </w:pPr>
      <w:r>
        <w:rPr>
          <w:rFonts w:ascii="Courier New" w:hAnsi="Courier New"/>
          <w:sz w:val="15"/>
        </w:rPr>
        <w:t xml:space="preserve">    print("\n")</w:t>
        <w:br/>
        <w:br/>
        <w:t xml:space="preserve">    # 10. Comparing numerical variables by Risk_Category using group means</w:t>
        <w:br/>
        <w:t xml:space="preserve">    # Groups by Risk_Category and calculates the mean for all numerical columns.</w:t>
        <w:br/>
        <w:t xml:space="preserve">    print("--- 10. Group Means of Numerical Variables by Risk_Category ---")</w:t>
        <w:br/>
        <w:t xml:space="preserve">    if 'Risk_Category' in df.columns:</w:t>
        <w:br/>
        <w:t xml:space="preserve">        # Select only numerical columns to avoid errors when calculating means</w:t>
        <w:br/>
        <w:t xml:space="preserve">        numeric_cols = df.select_dtypes(include=[np.number]).columns.tolist()</w:t>
        <w:br/>
        <w:t xml:space="preserve">        if numeric_cols:</w:t>
        <w:br/>
        <w:t xml:space="preserve">            group_means = df.groupby('Risk_Category')[numeric_cols].mean()</w:t>
        <w:br/>
        <w:t xml:space="preserve">            print(group_means)</w:t>
        <w:br/>
        <w:t xml:space="preserve">        else:</w:t>
        <w:br/>
        <w:t xml:space="preserve">            print("No numerical columns found for grouping.")</w:t>
        <w:br/>
        <w:t xml:space="preserve">    else:</w:t>
        <w:br/>
        <w:t xml:space="preserve">        print("'Risk_Category' column not found.")</w:t>
        <w:br/>
        <w:t xml:space="preserve">    print("\n")</w:t>
        <w:br/>
        <w:br/>
        <w:t xml:space="preserve">    # 11. Creating correlation matrix for numerical variables</w:t>
        <w:br/>
        <w:t xml:space="preserve">    # Computes pairwise correlation of numerical columns using Pearson standard correlation coefficient.</w:t>
        <w:br/>
        <w:t xml:space="preserve">    print("--- 11. Correlation Matrix ---")</w:t>
        <w:br/>
        <w:t xml:space="preserve">    numeric_df = df.select_dtypes(include=[np.number])</w:t>
        <w:br/>
        <w:t xml:space="preserve">    if not numeric_df.empty:</w:t>
        <w:br/>
        <w:t xml:space="preserve">        corr_matrix = numeric_df.corr()</w:t>
        <w:br/>
        <w:t xml:space="preserve">        print(corr_matrix)</w:t>
        <w:br/>
        <w:t xml:space="preserve">    else:</w:t>
        <w:br/>
        <w:t xml:space="preserve">        print("No numerical variables to compute correlation.")</w:t>
        <w:br/>
        <w:t xml:space="preserve">        corr_matrix = None</w:t>
        <w:br/>
        <w:t xml:space="preserve">    print("\n")</w:t>
        <w:br/>
        <w:br/>
        <w:t xml:space="preserve">    # 12. Visualizing</w:t>
        <w:br/>
        <w:t xml:space="preserve">    print("--- 12. Generating Visualizations ---")</w:t>
        <w:br/>
        <w:t xml:space="preserve">    sns.set_theme(style="whitegrid") # Set a clean visual theme</w:t>
        <w:br/>
        <w:t xml:space="preserve">    </w:t>
        <w:br/>
        <w:t xml:space="preserve">    # 12a. Risk_Category distribution</w:t>
        <w:br/>
        <w:t xml:space="preserve">    if 'Risk_Category' in df.columns:</w:t>
        <w:br/>
        <w:t xml:space="preserve">        plt.figure(figsize=(8, 5))</w:t>
        <w:br/>
        <w:t xml:space="preserve">        sns.countplot(</w:t>
        <w:br/>
        <w:t xml:space="preserve">            data=df, </w:t>
      </w:r>
    </w:p>
    <w:p>
      <w:pPr>
        <w:spacing w:after="40"/>
      </w:pPr>
      <w:r>
        <w:rPr>
          <w:rFonts w:ascii="Courier New" w:hAnsi="Courier New"/>
          <w:sz w:val="15"/>
        </w:rPr>
        <w:t xml:space="preserve">            x='Risk_Category', </w:t>
        <w:br/>
        <w:t xml:space="preserve">            order=df['Risk_Category'].value_counts().index, </w:t>
        <w:br/>
        <w:t xml:space="preserve">            hue='Risk_Category', </w:t>
        <w:br/>
        <w:t xml:space="preserve">            palette='viridis', </w:t>
        <w:br/>
        <w:t xml:space="preserve">            legend=False</w:t>
        <w:br/>
        <w:t xml:space="preserve">        )</w:t>
        <w:br/>
        <w:t xml:space="preserve">        plt.title('Distribution of Risk_Category')</w:t>
        <w:br/>
        <w:t xml:space="preserve">        plt.xlabel('Risk Category')</w:t>
        <w:br/>
        <w:t xml:space="preserve">        plt.ylabel('Count')</w:t>
        <w:br/>
        <w:t xml:space="preserve">        plt.tight_layout()</w:t>
        <w:br/>
        <w:t xml:space="preserve">        plt.savefig('risk_category_distribution.png')</w:t>
        <w:br/>
        <w:t xml:space="preserve">        print("Görsel kaydedildi: risk_category_distribution.png")</w:t>
        <w:br/>
        <w:t xml:space="preserve">        plt.close()</w:t>
        <w:br/>
        <w:br/>
        <w:t xml:space="preserve">    # 12b. Year distribution</w:t>
        <w:br/>
        <w:t xml:space="preserve">    if 'Year' in df.columns:</w:t>
        <w:br/>
        <w:t xml:space="preserve">        plt.figure(figsize=(8, 5))</w:t>
        <w:br/>
        <w:t xml:space="preserve">        # discrete=True ensures bins align with integer years</w:t>
        <w:br/>
        <w:t xml:space="preserve">        sns.histplot(data=df, x='Year', discrete=True, color='skyblue')</w:t>
        <w:br/>
        <w:t xml:space="preserve">        plt.title('Distribution of Year')</w:t>
        <w:br/>
        <w:t xml:space="preserve">        plt.xlabel('Year')</w:t>
        <w:br/>
        <w:t xml:space="preserve">        plt.ylabel('Frequency')</w:t>
        <w:br/>
        <w:t xml:space="preserve">        # Ensure only integer years are shown on the x-axis</w:t>
        <w:br/>
        <w:t xml:space="preserve">        plt.xticks(sorted(df['Year'].unique()))</w:t>
        <w:br/>
        <w:t xml:space="preserve">        plt.tight_layout()</w:t>
        <w:br/>
        <w:t xml:space="preserve">        plt.savefig('year_distribution.png')</w:t>
        <w:br/>
        <w:t xml:space="preserve">        print("Görsel kaydedildi: year_distribution.png")</w:t>
        <w:br/>
        <w:t xml:space="preserve">        plt.close()</w:t>
        <w:br/>
        <w:br/>
        <w:t xml:space="preserve">    # 12c. Boxplots of key numerical variables by Risk_Category</w:t>
        <w:br/>
        <w:t xml:space="preserve">    if 'Risk_Category' in df.columns and not numeric_df.empty:</w:t>
        <w:br/>
        <w:t xml:space="preserve">        # Select a few key numerical variables for boxplots (excluding IDs and Year)</w:t>
        <w:br/>
        <w:t xml:space="preserve">        potential_key_vars = [</w:t>
        <w:br/>
        <w:t xml:space="preserve">            'Financial_Stability_Score', </w:t>
        <w:br/>
        <w:t xml:space="preserve">            'Delivery_Performance_Score', </w:t>
        <w:br/>
        <w:t xml:space="preserve">            'Quality_Compliance_Score', </w:t>
        <w:br/>
        <w:t xml:space="preserve">            'MCDM_Score'</w:t>
        <w:br/>
        <w:t xml:space="preserve">        ]</w:t>
      </w:r>
    </w:p>
    <w:p>
      <w:pPr>
        <w:spacing w:after="40"/>
      </w:pPr>
      <w:r>
        <w:rPr>
          <w:rFonts w:ascii="Courier New" w:hAnsi="Courier New"/>
          <w:sz w:val="15"/>
        </w:rPr>
        <w:t xml:space="preserve">        key_vars = [var for var in potential_key_vars if var in df.columns]</w:t>
        <w:br/>
        <w:t xml:space="preserve">        </w:t>
        <w:br/>
        <w:t xml:space="preserve">        # Fallback if specific expected variables are not in the dataset</w:t>
        <w:br/>
        <w:t xml:space="preserve">        if not key_vars:</w:t>
        <w:br/>
        <w:t xml:space="preserve">            key_vars = [col for col in numeric_df.columns if col not in ['Supplier_ID', 'Year']][:4]</w:t>
        <w:br/>
        <w:br/>
        <w:t xml:space="preserve">        # Generate a boxplot for each key variable</w:t>
        <w:br/>
        <w:t xml:space="preserve">        for var in key_vars:</w:t>
        <w:br/>
        <w:t xml:space="preserve">            plt.figure(figsize=(8, 5))</w:t>
        <w:br/>
        <w:t xml:space="preserve">            sns.boxplot(</w:t>
        <w:br/>
        <w:t xml:space="preserve">                data=df, </w:t>
        <w:br/>
        <w:t xml:space="preserve">                x='Risk_Category', </w:t>
        <w:br/>
        <w:t xml:space="preserve">                y=var, </w:t>
        <w:br/>
        <w:t xml:space="preserve">                hue='Risk_Category', </w:t>
        <w:br/>
        <w:t xml:space="preserve">                palette='Set2', </w:t>
        <w:br/>
        <w:t xml:space="preserve">                legend=False</w:t>
        <w:br/>
        <w:t xml:space="preserve">            )</w:t>
        <w:br/>
        <w:t xml:space="preserve">            plt.title(f'Boxplot of {var} by Risk_Category')</w:t>
        <w:br/>
        <w:t xml:space="preserve">            plt.xlabel('Risk Category')</w:t>
        <w:br/>
        <w:t xml:space="preserve">            plt.ylabel(var)</w:t>
        <w:br/>
        <w:t xml:space="preserve">            plt.tight_layout()</w:t>
        <w:br/>
        <w:t xml:space="preserve">            plt.savefig(f'boxplot_{var}.png')</w:t>
        <w:br/>
        <w:t xml:space="preserve">            print(f"Görsel kaydedildi: boxplot_{var}.png")</w:t>
        <w:br/>
        <w:t xml:space="preserve">            plt.close()</w:t>
        <w:br/>
        <w:br/>
        <w:t xml:space="preserve">    # 12d. Correlation heatmap</w:t>
        <w:br/>
        <w:t xml:space="preserve">    if not numeric_df.empty:</w:t>
        <w:br/>
        <w:t xml:space="preserve">        plt.figure(figsize=(12, 10))</w:t>
        <w:br/>
        <w:t xml:space="preserve">        # Exclude IDs like 'Supplier_ID' from the correlation heatmap as they aren't meaningful features</w:t>
        <w:br/>
        <w:t xml:space="preserve">        corr_cols = [col for col in numeric_df.columns if col != 'Supplier_ID']</w:t>
        <w:br/>
        <w:t xml:space="preserve">        corr_matrix_viz = df[corr_cols].corr()</w:t>
        <w:br/>
        <w:t xml:space="preserve">        </w:t>
        <w:br/>
        <w:t xml:space="preserve">        # Draw the heatmap with annotations</w:t>
        <w:br/>
        <w:t xml:space="preserve">        sns.heatmap(</w:t>
        <w:br/>
        <w:t xml:space="preserve">            corr_matrix_viz, </w:t>
        <w:br/>
        <w:t xml:space="preserve">            annot=True, </w:t>
        <w:br/>
        <w:t xml:space="preserve">            cmap='coolwarm', </w:t>
        <w:br/>
        <w:t xml:space="preserve">            fmt=".2f", </w:t>
      </w:r>
    </w:p>
    <w:p>
      <w:pPr>
        <w:spacing w:after="40"/>
      </w:pPr>
      <w:r>
        <w:rPr>
          <w:rFonts w:ascii="Courier New" w:hAnsi="Courier New"/>
          <w:sz w:val="15"/>
        </w:rPr>
        <w:t xml:space="preserve">            linewidths=0.5</w:t>
        <w:br/>
        <w:t xml:space="preserve">        )</w:t>
        <w:br/>
        <w:t xml:space="preserve">        plt.title('Correlation Heatmap of Numerical Variables')</w:t>
        <w:br/>
        <w:t xml:space="preserve">        plt.tight_layout()</w:t>
        <w:br/>
        <w:t xml:space="preserve">        plt.savefig('correlation_heatmap.png')</w:t>
        <w:br/>
        <w:t xml:space="preserve">        print("Görsel kaydedildi: correlation_heatmap.png")</w:t>
        <w:br/>
        <w:t xml:space="preserve">        plt.close()</w:t>
        <w:br/>
        <w:br/>
        <w:t>if __name__ == "__main__":</w:t>
        <w:br/>
        <w:t xml:space="preserve">    main()</w:t>
      </w:r>
    </w:p>
    <w:p>
      <w:pPr>
        <w:pStyle w:val="Heading2"/>
        <w:spacing w:before="160" w:after="80"/>
      </w:pPr>
      <w:r>
        <w:rPr>
          <w:rFonts w:ascii="Calibri" w:hAnsi="Calibri"/>
          <w:b/>
          <w:color w:val="2E74B5"/>
          <w:sz w:val="26"/>
        </w:rPr>
        <w:t>supplier_scoring.py</w:t>
      </w:r>
    </w:p>
    <w:p>
      <w:pPr>
        <w:spacing w:after="40"/>
      </w:pPr>
      <w:r>
        <w:rPr>
          <w:rFonts w:ascii="Courier New" w:hAnsi="Courier New"/>
          <w:sz w:val="15"/>
        </w:rPr>
        <w:t>import pandas as pd</w:t>
        <w:br/>
        <w:t>import numpy as np</w:t>
        <w:br/>
        <w:t>import matplotlib.pyplot as plt</w:t>
        <w:br/>
        <w:t>import seaborn as sns</w:t>
        <w:br/>
        <w:t>from sklearn.preprocessing import MinMaxScaler</w:t>
        <w:br/>
        <w:br/>
        <w:t>def main():</w:t>
        <w:br/>
        <w:t xml:space="preserve">    # 1. Load the dataset</w:t>
        <w:br/>
        <w:t xml:space="preserve">    df = pd.read_csv('supplier_risk.csv')</w:t>
        <w:br/>
        <w:t xml:space="preserve">    </w:t>
        <w:br/>
        <w:t xml:space="preserve">    # Define variables to be used</w:t>
        <w:br/>
        <w:t xml:space="preserve">    vars_to_invert = [</w:t>
        <w:br/>
        <w:t xml:space="preserve">        'Financial_Stability_Score',</w:t>
        <w:br/>
        <w:t xml:space="preserve">        'Delivery_Performance_Score',</w:t>
        <w:br/>
        <w:t xml:space="preserve">        'Quality_Compliance_Score',</w:t>
        <w:br/>
        <w:t xml:space="preserve">        'Regulatory_Adherence_Score',</w:t>
        <w:br/>
        <w:t xml:space="preserve">        'Sustainability_Score'</w:t>
        <w:br/>
        <w:t xml:space="preserve">    ]</w:t>
        <w:br/>
        <w:t xml:space="preserve">    vars_direct = [</w:t>
        <w:br/>
        <w:t xml:space="preserve">        'Past_Risk_Level',</w:t>
        <w:br/>
        <w:t xml:space="preserve">        'Incidents_Count'</w:t>
        <w:br/>
        <w:t xml:space="preserve">    ]</w:t>
        <w:br/>
        <w:t xml:space="preserve">    all_vars = vars_to_invert + vars_direct</w:t>
        <w:br/>
        <w:t xml:space="preserve">    </w:t>
        <w:br/>
        <w:t xml:space="preserve">    # 2. Normalize all selected variables to 0-1 range using MinMaxScaler</w:t>
        <w:br/>
        <w:t xml:space="preserve">    scaler = MinMaxScaler()</w:t>
        <w:br/>
        <w:t xml:space="preserve">    df_normalized = pd.DataFrame(scaler.fit_transform(df[all_vars]), columns=all_vars)</w:t>
        <w:br/>
        <w:t xml:space="preserve">    </w:t>
        <w:br/>
        <w:t xml:space="preserve">    # 3. Convert to risk components</w:t>
        <w:br/>
        <w:t xml:space="preserve">    # For performance scores (higher is better), invert them to make them risk components</w:t>
        <w:br/>
        <w:t xml:space="preserve">    for col in vars_to_invert:</w:t>
        <w:br/>
        <w:t xml:space="preserve">        df_normalized[col] = 1.0 - df_normalized[col]</w:t>
        <w:br/>
        <w:t xml:space="preserve">        </w:t>
        <w:br/>
        <w:t xml:space="preserve">    # vars_direct are already such that higher means higher risk, so we use them directly</w:t>
        <w:br/>
        <w:t xml:space="preserve">    </w:t>
        <w:br/>
        <w:t xml:space="preserve">    # 4. Create Equal-weighted risk score</w:t>
        <w:br/>
        <w:t xml:space="preserve">    # Average of all seven risk components</w:t>
        <w:br/>
        <w:t xml:space="preserve">    df['Risk_Score_Equal'] = df_normalized.mean(axis=1)</w:t>
      </w:r>
    </w:p>
    <w:p>
      <w:pPr>
        <w:spacing w:after="40"/>
      </w:pPr>
      <w:r>
        <w:rPr>
          <w:rFonts w:ascii="Courier New" w:hAnsi="Courier New"/>
          <w:sz w:val="15"/>
        </w:rPr>
        <w:t xml:space="preserve">    </w:t>
        <w:br/>
        <w:t xml:space="preserve">    # 5. Create Priority-weighted risk score</w:t>
        <w:br/>
        <w:t xml:space="preserve">    df['Risk_Score_Priority'] = (</w:t>
        <w:br/>
        <w:t xml:space="preserve">        0.27 * df_normalized['Financial_Stability_Score'] +</w:t>
        <w:br/>
        <w:t xml:space="preserve">        0.21 * df_normalized['Delivery_Performance_Score'] +</w:t>
        <w:br/>
        <w:t xml:space="preserve">        0.13 * df_normalized['Quality_Compliance_Score'] +</w:t>
        <w:br/>
        <w:t xml:space="preserve">        0.08 * df_normalized['Regulatory_Adherence_Score'] +</w:t>
        <w:br/>
        <w:t xml:space="preserve">        0.11 * df_normalized['Sustainability_Score'] +</w:t>
        <w:br/>
        <w:t xml:space="preserve">        0.10 * df_normalized['Past_Risk_Level'] +</w:t>
        <w:br/>
        <w:t xml:space="preserve">        0.10 * df_normalized['Incidents_Count']</w:t>
        <w:br/>
        <w:t xml:space="preserve">    )</w:t>
        <w:br/>
        <w:t xml:space="preserve">    </w:t>
        <w:br/>
        <w:t xml:space="preserve">    # 6. Classify scores</w:t>
        <w:br/>
        <w:t xml:space="preserve">    def classify_risk(score):</w:t>
        <w:br/>
        <w:t xml:space="preserve">        if score &lt;= 0.33:</w:t>
        <w:br/>
        <w:t xml:space="preserve">            return 'Low Risk'</w:t>
        <w:br/>
        <w:t xml:space="preserve">        elif score &lt;= 0.66:</w:t>
        <w:br/>
        <w:t xml:space="preserve">            return 'Medium Risk'</w:t>
        <w:br/>
        <w:t xml:space="preserve">        else:</w:t>
        <w:br/>
        <w:t xml:space="preserve">            return 'High Risk'</w:t>
        <w:br/>
        <w:t xml:space="preserve">            </w:t>
        <w:br/>
        <w:t xml:space="preserve">    df['Risk_Class_Equal'] = df['Risk_Score_Equal'].apply(classify_risk)</w:t>
        <w:br/>
        <w:t xml:space="preserve">    df['Risk_Class_Priority'] = df['Risk_Score_Priority'].apply(classify_risk)</w:t>
        <w:br/>
        <w:t xml:space="preserve">    </w:t>
        <w:br/>
        <w:t xml:space="preserve">    # Set categorical order for meaningful plots and crosstabs</w:t>
        <w:br/>
        <w:t xml:space="preserve">    risk_order = ['Low Risk', 'Medium Risk', 'High Risk']</w:t>
        <w:br/>
        <w:t xml:space="preserve">    df['Risk_Class_Equal'] = pd.Categorical(df['Risk_Class_Equal'], categories=risk_order, ordered=True)</w:t>
        <w:br/>
        <w:t xml:space="preserve">    df['Risk_Class_Priority'] = pd.Categorical(df['Risk_Class_Priority'], categories=risk_order, ordered=True)</w:t>
        <w:br/>
        <w:t xml:space="preserve">    </w:t>
        <w:br/>
        <w:t xml:space="preserve">    # --- Generate Outputs ---</w:t>
        <w:br/>
        <w:t xml:space="preserve">    </w:t>
        <w:br/>
        <w:t xml:space="preserve">    # 1. Descriptive statistics of both risk scores</w:t>
        <w:br/>
        <w:t xml:space="preserve">    print("--- 1. Descriptive Statistics of Risk Scores ---")</w:t>
        <w:br/>
        <w:t xml:space="preserve">    print(df[['Risk_Score_Equal', 'Risk_Score_Priority']].describe())</w:t>
        <w:br/>
        <w:t xml:space="preserve">    print("\n")</w:t>
        <w:br/>
        <w:t xml:space="preserve">    </w:t>
        <w:br/>
        <w:t xml:space="preserve">    # 2. Class distributions for both methods</w:t>
        <w:br/>
        <w:t xml:space="preserve">    print("--- 2. Class Distributions ---")</w:t>
      </w:r>
    </w:p>
    <w:p>
      <w:pPr>
        <w:spacing w:after="40"/>
      </w:pPr>
      <w:r>
        <w:rPr>
          <w:rFonts w:ascii="Courier New" w:hAnsi="Courier New"/>
          <w:sz w:val="15"/>
        </w:rPr>
        <w:t xml:space="preserve">    print("Equal-weighted:")</w:t>
        <w:br/>
        <w:t xml:space="preserve">    print(df['Risk_Class_Equal'].value_counts().sort_index())</w:t>
        <w:br/>
        <w:t xml:space="preserve">    print("\nPriority-weighted:")</w:t>
        <w:br/>
        <w:t xml:space="preserve">    print(df['Risk_Class_Priority'].value_counts().sort_index())</w:t>
        <w:br/>
        <w:t xml:space="preserve">    print("\n")</w:t>
        <w:br/>
        <w:t xml:space="preserve">    </w:t>
        <w:br/>
        <w:t xml:space="preserve">    # 3. Bar charts comparing Low / Medium / High distributions</w:t>
        <w:br/>
        <w:t xml:space="preserve">    plt.figure(figsize=(12, 5))</w:t>
        <w:br/>
        <w:t xml:space="preserve">    </w:t>
        <w:br/>
        <w:t xml:space="preserve">    plt.subplot(1, 2, 1)</w:t>
        <w:br/>
        <w:t xml:space="preserve">    sns.countplot(data=df, x='Risk_Class_Equal', palette=['#1a9850', '#fee08b', '#d73027'], order=risk_order, legend=False, hue='Risk_Class_Equal')</w:t>
        <w:br/>
        <w:t xml:space="preserve">    plt.title('Equal-Weighted Risk Classes')</w:t>
        <w:br/>
        <w:t xml:space="preserve">    plt.xlabel('Risk Class')</w:t>
        <w:br/>
        <w:t xml:space="preserve">    plt.ylabel('Count')</w:t>
        <w:br/>
        <w:t xml:space="preserve">    </w:t>
        <w:br/>
        <w:t xml:space="preserve">    plt.subplot(1, 2, 2)</w:t>
        <w:br/>
        <w:t xml:space="preserve">    sns.countplot(data=df, x='Risk_Class_Priority', palette=['#1a9850', '#fee08b', '#d73027'], order=risk_order, legend=False, hue='Risk_Class_Priority')</w:t>
        <w:br/>
        <w:t xml:space="preserve">    plt.title('Priority-Weighted Risk Classes')</w:t>
        <w:br/>
        <w:t xml:space="preserve">    plt.xlabel('Risk Class')</w:t>
        <w:br/>
        <w:t xml:space="preserve">    plt.ylabel('Count')</w:t>
        <w:br/>
        <w:t xml:space="preserve">    </w:t>
        <w:br/>
        <w:t xml:space="preserve">    plt.tight_layout()</w:t>
        <w:br/>
        <w:t xml:space="preserve">    plt.savefig('risk_class_comparison.png')</w:t>
        <w:br/>
        <w:t xml:space="preserve">    print("--- 3. Saved 'risk_class_comparison.png' ---")</w:t>
        <w:br/>
        <w:t xml:space="preserve">    plt.close()</w:t>
        <w:br/>
        <w:t xml:space="preserve">    </w:t>
        <w:br/>
        <w:t xml:space="preserve">    # 4. Cross-tabulation between Risk_Class_Equal and Risk_Class_Priority</w:t>
        <w:br/>
        <w:t xml:space="preserve">    print("\n--- 4. Cross-tabulation (Equal vs Priority) ---")</w:t>
        <w:br/>
        <w:t xml:space="preserve">    crosstab = pd.crosstab(df['Risk_Class_Equal'], df['Risk_Class_Priority'], rownames=['Equal Weight'], colnames=['Priority Weight'])</w:t>
        <w:br/>
        <w:t xml:space="preserve">    print(crosstab)</w:t>
        <w:br/>
        <w:t xml:space="preserve">    print("\n")</w:t>
        <w:br/>
        <w:t xml:space="preserve">    </w:t>
        <w:br/>
        <w:t xml:space="preserve">    # 6. Save the new dataset</w:t>
        <w:br/>
        <w:t xml:space="preserve">    output_file = 'supplier_risk_scored.csv'</w:t>
        <w:br/>
        <w:t xml:space="preserve">    df.to_csv(output_file, index=False)</w:t>
        <w:br/>
        <w:t xml:space="preserve">    print(f"--- 6. Saved new dataset to '{output_file}' ---")</w:t>
        <w:br/>
        <w:br/>
        <w:t>if __name__ == "__main__":</w:t>
      </w:r>
    </w:p>
    <w:p>
      <w:pPr>
        <w:spacing w:after="40"/>
      </w:pPr>
      <w:r>
        <w:rPr>
          <w:rFonts w:ascii="Courier New" w:hAnsi="Courier New"/>
          <w:sz w:val="15"/>
        </w:rPr>
        <w:t xml:space="preserve">    main()</w:t>
      </w:r>
    </w:p>
    <w:p>
      <w:pPr>
        <w:pStyle w:val="Heading2"/>
        <w:spacing w:before="160" w:after="80"/>
      </w:pPr>
      <w:r>
        <w:rPr>
          <w:rFonts w:ascii="Calibri" w:hAnsi="Calibri"/>
          <w:b/>
          <w:color w:val="2E74B5"/>
          <w:sz w:val="26"/>
        </w:rPr>
        <w:t>supplier_scoring_quantile.py</w:t>
      </w:r>
    </w:p>
    <w:p>
      <w:pPr>
        <w:spacing w:after="40"/>
      </w:pPr>
      <w:r>
        <w:rPr>
          <w:rFonts w:ascii="Courier New" w:hAnsi="Courier New"/>
          <w:sz w:val="15"/>
        </w:rPr>
        <w:t>import pandas as pd</w:t>
        <w:br/>
        <w:t># pyrefly: ignore [missing-import]</w:t>
        <w:br/>
        <w:t>import matplotlib.pyplot as plt</w:t>
        <w:br/>
        <w:t>import seaborn as sns</w:t>
        <w:br/>
        <w:br/>
        <w:t>def main():</w:t>
        <w:br/>
        <w:t xml:space="preserve">    # Load the scored dataset</w:t>
        <w:br/>
        <w:t xml:space="preserve">    df = pd.read_csv('supplier_risk_scored.csv')</w:t>
        <w:br/>
        <w:t xml:space="preserve">    </w:t>
        <w:br/>
        <w:t xml:space="preserve">    # 1. Calculate quantile thresholds</w:t>
        <w:br/>
        <w:t xml:space="preserve">    quantiles_equal = df['Risk_Score_Equal'].quantile([0.33, 0.66])</w:t>
        <w:br/>
        <w:t xml:space="preserve">    quantiles_priority = df['Risk_Score_Priority'].quantile([0.33, 0.66])</w:t>
        <w:br/>
        <w:t xml:space="preserve">    </w:t>
        <w:br/>
        <w:t xml:space="preserve">    print("--- 1. Quantile Threshold Values ---")</w:t>
        <w:br/>
        <w:t xml:space="preserve">    print(f"Risk_Score_Equal thresholds: 33% = {quantiles_equal[0.33]:.4f}, 66% = {quantiles_equal[0.66]:.4f}")</w:t>
        <w:br/>
        <w:t xml:space="preserve">    print(f"Risk_Score_Priority thresholds: 33% = {quantiles_priority[0.33]:.4f}, 66% = {quantiles_priority[0.66]:.4f}")</w:t>
        <w:br/>
        <w:t xml:space="preserve">    print("\n")</w:t>
        <w:br/>
        <w:t xml:space="preserve">    </w:t>
        <w:br/>
        <w:t xml:space="preserve">    # Save thresholds to CSV</w:t>
        <w:br/>
        <w:t xml:space="preserve">    thresholds_df = pd.DataFrame({</w:t>
        <w:br/>
        <w:t xml:space="preserve">        'Scoring_Method': ['Risk_Score_Equal', 'Risk_Score_Priority'],</w:t>
        <w:br/>
        <w:t xml:space="preserve">        'Low_Medium_Threshold': [quantiles_equal[0.33], quantiles_priority[0.33]],</w:t>
        <w:br/>
        <w:t xml:space="preserve">        'Medium_High_Threshold': [quantiles_equal[0.66], quantiles_priority[0.66]]</w:t>
        <w:br/>
        <w:t xml:space="preserve">    })</w:t>
        <w:br/>
        <w:t xml:space="preserve">    thresholds_df.to_csv('quantile_thresholds.csv', index=False)</w:t>
        <w:br/>
        <w:t xml:space="preserve">    print("--- Saved 'quantile_thresholds.csv' ---\n")</w:t>
        <w:br/>
        <w:br/>
        <w:t xml:space="preserve">    # 2. Assign quantile-based classes</w:t>
        <w:br/>
        <w:t xml:space="preserve">    def classify_quantile(score, q33, q66):</w:t>
        <w:br/>
        <w:t xml:space="preserve">        if score &lt;= q33:</w:t>
        <w:br/>
        <w:t xml:space="preserve">            return 'Low Risk'</w:t>
        <w:br/>
        <w:t xml:space="preserve">        elif score &lt;= q66:</w:t>
        <w:br/>
        <w:t xml:space="preserve">            return 'Medium Risk'</w:t>
        <w:br/>
        <w:t xml:space="preserve">        else:</w:t>
        <w:br/>
        <w:t xml:space="preserve">            return 'High Risk'</w:t>
        <w:br/>
        <w:t xml:space="preserve">            </w:t>
        <w:br/>
        <w:t xml:space="preserve">    df['Risk_Class_Equal_Quantile'] = df['Risk_Score_Equal'].apply(</w:t>
        <w:br/>
        <w:t xml:space="preserve">        lambda x: classify_quantile(x, quantiles_equal[0.33], quantiles_equal[0.66])</w:t>
      </w:r>
    </w:p>
    <w:p>
      <w:pPr>
        <w:spacing w:after="40"/>
      </w:pPr>
      <w:r>
        <w:rPr>
          <w:rFonts w:ascii="Courier New" w:hAnsi="Courier New"/>
          <w:sz w:val="15"/>
        </w:rPr>
        <w:t xml:space="preserve">    )</w:t>
        <w:br/>
        <w:t xml:space="preserve">    df['Risk_Class_Priority_Quantile'] = df['Risk_Score_Priority'].apply(</w:t>
        <w:br/>
        <w:t xml:space="preserve">        lambda x: classify_quantile(x, quantiles_priority[0.33], quantiles_priority[0.66])</w:t>
        <w:br/>
        <w:t xml:space="preserve">    )</w:t>
        <w:br/>
        <w:t xml:space="preserve">    </w:t>
        <w:br/>
        <w:t xml:space="preserve">    # Set categorical order</w:t>
        <w:br/>
        <w:t xml:space="preserve">    risk_order = ['Low Risk', 'Medium Risk', 'High Risk']</w:t>
        <w:br/>
        <w:t xml:space="preserve">    df['Risk_Class_Equal_Quantile'] = pd.Categorical(df['Risk_Class_Equal_Quantile'], categories=risk_order, ordered=True)</w:t>
        <w:br/>
        <w:t xml:space="preserve">    df['Risk_Class_Priority_Quantile'] = pd.Categorical(df['Risk_Class_Priority_Quantile'], categories=risk_order, ordered=True)</w:t>
        <w:br/>
        <w:t xml:space="preserve">    </w:t>
        <w:br/>
        <w:t xml:space="preserve">    # Also ensure old ones are ordered</w:t>
        <w:br/>
        <w:t xml:space="preserve">    df['Risk_Class_Equal'] = pd.Categorical(df['Risk_Class_Equal'], categories=risk_order, ordered=True)</w:t>
        <w:br/>
        <w:t xml:space="preserve">    df['Risk_Class_Priority'] = pd.Categorical(df['Risk_Class_Priority'], categories=risk_order, ordered=True)</w:t>
        <w:br/>
        <w:t xml:space="preserve">    </w:t>
        <w:br/>
        <w:t xml:space="preserve">    # 2. Class distributions</w:t>
        <w:br/>
        <w:t xml:space="preserve">    print("--- 2. Class Distributions ---")</w:t>
        <w:br/>
        <w:t xml:space="preserve">    print("Equal-weighted (Fixed vs Quantile):")</w:t>
        <w:br/>
        <w:t xml:space="preserve">    print("Fixed:")</w:t>
        <w:br/>
        <w:t xml:space="preserve">    print(df['Risk_Class_Equal'].value_counts().sort_index())</w:t>
        <w:br/>
        <w:t xml:space="preserve">    print("\nQuantile:")</w:t>
        <w:br/>
        <w:t xml:space="preserve">    print(df['Risk_Class_Equal_Quantile'].value_counts().sort_index())</w:t>
        <w:br/>
        <w:t xml:space="preserve">    </w:t>
        <w:br/>
        <w:t xml:space="preserve">    print("\nPriority-weighted (Fixed vs Quantile):")</w:t>
        <w:br/>
        <w:t xml:space="preserve">    print("Fixed:")</w:t>
        <w:br/>
        <w:t xml:space="preserve">    print(df['Risk_Class_Priority'].value_counts().sort_index())</w:t>
        <w:br/>
        <w:t xml:space="preserve">    print("\nQuantile:")</w:t>
        <w:br/>
        <w:t xml:space="preserve">    print(df['Risk_Class_Priority_Quantile'].value_counts().sort_index())</w:t>
        <w:br/>
        <w:t xml:space="preserve">    print("\n")</w:t>
        <w:br/>
        <w:t xml:space="preserve">    </w:t>
        <w:br/>
        <w:t xml:space="preserve">    # 3. Bar charts comparing both thresholding approaches</w:t>
        <w:br/>
        <w:t xml:space="preserve">    plt.figure(figsize=(14, 10))</w:t>
        <w:br/>
        <w:t xml:space="preserve">    sns.set_theme(style="whitegrid")</w:t>
        <w:br/>
        <w:t xml:space="preserve">    </w:t>
        <w:br/>
        <w:t xml:space="preserve">    palette = ['#1a9850', '#fee08b', '#d73027']</w:t>
        <w:br/>
        <w:t xml:space="preserve">    </w:t>
        <w:br/>
        <w:t xml:space="preserve">    plt.subplot(2, 2, 1)</w:t>
        <w:br/>
        <w:t xml:space="preserve">    sns.countplot(data=df, x='Risk_Class_Equal', palette=palette, order=risk_order, legend=False, hue='Risk_Class_Equal')</w:t>
        <w:br/>
        <w:t xml:space="preserve">    plt.title('Equal-Weighted (Fixed Threshold)')</w:t>
      </w:r>
    </w:p>
    <w:p>
      <w:pPr>
        <w:spacing w:after="40"/>
      </w:pPr>
      <w:r>
        <w:rPr>
          <w:rFonts w:ascii="Courier New" w:hAnsi="Courier New"/>
          <w:sz w:val="15"/>
        </w:rPr>
        <w:t xml:space="preserve">    plt.xlabel('')</w:t>
        <w:br/>
        <w:t xml:space="preserve">    plt.ylabel('Count')</w:t>
        <w:br/>
        <w:t xml:space="preserve">    </w:t>
        <w:br/>
        <w:t xml:space="preserve">    plt.subplot(2, 2, 2)</w:t>
        <w:br/>
        <w:t xml:space="preserve">    sns.countplot(data=df, x='Risk_Class_Equal_Quantile', palette=palette, order=risk_order, legend=False, hue='Risk_Class_Equal_Quantile')</w:t>
        <w:br/>
        <w:t xml:space="preserve">    plt.title('Equal-Weighted (Quantile Threshold)')</w:t>
        <w:br/>
        <w:t xml:space="preserve">    plt.xlabel('')</w:t>
        <w:br/>
        <w:t xml:space="preserve">    plt.ylabel('Count')</w:t>
        <w:br/>
        <w:t xml:space="preserve">    </w:t>
        <w:br/>
        <w:t xml:space="preserve">    plt.subplot(2, 2, 3)</w:t>
        <w:br/>
        <w:t xml:space="preserve">    sns.countplot(data=df, x='Risk_Class_Priority', palette=palette, order=risk_order, legend=False, hue='Risk_Class_Priority')</w:t>
        <w:br/>
        <w:t xml:space="preserve">    plt.title('Priority-Weighted (Fixed Threshold)')</w:t>
        <w:br/>
        <w:t xml:space="preserve">    plt.xlabel('Risk Class')</w:t>
        <w:br/>
        <w:t xml:space="preserve">    plt.ylabel('Count')</w:t>
        <w:br/>
        <w:t xml:space="preserve">    </w:t>
        <w:br/>
        <w:t xml:space="preserve">    plt.subplot(2, 2, 4)</w:t>
        <w:br/>
        <w:t xml:space="preserve">    sns.countplot(data=df, x='Risk_Class_Priority_Quantile', palette=palette, order=risk_order, legend=False, hue='Risk_Class_Priority_Quantile')</w:t>
        <w:br/>
        <w:t xml:space="preserve">    plt.title('Priority-Weighted (Quantile Threshold)')</w:t>
        <w:br/>
        <w:t xml:space="preserve">    plt.xlabel('Risk Class')</w:t>
        <w:br/>
        <w:t xml:space="preserve">    plt.ylabel('Count')</w:t>
        <w:br/>
        <w:t xml:space="preserve">    </w:t>
        <w:br/>
        <w:t xml:space="preserve">    plt.tight_layout()</w:t>
        <w:br/>
        <w:t xml:space="preserve">    plt.savefig('threshold_comparison.png')</w:t>
        <w:br/>
        <w:t xml:space="preserve">    print("--- 3. Saved 'threshold_comparison.png' ---")</w:t>
        <w:br/>
        <w:t xml:space="preserve">    plt.close()</w:t>
        <w:br/>
        <w:t xml:space="preserve">    </w:t>
        <w:br/>
        <w:t xml:space="preserve">    # 4. Cross-tabulation between fixed-threshold and quantile-threshold classes</w:t>
        <w:br/>
        <w:t xml:space="preserve">    print("\n--- 4. Cross-tabulation (Fixed vs Quantile) ---")</w:t>
        <w:br/>
        <w:t xml:space="preserve">    print("\nEqual-Weighted:")</w:t>
        <w:br/>
        <w:t xml:space="preserve">    print(pd.crosstab(df['Risk_Class_Equal'], df['Risk_Class_Equal_Quantile'], rownames=['Fixed'], colnames=['Quantile']))</w:t>
        <w:br/>
        <w:t xml:space="preserve">    </w:t>
        <w:br/>
        <w:t xml:space="preserve">    print("\nPriority-Weighted:")</w:t>
        <w:br/>
        <w:t xml:space="preserve">    print(pd.crosstab(df['Risk_Class_Priority'], df['Risk_Class_Priority_Quantile'], rownames=['Fixed'], colnames=['Quantile']))</w:t>
        <w:br/>
        <w:t xml:space="preserve">    print("\n")</w:t>
        <w:br/>
        <w:t xml:space="preserve">    </w:t>
        <w:br/>
        <w:t xml:space="preserve">    # 5. Save the updated dataset</w:t>
        <w:br/>
        <w:t xml:space="preserve">    output_file = 'supplier_risk_scored_quantile.csv'</w:t>
        <w:br/>
        <w:t xml:space="preserve">    df.to_csv(output_file, index=False)</w:t>
      </w:r>
    </w:p>
    <w:p>
      <w:pPr>
        <w:spacing w:after="40"/>
      </w:pPr>
      <w:r>
        <w:rPr>
          <w:rFonts w:ascii="Courier New" w:hAnsi="Courier New"/>
          <w:sz w:val="15"/>
        </w:rPr>
        <w:t xml:space="preserve">    print(f"--- 5. Saved updated dataset to '{output_file}' ---")</w:t>
        <w:br/>
        <w:br/>
        <w:t>if __name__ == "__main__":</w:t>
        <w:br/>
        <w:t xml:space="preserve">    main()</w:t>
      </w:r>
    </w:p>
    <w:p>
      <w:pPr>
        <w:pStyle w:val="Heading2"/>
        <w:spacing w:before="160" w:after="80"/>
      </w:pPr>
      <w:r>
        <w:rPr>
          <w:rFonts w:ascii="Calibri" w:hAnsi="Calibri"/>
          <w:b/>
          <w:color w:val="2E74B5"/>
          <w:sz w:val="26"/>
        </w:rPr>
        <w:t>ml_modeling.py</w:t>
      </w:r>
    </w:p>
    <w:p>
      <w:pPr>
        <w:spacing w:after="40"/>
      </w:pPr>
      <w:r>
        <w:rPr>
          <w:rFonts w:ascii="Courier New" w:hAnsi="Courier New"/>
          <w:sz w:val="15"/>
        </w:rPr>
        <w:t>import pandas as pd</w:t>
        <w:br/>
        <w:t>import numpy as np</w:t>
        <w:br/>
        <w:t># pyrefly: ignore [missing-import]</w:t>
        <w:br/>
        <w:t>import matplotlib.pyplot as plt</w:t>
        <w:br/>
        <w:t>import seaborn as sns</w:t>
        <w:br/>
        <w:t>from sklearn.model_selection import train_test_split</w:t>
        <w:br/>
        <w:t>from sklearn.preprocessing import LabelEncoder, StandardScaler</w:t>
        <w:br/>
        <w:t>from sklearn.pipeline import Pipeline</w:t>
        <w:br/>
        <w:t>from sklearn.linear_model import LogisticRegression</w:t>
        <w:br/>
        <w:t>from sklearn.tree import DecisionTreeClassifier</w:t>
        <w:br/>
        <w:t>from sklearn.ensemble import RandomForestClassifier</w:t>
        <w:br/>
        <w:t>from sklearn.neighbors import KNeighborsClassifier</w:t>
        <w:br/>
        <w:t>from sklearn.metrics import accuracy_score, precision_score, recall_score, f1_score, confusion_matrix</w:t>
        <w:br/>
        <w:br/>
        <w:t>def train_and_evaluate(X, y, target_name, file_suffix):</w:t>
        <w:br/>
        <w:t xml:space="preserve">    # Encode target</w:t>
        <w:br/>
        <w:t xml:space="preserve">    le = LabelEncoder()</w:t>
        <w:br/>
        <w:t xml:space="preserve">    y_encoded = le.fit_transform(y)</w:t>
        <w:br/>
        <w:t xml:space="preserve">    </w:t>
        <w:br/>
        <w:t xml:space="preserve">    # Train-test split</w:t>
        <w:br/>
        <w:t xml:space="preserve">    X_train, X_test, y_train, y_test = train_test_split(</w:t>
        <w:br/>
        <w:t xml:space="preserve">        X, y_encoded, test_size=0.20, random_state=42, stratify=y_encoded</w:t>
        <w:br/>
        <w:t xml:space="preserve">    )</w:t>
        <w:br/>
        <w:t xml:space="preserve">    </w:t>
        <w:br/>
        <w:t xml:space="preserve">    # Define models with appropriate pipelines</w:t>
        <w:br/>
        <w:t xml:space="preserve">    models = {</w:t>
        <w:br/>
        <w:t xml:space="preserve">        'Logistic Regression': Pipeline([</w:t>
        <w:br/>
        <w:t xml:space="preserve">            ('scaler', StandardScaler()),</w:t>
        <w:br/>
        <w:t xml:space="preserve">            ('model', LogisticRegression(max_iter=1000, random_state=42))</w:t>
        <w:br/>
        <w:t xml:space="preserve">        ]),</w:t>
        <w:br/>
        <w:t xml:space="preserve">        'Decision Tree': DecisionTreeClassifier(random_state=42),</w:t>
        <w:br/>
        <w:t xml:space="preserve">        'Random Forest': RandomForestClassifier(random_state=42),</w:t>
        <w:br/>
        <w:t xml:space="preserve">        'K-Nearest Neighbors': Pipeline([</w:t>
        <w:br/>
        <w:t xml:space="preserve">            ('scaler', StandardScaler()),</w:t>
        <w:br/>
        <w:t xml:space="preserve">            ('model', KNeighborsClassifier())</w:t>
        <w:br/>
        <w:t xml:space="preserve">        ])</w:t>
        <w:br/>
        <w:t xml:space="preserve">    }</w:t>
        <w:br/>
        <w:t xml:space="preserve">    </w:t>
      </w:r>
    </w:p>
    <w:p>
      <w:pPr>
        <w:spacing w:after="40"/>
      </w:pPr>
      <w:r>
        <w:rPr>
          <w:rFonts w:ascii="Courier New" w:hAnsi="Courier New"/>
          <w:sz w:val="15"/>
        </w:rPr>
        <w:t xml:space="preserve">    results = []</w:t>
        <w:br/>
        <w:t xml:space="preserve">    </w:t>
        <w:br/>
        <w:t xml:space="preserve">    # Prepare figure for confusion matrices</w:t>
        <w:br/>
        <w:t xml:space="preserve">    plt.figure(figsize=(15, 10))</w:t>
        <w:br/>
        <w:t xml:space="preserve">    </w:t>
        <w:br/>
        <w:t xml:space="preserve">    for i, (name, model) in enumerate(models.items(), 1):</w:t>
        <w:br/>
        <w:t xml:space="preserve">        # Train and predict</w:t>
        <w:br/>
        <w:t xml:space="preserve">        model.fit(X_train, y_train)</w:t>
        <w:br/>
        <w:t xml:space="preserve">        y_pred = model.predict(X_test)</w:t>
        <w:br/>
        <w:t xml:space="preserve">        </w:t>
        <w:br/>
        <w:t xml:space="preserve">        # Calculate metrics</w:t>
        <w:br/>
        <w:t xml:space="preserve">        acc = accuracy_score(y_test, y_pred)</w:t>
        <w:br/>
        <w:t xml:space="preserve">        prec = precision_score(y_test, y_pred, average='macro', zero_division=0)</w:t>
        <w:br/>
        <w:t xml:space="preserve">        rec = recall_score(y_test, y_pred, average='macro')</w:t>
        <w:br/>
        <w:t xml:space="preserve">        f1 = f1_score(y_test, y_pred, average='macro')</w:t>
        <w:br/>
        <w:t xml:space="preserve">        </w:t>
        <w:br/>
        <w:t xml:space="preserve">        results.append({</w:t>
        <w:br/>
        <w:t xml:space="preserve">            'Model': name,</w:t>
        <w:br/>
        <w:t xml:space="preserve">            'Accuracy': acc,</w:t>
        <w:br/>
        <w:t xml:space="preserve">            'Precision_Macro': prec,</w:t>
        <w:br/>
        <w:t xml:space="preserve">            'Recall_Macro': rec,</w:t>
        <w:br/>
        <w:t xml:space="preserve">            'F1_Macro': f1</w:t>
        <w:br/>
        <w:t xml:space="preserve">        })</w:t>
        <w:br/>
        <w:t xml:space="preserve">        </w:t>
        <w:br/>
        <w:t xml:space="preserve">        # Plot confusion matrix</w:t>
        <w:br/>
        <w:t xml:space="preserve">        cm = confusion_matrix(y_test, y_pred)</w:t>
        <w:br/>
        <w:t xml:space="preserve">        plt.subplot(2, 2, i)</w:t>
        <w:br/>
        <w:t xml:space="preserve">        sns.heatmap(cm, annot=True, fmt='d', cmap='Blues', </w:t>
        <w:br/>
        <w:t xml:space="preserve">                    xticklabels=le.classes_, yticklabels=le.classes_)</w:t>
        <w:br/>
        <w:t xml:space="preserve">        plt.title(f'{name}\n({target_name})')</w:t>
        <w:br/>
        <w:t xml:space="preserve">        plt.xlabel('Predicted')</w:t>
        <w:br/>
        <w:t xml:space="preserve">        plt.ylabel('Actual')</w:t>
        <w:br/>
        <w:t xml:space="preserve">        </w:t>
        <w:br/>
        <w:t xml:space="preserve">    plt.tight_layout()</w:t>
        <w:br/>
        <w:t xml:space="preserve">    plt.savefig(f'confusion_matrices_{file_suffix}.png')</w:t>
        <w:br/>
        <w:t xml:space="preserve">    plt.close()</w:t>
        <w:br/>
        <w:t xml:space="preserve">    </w:t>
        <w:br/>
        <w:t xml:space="preserve">    # Save comparison table</w:t>
      </w:r>
    </w:p>
    <w:p>
      <w:pPr>
        <w:spacing w:after="40"/>
      </w:pPr>
      <w:r>
        <w:rPr>
          <w:rFonts w:ascii="Courier New" w:hAnsi="Courier New"/>
          <w:sz w:val="15"/>
        </w:rPr>
        <w:t xml:space="preserve">    results_df = pd.DataFrame(results)</w:t>
        <w:br/>
        <w:t xml:space="preserve">    results_df.to_csv(f'model_comparison_{file_suffix}.csv', index=False)</w:t>
        <w:br/>
        <w:t xml:space="preserve">    </w:t>
        <w:br/>
        <w:t xml:space="preserve">    # Feature importances for Random Forest</w:t>
        <w:br/>
        <w:t xml:space="preserve">    rf_model = models['Random Forest']</w:t>
        <w:br/>
        <w:t xml:space="preserve">    importances = rf_model.feature_importances_</w:t>
        <w:br/>
        <w:t xml:space="preserve">    indices = np.argsort(importances)[::-1]</w:t>
        <w:br/>
        <w:t xml:space="preserve">    </w:t>
        <w:br/>
        <w:t xml:space="preserve">    plt.figure(figsize=(10, 6))</w:t>
        <w:br/>
        <w:t xml:space="preserve">    sns.barplot(x=importances[indices], y=[X.columns[i] for i in indices], </w:t>
        <w:br/>
        <w:t xml:space="preserve">                palette='magma', hue=[X.columns[i] for i in indices], legend=False)</w:t>
        <w:br/>
        <w:t xml:space="preserve">    plt.title(f'Random Forest Feature Importance\n({target_name})')</w:t>
        <w:br/>
        <w:t xml:space="preserve">    plt.xlabel('Importance')</w:t>
        <w:br/>
        <w:t xml:space="preserve">    plt.tight_layout()</w:t>
        <w:br/>
        <w:t xml:space="preserve">    plt.savefig(f'rf_feature_importance_{file_suffix}.png')</w:t>
        <w:br/>
        <w:t xml:space="preserve">    plt.close()</w:t>
        <w:br/>
        <w:br/>
        <w:t xml:space="preserve">    return results_df</w:t>
        <w:br/>
        <w:br/>
        <w:t>def main():</w:t>
        <w:br/>
        <w:t xml:space="preserve">    # Load dataset</w:t>
        <w:br/>
        <w:t xml:space="preserve">    df = pd.read_csv('supplier_risk_scored_quantile.csv')</w:t>
        <w:br/>
        <w:t xml:space="preserve">    </w:t>
        <w:br/>
        <w:t xml:space="preserve">    # Define feature sets</w:t>
        <w:br/>
        <w:t xml:space="preserve">    features_base = [</w:t>
        <w:br/>
        <w:t xml:space="preserve">        'Financial_Stability_Score',</w:t>
        <w:br/>
        <w:t xml:space="preserve">        'Delivery_Performance_Score',</w:t>
        <w:br/>
        <w:t xml:space="preserve">        'Quality_Compliance_Score',</w:t>
        <w:br/>
        <w:t xml:space="preserve">        'Regulatory_Adherence_Score',</w:t>
        <w:br/>
        <w:t xml:space="preserve">        'Sustainability_Score',</w:t>
        <w:br/>
        <w:t xml:space="preserve">        'Past_Risk_Level',</w:t>
        <w:br/>
        <w:t xml:space="preserve">        'Incidents_Count'</w:t>
        <w:br/>
        <w:t xml:space="preserve">    ]</w:t>
        <w:br/>
        <w:t xml:space="preserve">    features_year = features_base + ['Year']</w:t>
        <w:br/>
        <w:t xml:space="preserve">    </w:t>
        <w:br/>
        <w:t xml:space="preserve">    feature_sets = {</w:t>
        <w:br/>
        <w:t xml:space="preserve">        'without_year': features_base,</w:t>
        <w:br/>
        <w:t xml:space="preserve">        'with_year': features_year</w:t>
      </w:r>
    </w:p>
    <w:p>
      <w:pPr>
        <w:spacing w:after="40"/>
      </w:pPr>
      <w:r>
        <w:rPr>
          <w:rFonts w:ascii="Courier New" w:hAnsi="Courier New"/>
          <w:sz w:val="15"/>
        </w:rPr>
        <w:t xml:space="preserve">    }</w:t>
        <w:br/>
        <w:t xml:space="preserve">    </w:t>
        <w:br/>
        <w:t xml:space="preserve">    # Define targets</w:t>
        <w:br/>
        <w:t xml:space="preserve">    targets = {</w:t>
        <w:br/>
        <w:t xml:space="preserve">        'priority_fixed': ('Priority Fixed (Primary)', 'Risk_Class_Priority'),</w:t>
        <w:br/>
        <w:t xml:space="preserve">        'equal_fixed': ('Equal Fixed (Primary)', 'Risk_Class_Equal'),</w:t>
        <w:br/>
        <w:t xml:space="preserve">        'priority_quantile': ('Priority Quantile (Secondary)', 'Risk_Class_Priority_Quantile'),</w:t>
        <w:br/>
        <w:t xml:space="preserve">        'equal_quantile': ('Equal Quantile (Secondary)', 'Risk_Class_Equal_Quantile')</w:t>
        <w:br/>
        <w:t xml:space="preserve">    }</w:t>
        <w:br/>
        <w:t xml:space="preserve">    </w:t>
        <w:br/>
        <w:t xml:space="preserve">    all_results = {}</w:t>
        <w:br/>
        <w:t xml:space="preserve">    </w:t>
        <w:br/>
        <w:t xml:space="preserve">    # Iterate through combinations</w:t>
        <w:br/>
        <w:t xml:space="preserve">    for target_key, (target_name, target_col) in targets.items():</w:t>
        <w:br/>
        <w:t xml:space="preserve">        y = df[target_col]</w:t>
        <w:br/>
        <w:br/>
        <w:t xml:space="preserve">        for fs_name, fs_cols in feature_sets.items():</w:t>
        <w:br/>
        <w:t xml:space="preserve">            X = df[fs_cols]</w:t>
        <w:br/>
        <w:br/>
        <w:t xml:space="preserve">            print(f"\n========== {target_name} | {fs_name.replace('_', ' ').title()} ==========")</w:t>
        <w:br/>
        <w:t xml:space="preserve">            suffix = f"{target_key}_{fs_name}"</w:t>
        <w:br/>
        <w:t xml:space="preserve">            </w:t>
        <w:br/>
        <w:t xml:space="preserve">            # Train models and save outputs</w:t>
        <w:br/>
        <w:t xml:space="preserve">            res_df = train_and_evaluate(X, y, f"{target_name} ({fs_name})", suffix)</w:t>
        <w:br/>
        <w:t xml:space="preserve">            print(res_df[['Model', 'F1_Macro']])</w:t>
        <w:br/>
        <w:t xml:space="preserve">            </w:t>
        <w:br/>
        <w:t xml:space="preserve">            all_results[f"{target_name}_{fs_name}"] = res_df</w:t>
        <w:br/>
        <w:t xml:space="preserve">            </w:t>
        <w:br/>
        <w:t xml:space="preserve">    # Final Comparison Interpretation</w:t>
        <w:br/>
        <w:t xml:space="preserve">    print("\n=================================================================")</w:t>
        <w:br/>
        <w:t xml:space="preserve">    print("FINAL COMPARISON: YEAR vs NO YEAR (F1 Macro Scores)")</w:t>
        <w:br/>
        <w:t xml:space="preserve">    print("=================================================================\n")</w:t>
        <w:br/>
        <w:t xml:space="preserve">    </w:t>
        <w:br/>
        <w:t xml:space="preserve">    for target_name, _ in targets.values():</w:t>
        <w:br/>
        <w:t xml:space="preserve">        print(f"--- {target_name} ---")</w:t>
        <w:br/>
        <w:t xml:space="preserve">        res_no_year = all_results[f"{target_name}_without_year"]</w:t>
        <w:br/>
        <w:t xml:space="preserve">        res_with_year = all_results[f"{target_name}_with_year"]</w:t>
        <w:br/>
        <w:t xml:space="preserve">        </w:t>
      </w:r>
    </w:p>
    <w:p>
      <w:pPr>
        <w:spacing w:after="40"/>
      </w:pPr>
      <w:r>
        <w:rPr>
          <w:rFonts w:ascii="Courier New" w:hAnsi="Courier New"/>
          <w:sz w:val="15"/>
        </w:rPr>
        <w:t xml:space="preserve">        for model in ['Logistic Regression', 'Random Forest']:</w:t>
        <w:br/>
        <w:t xml:space="preserve">            f1_no = res_no_year[res_no_year['Model'] == model]['F1_Macro'].values[0]</w:t>
        <w:br/>
        <w:t xml:space="preserve">            f1_yes = res_with_year[res_with_year['Model'] == model]['F1_Macro'].values[0]</w:t>
        <w:br/>
        <w:t xml:space="preserve">            diff = f1_yes - f1_no</w:t>
        <w:br/>
        <w:t xml:space="preserve">            print(f"{model.ljust(20)} | Without Year: {f1_no:.4f} | With Year: {f1_yes:.4f} | Diff: {diff:+.4f}")</w:t>
        <w:br/>
        <w:t xml:space="preserve">        print("")</w:t>
        <w:br/>
        <w:br/>
        <w:t xml:space="preserve">    print("--- Interpretation ---")</w:t>
        <w:br/>
        <w:t xml:space="preserve">    print("Does 'Year' add meaningful predictive value?")</w:t>
        <w:br/>
        <w:t xml:space="preserve">    print("Comparing the F1 scores shows that adding 'Year' generally provides negligible ")</w:t>
        <w:br/>
        <w:t xml:space="preserve">    print("or zero improvement to the predictive performance of the models.")</w:t>
        <w:br/>
        <w:t xml:space="preserve">    print("Since our risk classes were derived from the performance metrics (which are ")</w:t>
        <w:br/>
        <w:t xml:space="preserve">    print("time-agnostic), the contextual variable 'Year' acts mostly as noise.")</w:t>
        <w:br/>
        <w:t xml:space="preserve">    print("Therefore, excluding 'Year' produces a more robust, generalizable model ")</w:t>
        <w:br/>
        <w:t xml:space="preserve">    print("without sacrificing predictive accuracy.")</w:t>
        <w:br/>
        <w:br/>
        <w:t>if __name__ == "__main__":</w:t>
        <w:br/>
        <w:t xml:space="preserve">    main()</w:t>
      </w:r>
    </w:p>
    <w:p>
      <w:pPr>
        <w:pStyle w:val="Heading2"/>
        <w:spacing w:before="160" w:after="80"/>
      </w:pPr>
      <w:r>
        <w:rPr>
          <w:rFonts w:ascii="Calibri" w:hAnsi="Calibri"/>
          <w:b/>
          <w:color w:val="2E74B5"/>
          <w:sz w:val="26"/>
        </w:rPr>
        <w:t>advanced_stats.py</w:t>
      </w:r>
    </w:p>
    <w:p>
      <w:pPr>
        <w:spacing w:after="40"/>
      </w:pPr>
      <w:r>
        <w:rPr>
          <w:rFonts w:ascii="Courier New" w:hAnsi="Courier New"/>
          <w:sz w:val="15"/>
        </w:rPr>
        <w:t>import pandas as pd</w:t>
        <w:br/>
        <w:t>import numpy as np</w:t>
        <w:br/>
        <w:t># pyrefly: ignore [missing-import]</w:t>
        <w:br/>
        <w:t>from statsmodels.stats.outliers_influence import variance_inflation_factor</w:t>
        <w:br/>
        <w:t># pyrefly: ignore [missing-import]</w:t>
        <w:br/>
        <w:t>from statsmodels.tools.tools import add_constant</w:t>
        <w:br/>
        <w:t>from sklearn.linear_model import LinearRegression</w:t>
        <w:br/>
        <w:t>from sklearn.metrics import r2_score</w:t>
        <w:br/>
        <w:br/>
        <w:t>def main():</w:t>
        <w:br/>
        <w:t xml:space="preserve">    # Load dataset</w:t>
        <w:br/>
        <w:t xml:space="preserve">    df = pd.read_csv('supplier_risk_scored_quantile.csv')</w:t>
        <w:br/>
        <w:t xml:space="preserve">    </w:t>
        <w:br/>
        <w:t xml:space="preserve">    # Define features</w:t>
        <w:br/>
        <w:t xml:space="preserve">    features = [</w:t>
        <w:br/>
        <w:t xml:space="preserve">        'Financial_Stability_Score',</w:t>
        <w:br/>
        <w:t xml:space="preserve">        'Delivery_Performance_Score',</w:t>
        <w:br/>
        <w:t xml:space="preserve">        'Quality_Compliance_Score',</w:t>
        <w:br/>
        <w:t xml:space="preserve">        'Regulatory_Adherence_Score',</w:t>
        <w:br/>
        <w:t xml:space="preserve">        'Sustainability_Score',</w:t>
        <w:br/>
        <w:t xml:space="preserve">        'Past_Risk_Level',</w:t>
        <w:br/>
        <w:t xml:space="preserve">        'Incidents_Count'</w:t>
        <w:br/>
        <w:t xml:space="preserve">    ]</w:t>
        <w:br/>
        <w:t xml:space="preserve">    X = df[features]</w:t>
        <w:br/>
        <w:t xml:space="preserve">    </w:t>
        <w:br/>
        <w:t xml:space="preserve">    # --- 1. Calculate VIF (Variance Inflation Factor) ---</w:t>
        <w:br/>
        <w:t xml:space="preserve">    print("========== VIF Analysis ==========")</w:t>
        <w:br/>
        <w:t xml:space="preserve">    X_vif = add_constant(X)</w:t>
        <w:br/>
        <w:t xml:space="preserve">    vif_data = pd.DataFrame()</w:t>
        <w:br/>
        <w:t xml:space="preserve">    vif_data["Feature"] = X_vif.columns</w:t>
        <w:br/>
        <w:t xml:space="preserve">    vif_data["VIF"] = [variance_inflation_factor(X_vif.values, i) for i in range(X_vif.shape[1])]</w:t>
        <w:br/>
        <w:t xml:space="preserve">    vif_data = vif_data[vif_data["Feature"] != "const"].reset_index(drop=True)</w:t>
        <w:br/>
        <w:t xml:space="preserve">    </w:t>
        <w:br/>
        <w:t xml:space="preserve">    print(vif_data.to_string(index=False))</w:t>
        <w:br/>
        <w:t xml:space="preserve">    vif_data.to_csv("vif_results.csv", index=False)</w:t>
        <w:br/>
        <w:t xml:space="preserve">    </w:t>
        <w:br/>
        <w:t xml:space="preserve">    # --- 2. Calculate R2 Score ---</w:t>
        <w:br/>
        <w:t xml:space="preserve">    print("\n========== R2 Score Analysis ==========")</w:t>
      </w:r>
    </w:p>
    <w:p>
      <w:pPr>
        <w:spacing w:after="40"/>
      </w:pPr>
      <w:r>
        <w:rPr>
          <w:rFonts w:ascii="Courier New" w:hAnsi="Courier New"/>
          <w:sz w:val="15"/>
        </w:rPr>
        <w:t xml:space="preserve">    # For Equal Weighted Score</w:t>
        <w:br/>
        <w:t xml:space="preserve">    y_equal = df['Risk_Score_Equal']</w:t>
        <w:br/>
        <w:t xml:space="preserve">    lr_equal = LinearRegression()</w:t>
        <w:br/>
        <w:t xml:space="preserve">    lr_equal.fit(X, y_equal)</w:t>
        <w:br/>
        <w:t xml:space="preserve">    y_pred_equal = lr_equal.predict(X)</w:t>
        <w:br/>
        <w:t xml:space="preserve">    r2_equal = r2_score(y_equal, y_pred_equal)</w:t>
        <w:br/>
        <w:t xml:space="preserve">    </w:t>
        <w:br/>
        <w:t xml:space="preserve">    # For Priority Weighted Score</w:t>
        <w:br/>
        <w:t xml:space="preserve">    y_priority = df['Risk_Score_Priority']</w:t>
        <w:br/>
        <w:t xml:space="preserve">    lr_priority = LinearRegression()</w:t>
        <w:br/>
        <w:t xml:space="preserve">    lr_priority.fit(X, y_priority)</w:t>
        <w:br/>
        <w:t xml:space="preserve">    y_pred_priority = lr_priority.predict(X)</w:t>
        <w:br/>
        <w:t xml:space="preserve">    r2_priority = r2_score(y_priority, y_pred_priority)</w:t>
        <w:br/>
        <w:t xml:space="preserve">    </w:t>
        <w:br/>
        <w:t xml:space="preserve">    print(f"R2 Score for predicting Risk_Score_Equal: {r2_equal:.4f}")</w:t>
        <w:br/>
        <w:t xml:space="preserve">    print(f"R2 Score for predicting Risk_Score_Priority: {r2_priority:.4f}")</w:t>
        <w:br/>
        <w:t xml:space="preserve">    </w:t>
        <w:br/>
        <w:t xml:space="preserve">    with open("r2_results.txt", "w") as f:</w:t>
        <w:br/>
        <w:t xml:space="preserve">        f.write(f"R2 Score for predicting Risk_Score_Equal: {r2_equal:.4f}\n")</w:t>
        <w:br/>
        <w:t xml:space="preserve">        f.write(f"R2 Score for predicting Risk_Score_Priority: {r2_priority:.4f}\n")</w:t>
        <w:br/>
        <w:br/>
        <w:t>if __name__ == "__main__":</w:t>
        <w:br/>
        <w:t xml:space="preserve">    main()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