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widowControl w:val="false"/>
        <w:spacing w:before="0" w:after="0" w:line="252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5270" w:dyaOrig="963">
          <v:rect xmlns:o="urn:schemas-microsoft-com:office:office" xmlns:v="urn:schemas-microsoft-com:vml" id="rectole0000000000" style="width:263.500000pt;height:48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widowControl w:val="false"/>
        <w:spacing w:before="0" w:after="0" w:line="252"/>
        <w:ind w:right="0" w:left="142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widowControl w:val="false"/>
        <w:spacing w:before="0" w:after="160" w:line="252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НАЦІОНАЛЬНИЙ ТЕХНІЧНИЙ УНІВЕРСИТЕТ УКРАЇНИ</w:t>
      </w:r>
    </w:p>
    <w:p>
      <w:pPr>
        <w:widowControl w:val="false"/>
        <w:spacing w:before="0" w:after="160" w:line="252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КИЇВСЬКИЙ ПОЛІТЕХНІЧНИЙ ІНСТИТУТ імені Ігоря Сікорського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» </w:t>
      </w:r>
    </w:p>
    <w:p>
      <w:pPr>
        <w:widowControl w:val="false"/>
        <w:spacing w:before="0" w:after="160" w:line="252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ФАКУЛЬТЕТ ПРИКЛАДНОЇ МАТЕМАТИКИ</w:t>
      </w:r>
    </w:p>
    <w:p>
      <w:pPr>
        <w:keepNext w:val="true"/>
        <w:keepLines w:val="true"/>
        <w:widowControl w:val="false"/>
        <w:spacing w:before="480" w:after="0" w:line="276"/>
        <w:ind w:right="0" w:left="0" w:firstLine="0"/>
        <w:jc w:val="center"/>
        <w:rPr>
          <w:rFonts w:ascii="Cambria" w:hAnsi="Cambria" w:cs="Cambria" w:eastAsia="Cambria"/>
          <w:b/>
          <w:color w:val="365F91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b/>
          <w:color w:val="365F91"/>
          <w:spacing w:val="0"/>
          <w:position w:val="0"/>
          <w:sz w:val="32"/>
          <w:shd w:fill="auto" w:val="clear"/>
        </w:rPr>
        <w:t xml:space="preserve">Кафедра системного програмування та спеціалізованих комп’ютерних систем</w:t>
      </w:r>
    </w:p>
    <w:p>
      <w:pPr>
        <w:widowControl w:val="false"/>
        <w:spacing w:before="0" w:after="160" w:line="252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widowControl w:val="false"/>
        <w:spacing w:before="0" w:after="160" w:line="252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widowControl w:val="false"/>
        <w:spacing w:before="0" w:after="0" w:line="252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Лабораторна робота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1</w:t>
      </w:r>
    </w:p>
    <w:p>
      <w:pPr>
        <w:widowControl w:val="false"/>
        <w:spacing w:before="0" w:after="0" w:line="252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widowControl w:val="false"/>
        <w:spacing w:before="0" w:after="0" w:line="252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з дисципліни</w:t>
      </w:r>
    </w:p>
    <w:p>
      <w:pPr>
        <w:widowControl w:val="false"/>
        <w:spacing w:before="0" w:after="0" w:line="252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Бази даних і засоби управління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»</w:t>
      </w:r>
    </w:p>
    <w:p>
      <w:pPr>
        <w:widowControl w:val="false"/>
        <w:spacing w:before="0" w:after="0" w:line="252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widowControl w:val="false"/>
        <w:spacing w:before="74" w:after="160" w:line="360"/>
        <w:ind w:right="1709" w:left="2183" w:hanging="536"/>
        <w:jc w:val="center"/>
        <w:rPr>
          <w:rFonts w:ascii="Cambria" w:hAnsi="Cambria" w:cs="Cambria" w:eastAsia="Cambria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32"/>
          <w:shd w:fill="auto" w:val="clear"/>
        </w:rPr>
        <w:t xml:space="preserve">Тема: 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Проектування бази даних та ознайомлення з базовими операціями СУБД PostgreSQL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»</w:t>
      </w:r>
    </w:p>
    <w:p>
      <w:pPr>
        <w:widowControl w:val="false"/>
        <w:spacing w:before="0" w:after="0" w:line="25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</w:p>
    <w:p>
      <w:pPr>
        <w:widowControl w:val="fals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Виконав: студент ІІI курсу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ФПМ групи КВ-84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Лазуткин.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Перевірив: </w:t>
      </w:r>
    </w:p>
    <w:p>
      <w:pPr>
        <w:widowControl w:val="false"/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Київ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 2020</w:t>
      </w:r>
    </w:p>
    <w:p>
      <w:pPr>
        <w:widowControl w:val="fals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</w:p>
    <w:p>
      <w:pPr>
        <w:widowControl w:val="false"/>
        <w:spacing w:before="0" w:after="0" w:line="360"/>
        <w:ind w:right="0" w:left="0" w:firstLine="0"/>
        <w:jc w:val="center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widowControl w:val="false"/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Варіант (опис обраної предметної галузі):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База даннх для обробки кинопоказу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Вимоги до звітування щодо пунктів 1-4 завдання: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331"/>
        <w:ind w:right="0" w:left="0" w:firstLine="0"/>
        <w:jc w:val="lef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auto" w:val="clear"/>
        </w:rPr>
        <w:t xml:space="preserve">У звіті щодо пункту </w:t>
      </w:r>
      <w:r>
        <w:rPr>
          <w:rFonts w:ascii="Segoe UI Symbol" w:hAnsi="Segoe UI Symbol" w:cs="Segoe UI Symbol" w:eastAsia="Segoe UI Symbol"/>
          <w:i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auto" w:val="clear"/>
        </w:rPr>
        <w:t xml:space="preserve">завдання має бути:</w:t>
      </w:r>
    </w:p>
    <w:p>
      <w:pPr>
        <w:widowControl w:val="false"/>
        <w:numPr>
          <w:ilvl w:val="0"/>
          <w:numId w:val="14"/>
        </w:numPr>
        <w:tabs>
          <w:tab w:val="left" w:pos="0" w:leader="none"/>
        </w:tabs>
        <w:spacing w:before="0" w:after="0" w:line="331"/>
        <w:ind w:right="0" w:left="707" w:hanging="283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перелік сутностей з описом їх призначення;</w:t>
      </w:r>
    </w:p>
    <w:p>
      <w:pPr>
        <w:widowControl w:val="false"/>
        <w:numPr>
          <w:ilvl w:val="0"/>
          <w:numId w:val="14"/>
        </w:numPr>
        <w:tabs>
          <w:tab w:val="left" w:pos="0" w:leader="none"/>
        </w:tabs>
        <w:spacing w:before="0" w:after="0" w:line="331"/>
        <w:ind w:right="0" w:left="707" w:hanging="283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графічний файл розробленої моделі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сутність-зв’язок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»;</w:t>
      </w:r>
    </w:p>
    <w:p>
      <w:pPr>
        <w:widowControl w:val="false"/>
        <w:numPr>
          <w:ilvl w:val="0"/>
          <w:numId w:val="14"/>
        </w:numPr>
        <w:tabs>
          <w:tab w:val="left" w:pos="0" w:leader="none"/>
        </w:tabs>
        <w:spacing w:before="0" w:after="200" w:line="331"/>
        <w:ind w:right="0" w:left="707" w:hanging="283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назва нотації.</w:t>
      </w:r>
    </w:p>
    <w:p>
      <w:pPr>
        <w:widowControl w:val="false"/>
        <w:spacing w:before="0" w:after="200" w:line="331"/>
        <w:ind w:right="0" w:left="0" w:firstLine="0"/>
        <w:jc w:val="lef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auto" w:val="clear"/>
        </w:rPr>
        <w:t xml:space="preserve">У звіті щодо пункту </w:t>
      </w:r>
      <w:r>
        <w:rPr>
          <w:rFonts w:ascii="Segoe UI Symbol" w:hAnsi="Segoe UI Symbol" w:cs="Segoe UI Symbol" w:eastAsia="Segoe UI Symbol"/>
          <w:i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auto" w:val="clear"/>
        </w:rPr>
        <w:t xml:space="preserve">завдання має бути:</w:t>
      </w:r>
    </w:p>
    <w:p>
      <w:pPr>
        <w:widowControl w:val="false"/>
        <w:numPr>
          <w:ilvl w:val="0"/>
          <w:numId w:val="17"/>
        </w:numPr>
        <w:tabs>
          <w:tab w:val="left" w:pos="0" w:leader="none"/>
        </w:tabs>
        <w:spacing w:before="0" w:after="0" w:line="331"/>
        <w:ind w:right="0" w:left="707" w:hanging="283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опис процесу перетворення (наприклад, “сутність А було перетворено у таблицю А, а зв’язок R (M:N) зумовив появу додаткової таблиці R1 тощо);</w:t>
      </w:r>
    </w:p>
    <w:p>
      <w:pPr>
        <w:widowControl w:val="false"/>
        <w:numPr>
          <w:ilvl w:val="0"/>
          <w:numId w:val="17"/>
        </w:numPr>
        <w:tabs>
          <w:tab w:val="left" w:pos="0" w:leader="none"/>
        </w:tabs>
        <w:spacing w:before="0" w:after="200" w:line="331"/>
        <w:ind w:right="0" w:left="707" w:hanging="283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схему бази даних у графічному вигляді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з назвами таблиць (!) та зв’язками між ними.</w:t>
      </w:r>
    </w:p>
    <w:p>
      <w:pPr>
        <w:widowControl w:val="false"/>
        <w:spacing w:before="0" w:after="200" w:line="331"/>
        <w:ind w:right="0" w:left="0" w:firstLine="0"/>
        <w:jc w:val="lef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auto" w:val="clear"/>
        </w:rPr>
        <w:t xml:space="preserve">У звіті щодо пункту </w:t>
      </w:r>
      <w:r>
        <w:rPr>
          <w:rFonts w:ascii="Segoe UI Symbol" w:hAnsi="Segoe UI Symbol" w:cs="Segoe UI Symbol" w:eastAsia="Segoe UI Symbol"/>
          <w:i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auto" w:val="clear"/>
        </w:rPr>
        <w:t xml:space="preserve">завдання має бути:</w:t>
      </w:r>
    </w:p>
    <w:p>
      <w:pPr>
        <w:widowControl w:val="false"/>
        <w:numPr>
          <w:ilvl w:val="0"/>
          <w:numId w:val="20"/>
        </w:numPr>
        <w:tabs>
          <w:tab w:val="left" w:pos="0" w:leader="none"/>
        </w:tabs>
        <w:spacing w:before="0" w:after="0" w:line="331"/>
        <w:ind w:right="0" w:left="707" w:hanging="283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пояснення щодо відповідності схеми бази даних нормальним формам НФ1, НФ2 та НФ3. У випадку невідповідності надати опис необхідних змін у схемі;</w:t>
      </w:r>
    </w:p>
    <w:p>
      <w:pPr>
        <w:widowControl w:val="false"/>
        <w:numPr>
          <w:ilvl w:val="0"/>
          <w:numId w:val="20"/>
        </w:numPr>
        <w:tabs>
          <w:tab w:val="left" w:pos="0" w:leader="none"/>
        </w:tabs>
        <w:spacing w:before="0" w:after="200" w:line="331"/>
        <w:ind w:right="0" w:left="707" w:hanging="283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У випадку проведення змін у схемі бази даних надати оновлену версію схеми, інакше - не наводити схему.</w:t>
      </w:r>
    </w:p>
    <w:p>
      <w:pPr>
        <w:widowControl w:val="false"/>
        <w:spacing w:before="0" w:after="200" w:line="331"/>
        <w:ind w:right="0" w:left="0" w:firstLine="0"/>
        <w:jc w:val="lef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auto" w:val="clear"/>
        </w:rPr>
        <w:t xml:space="preserve">У звіті щодо пункту </w:t>
      </w:r>
      <w:r>
        <w:rPr>
          <w:rFonts w:ascii="Segoe UI Symbol" w:hAnsi="Segoe UI Symbol" w:cs="Segoe UI Symbol" w:eastAsia="Segoe UI Symbol"/>
          <w:i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shd w:fill="auto" w:val="clear"/>
        </w:rPr>
        <w:t xml:space="preserve">завдання має бути:</w:t>
      </w:r>
    </w:p>
    <w:p>
      <w:pPr>
        <w:widowControl w:val="false"/>
        <w:numPr>
          <w:ilvl w:val="0"/>
          <w:numId w:val="23"/>
        </w:numPr>
        <w:tabs>
          <w:tab w:val="left" w:pos="0" w:leader="none"/>
        </w:tabs>
        <w:spacing w:before="0" w:after="0" w:line="331"/>
        <w:ind w:right="0" w:left="707" w:hanging="283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навести копії екрану з pgAdmin4, що відображають назви та типи стовпців (доступне у закладці “Columns” властивостей “Properties” таблиць дерева об’єктів у pgAdmin4);</w:t>
      </w:r>
    </w:p>
    <w:p>
      <w:pPr>
        <w:widowControl w:val="false"/>
        <w:numPr>
          <w:ilvl w:val="0"/>
          <w:numId w:val="23"/>
        </w:numPr>
        <w:tabs>
          <w:tab w:val="left" w:pos="0" w:leader="none"/>
        </w:tabs>
        <w:spacing w:before="0" w:after="200" w:line="331"/>
        <w:ind w:right="0" w:left="707" w:hanging="283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навести копії екрану з pgAdmin4, що відображають вміст таблиць бази даних у PostgreSQL. Таблиці на зображенні обов'язково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повинні мати назву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!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Додаток А. Концептуальна модель предметної області </w:t>
      </w: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b/>
          <w:strike w:val="true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Перелік сутностей з описом їх призначення:</w:t>
      </w: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Сутність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"Viewer"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 атрибутам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Name,Surname,Date of Birth.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Призначенна для встановленя особистості відвідувача</w:t>
      </w: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Сутність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"Ticket"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 атрибутам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:Film demonstration ID,Price,Seat</w:t>
      </w: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Призначенна для встановлення кінопоказу та місця посадки глядача</w:t>
      </w: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Сутність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"Film demonstration"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з атрибут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:Date</w:t>
      </w: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Призначенна для встановлення дати показу фільма</w:t>
      </w: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Сутність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"Film"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 атрибутам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:Title,duration,agelimit</w:t>
      </w: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Призначенна для встановлення фільму що пакузується на кінопоказі</w:t>
      </w: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Сутність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"Producer"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 атрибутам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:Name,Surname</w:t>
      </w: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Призначенна для встановлення продюсера що створив фільм що показується</w:t>
      </w: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Між Сутностями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"Viewer"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і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"Ticket"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звязок 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оскільки 1 глядач може купити декілька квитків но один квиток не може мати двух глядачів які його купили</w:t>
      </w: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Між Сутностями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"Film demonstration"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і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"Ticket"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звязок 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оскільки 1 квиток дає прохід на 1 кінопоказ</w:t>
      </w: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Між Сутностями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"Film demonstration"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і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"Film"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звязок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N:1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оскільки один фільм може мати багато кінопоказів но на кінопоказі не може бути більше одного фільма</w:t>
      </w: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Між Сутностями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"Producer"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і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"Film"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звязок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N:N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оскільки у одного фільма може бути декілька продюсерів і у один продюсер може працювати над декілками фільмами</w:t>
      </w: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Графічна модель створенна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drawIo</w:t>
      </w: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Графічний файл розробленої моделі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сутність-зв’язок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»:</w:t>
      </w:r>
    </w:p>
    <w:p>
      <w:pPr>
        <w:widowControl w:val="fals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64">
          <v:rect xmlns:o="urn:schemas-microsoft-com:office:office" xmlns:v="urn:schemas-microsoft-com:vml" id="rectole0000000001" style="width:415.500000pt;height:218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widowControl w:val="fals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Рисунок 1 - Концептуальна модель предметної області </w:t>
      </w:r>
    </w:p>
    <w:p>
      <w:pPr>
        <w:widowControl w:val="fals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331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200" w:line="331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Додаток Б. Логічна модель (схема) БД </w:t>
      </w: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Опис процесу перетворення: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Сутності 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Viewer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”, 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Ticet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,"Film demonstration" "Film"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 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Producer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 було перетворено у таблиці з відповідними . Зв’язок 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Made by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 зумовив появу додаткової таблиці 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Film_producer"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Модель побудована в dbdesigner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331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Схема бази даних у графічному вигляді:</w:t>
      </w:r>
    </w:p>
    <w:p>
      <w:pPr>
        <w:widowControl w:val="fals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72" w:dyaOrig="6888">
          <v:rect xmlns:o="urn:schemas-microsoft-com:office:office" xmlns:v="urn:schemas-microsoft-com:vml" id="rectole0000000002" style="width:488.600000pt;height:344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widowControl w:val="false"/>
        <w:spacing w:before="0" w:after="200" w:line="331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2 - Логічна модель предметної області </w:t>
      </w:r>
    </w:p>
    <w:p>
      <w:pPr>
        <w:widowControl w:val="false"/>
        <w:spacing w:before="0" w:after="200" w:line="331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Звіт щодо пункту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завдання:</w:t>
      </w: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Пояснення щодо відповідності схеми бази даних нормальним формам: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Схема бази даних відповідає 1НФ тому, що всі рядки унікальні, всі атрибути  прості і не мають нереляційних структур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Схема бази даних відповідає 2НФ тому, що вона відповідає 1НФ і всі не ключові атрибути залежать від первинного ключа.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Схема бази даних відповідає 3НФ тому, що вона відповідає 2НФ і всі не ключові атрибути нетранзитивно залежні від первинного ключа.</w:t>
      </w:r>
    </w:p>
    <w:p>
      <w:pPr>
        <w:widowControl w:val="false"/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331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Додаток В. Структура БД “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Film demonstration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”</w:t>
      </w:r>
    </w:p>
    <w:p>
      <w:pPr>
        <w:widowControl w:val="false"/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4770">
          <v:rect xmlns:o="urn:schemas-microsoft-com:office:office" xmlns:v="urn:schemas-microsoft-com:vml" id="rectole0000000003" style="width:415.500000pt;height:238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widowControl w:val="false"/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3 - Структурна модель предметної області </w:t>
      </w:r>
    </w:p>
    <w:p>
      <w:pPr>
        <w:tabs>
          <w:tab w:val="left" w:pos="8790" w:leader="none"/>
        </w:tabs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Додаток Г. Опис структури БД </w:t>
      </w:r>
    </w:p>
    <w:p>
      <w:pPr>
        <w:tabs>
          <w:tab w:val="left" w:pos="8790" w:leader="none"/>
        </w:tabs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Текстове представлення логічної моделі (схеми) БД</w:t>
      </w:r>
    </w:p>
    <w:p>
      <w:pPr>
        <w:tabs>
          <w:tab w:val="left" w:pos="8790" w:leader="none"/>
        </w:tabs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1838"/>
        <w:gridCol w:w="5103"/>
        <w:gridCol w:w="2688"/>
      </w:tblGrid>
      <w:tr>
        <w:trPr>
          <w:trHeight w:val="621" w:hRule="auto"/>
          <w:jc w:val="left"/>
        </w:trPr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Відношення</w:t>
            </w:r>
          </w:p>
        </w:tc>
        <w:tc>
          <w:tcPr>
            <w:tcW w:w="51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Атрибут</w:t>
            </w:r>
          </w:p>
        </w:tc>
        <w:tc>
          <w:tcPr>
            <w:tcW w:w="26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Тип</w:t>
            </w:r>
          </w:p>
        </w:tc>
      </w:tr>
      <w:tr>
        <w:trPr>
          <w:trHeight w:val="621" w:hRule="auto"/>
          <w:jc w:val="left"/>
        </w:trPr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Відношення “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Viewer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” містить інформацію про глядача</w:t>
            </w:r>
          </w:p>
        </w:tc>
        <w:tc>
          <w:tcPr>
            <w:tcW w:w="51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0"/>
                <w:shd w:fill="auto" w:val="clear"/>
              </w:rPr>
              <w:t xml:space="preserve">Viewer</w:t>
            </w: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0"/>
                <w:shd w:fill="auto" w:val="clear"/>
              </w:rPr>
              <w:t xml:space="preserve">Id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унікальний ID глядача в БД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Name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ім’я глядача. Не допускає NULL. Унікальне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Surname -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призвіще глядача. Не допускає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NULL.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Унікальне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Date of Birth-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Дата народження глядача .Не допускає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NULL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4DBB"/>
                <w:spacing w:val="0"/>
                <w:position w:val="0"/>
                <w:sz w:val="20"/>
                <w:shd w:fill="auto" w:val="clear"/>
              </w:rPr>
              <w:t xml:space="preserve">TicketID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-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унікальне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квитка. Не допускає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NULL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</w:p>
        </w:tc>
        <w:tc>
          <w:tcPr>
            <w:tcW w:w="26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Числовий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Текстовий(100)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Текстовий(100)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Числовий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4F81BD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Числовий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621" w:hRule="auto"/>
          <w:jc w:val="left"/>
        </w:trPr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Відношення ”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Ticket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” містить інформацію про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квиток</w:t>
            </w:r>
          </w:p>
        </w:tc>
        <w:tc>
          <w:tcPr>
            <w:tcW w:w="51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0"/>
                <w:shd w:fill="auto" w:val="clear"/>
              </w:rPr>
              <w:t xml:space="preserve">Ticket</w:t>
            </w: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0"/>
                <w:shd w:fill="auto" w:val="clear"/>
              </w:rPr>
              <w:t xml:space="preserve">Id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унікальний ID квитка в БД.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Price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Ціна квитка. Не допускає NULL. Унікальне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Seat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номер посадочного місця. Не допускає NULL.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4DBB"/>
                <w:spacing w:val="0"/>
                <w:position w:val="0"/>
                <w:sz w:val="20"/>
                <w:shd w:fill="auto" w:val="clear"/>
              </w:rPr>
              <w:t xml:space="preserve">Film_demonstrationId</w:t>
            </w:r>
            <w:r>
              <w:rPr>
                <w:rFonts w:ascii="Times New Roman" w:hAnsi="Times New Roman" w:cs="Times New Roman" w:eastAsia="Times New Roman"/>
                <w:color w:val="004DBB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унікальний ID кінопоказу. Не допускає NULL.</w:t>
            </w:r>
          </w:p>
        </w:tc>
        <w:tc>
          <w:tcPr>
            <w:tcW w:w="26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Числовий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Числовий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Числовий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Числовий</w:t>
            </w:r>
          </w:p>
        </w:tc>
      </w:tr>
      <w:tr>
        <w:trPr>
          <w:trHeight w:val="915" w:hRule="auto"/>
          <w:jc w:val="left"/>
        </w:trPr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Відношення ”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Film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Demonstration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” містить інформацію про кінопоказ</w:t>
            </w:r>
          </w:p>
        </w:tc>
        <w:tc>
          <w:tcPr>
            <w:tcW w:w="51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0"/>
                <w:shd w:fill="auto" w:val="clear"/>
              </w:rPr>
              <w:t xml:space="preserve">Film_demonstrationId</w:t>
            </w: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унікальний ID кінопоказу в БД.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Date-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дата кінопоказу</w:t>
            </w:r>
          </w:p>
        </w:tc>
        <w:tc>
          <w:tcPr>
            <w:tcW w:w="26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Числовий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Числовий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621" w:hRule="auto"/>
          <w:jc w:val="left"/>
        </w:trPr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Відношення ”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Producer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” містить інформацію про продюсер.</w:t>
            </w:r>
          </w:p>
        </w:tc>
        <w:tc>
          <w:tcPr>
            <w:tcW w:w="51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0"/>
                <w:shd w:fill="auto" w:val="clear"/>
              </w:rPr>
              <w:t xml:space="preserve">ProducerId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унікальний ID продюсера в БД.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Name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ім’я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продюсера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Не допускає NULL.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Surname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прізвище продюсера. Не допускає NULL.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26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Числовий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Текстовий(100)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Текстовий(100)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621" w:hRule="auto"/>
          <w:jc w:val="left"/>
        </w:trPr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Відношення “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Film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” містить інформацію про фільм</w:t>
            </w:r>
          </w:p>
        </w:tc>
        <w:tc>
          <w:tcPr>
            <w:tcW w:w="51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0"/>
                <w:shd w:fill="auto" w:val="clear"/>
              </w:rPr>
              <w:t xml:space="preserve">Film</w:t>
            </w: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0"/>
                <w:shd w:fill="auto" w:val="clear"/>
              </w:rPr>
              <w:t xml:space="preserve">Id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унікальний ID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ф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ільма в БД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Title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назва фільма. Не допускає NULL.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Duration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- тривалість фільма. Не допускає NULL.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Agelimit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- вікове обмеження для фільма. Не допускає NULL.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4DBB"/>
                <w:spacing w:val="0"/>
                <w:position w:val="0"/>
                <w:sz w:val="20"/>
                <w:shd w:fill="auto" w:val="clear"/>
              </w:rPr>
              <w:t xml:space="preserve">Film_demonstrationId</w:t>
            </w:r>
            <w:r>
              <w:rPr>
                <w:rFonts w:ascii="Times New Roman" w:hAnsi="Times New Roman" w:cs="Times New Roman" w:eastAsia="Times New Roman"/>
                <w:color w:val="004DBB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унікальний ID кінопоказу. Не допускає NULL.</w:t>
            </w:r>
          </w:p>
        </w:tc>
        <w:tc>
          <w:tcPr>
            <w:tcW w:w="26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Числовий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Текстовий(100)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Числовий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Числовий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Числовий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621" w:hRule="auto"/>
          <w:jc w:val="left"/>
        </w:trPr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Відношення “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Film_producer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” містить інформацію про продюсера фільму разом з фільмом</w:t>
            </w:r>
          </w:p>
        </w:tc>
        <w:tc>
          <w:tcPr>
            <w:tcW w:w="51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0"/>
                <w:shd w:fill="auto" w:val="clear"/>
              </w:rPr>
              <w:t xml:space="preserve">Id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унікальний ID в БД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4DBB"/>
                <w:spacing w:val="0"/>
                <w:position w:val="0"/>
                <w:sz w:val="20"/>
                <w:shd w:fill="auto" w:val="clear"/>
              </w:rPr>
              <w:t xml:space="preserve">ProducerId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унікальний ID продюсера в БД.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4DBB"/>
                <w:spacing w:val="0"/>
                <w:position w:val="0"/>
                <w:sz w:val="20"/>
                <w:shd w:fill="auto" w:val="clear"/>
              </w:rPr>
              <w:t xml:space="preserve">Film</w:t>
            </w:r>
            <w:r>
              <w:rPr>
                <w:rFonts w:ascii="Times New Roman" w:hAnsi="Times New Roman" w:cs="Times New Roman" w:eastAsia="Times New Roman"/>
                <w:color w:val="004DBB"/>
                <w:spacing w:val="0"/>
                <w:position w:val="0"/>
                <w:sz w:val="20"/>
                <w:shd w:fill="auto" w:val="clear"/>
              </w:rPr>
              <w:t xml:space="preserve">Id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унікальний ID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ф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ільма в БД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26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Числовий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Числовий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Числовий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200" w:hRule="auto"/>
          <w:jc w:val="left"/>
        </w:trPr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10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6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widowControl w:val="false"/>
        <w:spacing w:before="0" w:after="200" w:line="331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Додаток Г. Структура БД </w:t>
      </w: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3495">
          <v:rect xmlns:o="urn:schemas-microsoft-com:office:office" xmlns:v="urn:schemas-microsoft-com:vml" id="rectole0000000004" style="width:415.500000pt;height:174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2520">
          <v:rect xmlns:o="urn:schemas-microsoft-com:office:office" xmlns:v="urn:schemas-microsoft-com:vml" id="rectole0000000005" style="width:415.500000pt;height:126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3165">
          <v:rect xmlns:o="urn:schemas-microsoft-com:office:office" xmlns:v="urn:schemas-microsoft-com:vml" id="rectole0000000006" style="width:415.500000pt;height:158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3060">
          <v:rect xmlns:o="urn:schemas-microsoft-com:office:office" xmlns:v="urn:schemas-microsoft-com:vml" id="rectole0000000007" style="width:415.500000pt;height:15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4215">
          <v:rect xmlns:o="urn:schemas-microsoft-com:office:office" xmlns:v="urn:schemas-microsoft-com:vml" id="rectole0000000008" style="width:415.500000pt;height:210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3360">
          <v:rect xmlns:o="urn:schemas-microsoft-com:office:office" xmlns:v="urn:schemas-microsoft-com:vml" id="rectole0000000009" style="width:415.500000pt;height:168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Фотографії таблиць БД </w:t>
      </w: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  <w:r>
        <w:object w:dxaOrig="8310" w:dyaOrig="4199">
          <v:rect xmlns:o="urn:schemas-microsoft-com:office:office" xmlns:v="urn:schemas-microsoft-com:vml" id="rectole0000000010" style="width:415.500000pt;height:209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  <w:r>
        <w:object w:dxaOrig="8310" w:dyaOrig="3585">
          <v:rect xmlns:o="urn:schemas-microsoft-com:office:office" xmlns:v="urn:schemas-microsoft-com:vml" id="rectole0000000011" style="width:415.500000pt;height:179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  <w:r>
        <w:object w:dxaOrig="9277" w:dyaOrig="2342">
          <v:rect xmlns:o="urn:schemas-microsoft-com:office:office" xmlns:v="urn:schemas-microsoft-com:vml" id="rectole0000000012" style="width:463.850000pt;height:117.1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  <w:r>
        <w:object w:dxaOrig="8310" w:dyaOrig="2445">
          <v:rect xmlns:o="urn:schemas-microsoft-com:office:office" xmlns:v="urn:schemas-microsoft-com:vml" id="rectole0000000013" style="width:415.500000pt;height:122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  <w:r>
        <w:object w:dxaOrig="8310" w:dyaOrig="3929">
          <v:rect xmlns:o="urn:schemas-microsoft-com:office:office" xmlns:v="urn:schemas-microsoft-com:vml" id="rectole0000000014" style="width:415.500000pt;height:196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  <w:r>
        <w:object w:dxaOrig="8310" w:dyaOrig="3929">
          <v:rect xmlns:o="urn:schemas-microsoft-com:office:office" xmlns:v="urn:schemas-microsoft-com:vml" id="rectole0000000015" style="width:415.500000pt;height:196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Фотографії вмісту таблиць</w:t>
      </w: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  <w:r>
        <w:object w:dxaOrig="9588" w:dyaOrig="1696">
          <v:rect xmlns:o="urn:schemas-microsoft-com:office:office" xmlns:v="urn:schemas-microsoft-com:vml" id="rectole0000000016" style="width:479.400000pt;height:84.8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  <w:r>
        <w:object w:dxaOrig="8310" w:dyaOrig="2475">
          <v:rect xmlns:o="urn:schemas-microsoft-com:office:office" xmlns:v="urn:schemas-microsoft-com:vml" id="rectole0000000017" style="width:415.500000pt;height:123.7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  <w:r>
        <w:object w:dxaOrig="10603" w:dyaOrig="1892">
          <v:rect xmlns:o="urn:schemas-microsoft-com:office:office" xmlns:v="urn:schemas-microsoft-com:vml" id="rectole0000000018" style="width:530.150000pt;height:94.6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  <w:r>
        <w:object w:dxaOrig="14723" w:dyaOrig="2353">
          <v:rect xmlns:o="urn:schemas-microsoft-com:office:office" xmlns:v="urn:schemas-microsoft-com:vml" id="rectole0000000019" style="width:736.150000pt;height:117.6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  <w:r>
        <w:object w:dxaOrig="13176" w:dyaOrig="1961">
          <v:rect xmlns:o="urn:schemas-microsoft-com:office:office" xmlns:v="urn:schemas-microsoft-com:vml" id="rectole0000000020" style="width:658.800000pt;height:98.0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  <w:r>
        <w:object w:dxaOrig="10996" w:dyaOrig="2653">
          <v:rect xmlns:o="urn:schemas-microsoft-com:office:office" xmlns:v="urn:schemas-microsoft-com:vml" id="rectole0000000021" style="width:549.800000pt;height:132.6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331"/>
        <w:ind w:right="0" w:left="0" w:firstLine="0"/>
        <w:jc w:val="center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331"/>
        <w:ind w:right="0" w:left="0" w:firstLine="0"/>
        <w:jc w:val="left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331"/>
        <w:ind w:right="0" w:left="0" w:firstLine="0"/>
        <w:jc w:val="left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331"/>
        <w:ind w:right="0" w:left="0" w:firstLine="0"/>
        <w:jc w:val="left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331"/>
        <w:ind w:right="0" w:left="0" w:firstLine="0"/>
        <w:jc w:val="left"/>
        <w:rPr>
          <w:rFonts w:ascii="Times New Roman" w:hAnsi="Times New Roman" w:cs="Times New Roman" w:eastAsia="Times New Roman"/>
          <w:strike w:val="true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14">
    <w:abstractNumId w:val="18"/>
  </w:num>
  <w:num w:numId="17">
    <w:abstractNumId w:val="12"/>
  </w:num>
  <w:num w:numId="20">
    <w:abstractNumId w:val="6"/>
  </w:num>
  <w:num w:numId="2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styles.xml" Id="docRId45" Type="http://schemas.openxmlformats.org/officeDocument/2006/relationships/styles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numbering.xml" Id="docRId44" Type="http://schemas.openxmlformats.org/officeDocument/2006/relationships/numbering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