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67D" w:rsidRDefault="00000000">
      <w:pPr>
        <w:rPr>
          <w:b/>
          <w:bCs/>
          <w:sz w:val="28"/>
          <w:szCs w:val="28"/>
        </w:rPr>
      </w:pPr>
      <w:r>
        <w:rPr>
          <w:b/>
          <w:bCs/>
          <w:sz w:val="28"/>
          <w:szCs w:val="28"/>
        </w:rPr>
        <w:t>1.关于</w:t>
      </w:r>
      <w:r w:rsidR="00A64D52" w:rsidRPr="00A64D52">
        <w:rPr>
          <w:b/>
          <w:bCs/>
          <w:sz w:val="28"/>
          <w:szCs w:val="28"/>
        </w:rPr>
        <w:t>公共数据授权运营的过程中，存在如何避免侵害商业秘密或个人信息的合规问题</w:t>
      </w:r>
      <w:r w:rsidR="00A64D52">
        <w:rPr>
          <w:rFonts w:hint="eastAsia"/>
          <w:b/>
          <w:bCs/>
          <w:sz w:val="28"/>
          <w:szCs w:val="28"/>
        </w:rPr>
        <w:t>？</w:t>
      </w:r>
    </w:p>
    <w:p w:rsidR="0041167D" w:rsidRDefault="00000000">
      <w:pPr>
        <w:ind w:firstLineChars="200" w:firstLine="562"/>
        <w:rPr>
          <w:sz w:val="28"/>
          <w:szCs w:val="28"/>
        </w:rPr>
      </w:pPr>
      <w:r w:rsidRPr="00A64D52">
        <w:rPr>
          <w:rFonts w:hint="eastAsia"/>
          <w:b/>
          <w:bCs/>
          <w:sz w:val="28"/>
          <w:szCs w:val="28"/>
        </w:rPr>
        <w:t>问题描述</w:t>
      </w:r>
      <w:r>
        <w:rPr>
          <w:rFonts w:hint="eastAsia"/>
          <w:color w:val="05073B"/>
          <w:sz w:val="28"/>
          <w:szCs w:val="28"/>
          <w:shd w:val="clear" w:color="auto" w:fill="FDFDFE"/>
        </w:rPr>
        <w:t>:</w:t>
      </w:r>
      <w:r w:rsidR="00A64D52" w:rsidRPr="00A64D52">
        <w:rPr>
          <w:rFonts w:ascii="Helvetica Neue" w:hAnsi="Helvetica Neue"/>
          <w:color w:val="191B1F"/>
          <w:sz w:val="27"/>
          <w:szCs w:val="27"/>
          <w:shd w:val="clear" w:color="auto" w:fill="FFFFFF"/>
        </w:rPr>
        <w:t xml:space="preserve"> </w:t>
      </w:r>
      <w:r w:rsidR="00A64D52">
        <w:rPr>
          <w:rFonts w:ascii="Helvetica Neue" w:hAnsi="Helvetica Neue"/>
          <w:color w:val="191B1F"/>
          <w:sz w:val="27"/>
          <w:szCs w:val="27"/>
          <w:shd w:val="clear" w:color="auto" w:fill="FFFFFF"/>
        </w:rPr>
        <w:t>一般而言，企业数据在流通利用时需对数据产品进行合规评估，甚至在征信行业，征信机构需对数据供应商进行安全审查。对于公共数据来说，公共数据开放属性一般分为无条件开放、有条件开放和非开放。公共数据开放主体应当按照分类分级有关要求对本单位获得的公共数据进行评估，公共数据授权运营同样涉及在做好数据治理评估的同时做好合规评估。数据开放主体应当按照国家和地方的相关要求，结合公共数据开放年度计划和市场主体利用需求，合理调整公共数据的开放范围，将尚未开放的公共数据进行脱密、脱敏等技术处理后予以开放。</w:t>
      </w:r>
    </w:p>
    <w:p w:rsidR="0041167D" w:rsidRDefault="00000000" w:rsidP="00A64D52">
      <w:pPr>
        <w:ind w:firstLineChars="200" w:firstLine="562"/>
        <w:rPr>
          <w:sz w:val="28"/>
          <w:szCs w:val="28"/>
        </w:rPr>
      </w:pPr>
      <w:r w:rsidRPr="00A64D52">
        <w:rPr>
          <w:rFonts w:hint="eastAsia"/>
          <w:b/>
          <w:bCs/>
          <w:sz w:val="28"/>
          <w:szCs w:val="28"/>
        </w:rPr>
        <w:t>具体案例</w:t>
      </w:r>
      <w:r>
        <w:rPr>
          <w:rFonts w:hint="eastAsia"/>
          <w:sz w:val="28"/>
          <w:szCs w:val="28"/>
        </w:rPr>
        <w:t>：</w:t>
      </w:r>
    </w:p>
    <w:p w:rsidR="00207251" w:rsidRPr="00207251" w:rsidRDefault="00207251" w:rsidP="00207251">
      <w:pPr>
        <w:rPr>
          <w:rFonts w:ascii="Helvetica Neue" w:hAnsi="Helvetica Neue"/>
          <w:color w:val="191B1F"/>
          <w:sz w:val="27"/>
          <w:szCs w:val="27"/>
          <w:shd w:val="clear" w:color="auto" w:fill="FFFFFF"/>
        </w:rPr>
      </w:pPr>
      <w:r w:rsidRPr="00207251">
        <w:rPr>
          <w:rFonts w:ascii="Helvetica Neue" w:hAnsi="Helvetica Neue"/>
          <w:color w:val="191B1F"/>
          <w:sz w:val="27"/>
          <w:szCs w:val="27"/>
          <w:shd w:val="clear" w:color="auto" w:fill="FFFFFF"/>
        </w:rPr>
        <w:t>案例一：合规评估的复杂性</w:t>
      </w:r>
    </w:p>
    <w:p w:rsidR="00207251" w:rsidRPr="00207251" w:rsidRDefault="00207251" w:rsidP="00207251">
      <w:pPr>
        <w:spacing w:before="210"/>
        <w:rPr>
          <w:rFonts w:ascii="Helvetica Neue" w:hAnsi="Helvetica Neue"/>
          <w:color w:val="191B1F"/>
          <w:sz w:val="27"/>
          <w:szCs w:val="27"/>
          <w:shd w:val="clear" w:color="auto" w:fill="FFFFFF"/>
        </w:rPr>
      </w:pPr>
      <w:r w:rsidRPr="00207251">
        <w:rPr>
          <w:rFonts w:ascii="Helvetica Neue" w:hAnsi="Helvetica Neue"/>
          <w:color w:val="191B1F"/>
          <w:sz w:val="27"/>
          <w:szCs w:val="27"/>
          <w:shd w:val="clear" w:color="auto" w:fill="FFFFFF"/>
        </w:rPr>
        <w:t>在公共数据开放过程中，合规评估可能会面临复杂性的挑战。由于不同部门的公共数据涉及不同领域的法规和标准，合规评估需要综合考虑多个法律法规的要求，确保数据开放符合各项规定。此外，随着技术的不断发展，新的合规问题也可能不断涌现，需要不断更新评估标准和方法。因此，如何确保合规评估的准确性和有效性，是公共数据开放过程中需要解决的一个重要问题。</w:t>
      </w:r>
    </w:p>
    <w:p w:rsidR="00207251" w:rsidRPr="00207251" w:rsidRDefault="00207251" w:rsidP="00207251">
      <w:pPr>
        <w:spacing w:before="210"/>
        <w:rPr>
          <w:rFonts w:ascii="Helvetica Neue" w:hAnsi="Helvetica Neue"/>
          <w:color w:val="191B1F"/>
          <w:sz w:val="27"/>
          <w:szCs w:val="27"/>
          <w:shd w:val="clear" w:color="auto" w:fill="FFFFFF"/>
        </w:rPr>
      </w:pPr>
      <w:r w:rsidRPr="00207251">
        <w:rPr>
          <w:rFonts w:ascii="Helvetica Neue" w:hAnsi="Helvetica Neue"/>
          <w:color w:val="191B1F"/>
          <w:sz w:val="27"/>
          <w:szCs w:val="27"/>
          <w:shd w:val="clear" w:color="auto" w:fill="FFFFFF"/>
        </w:rPr>
        <w:t>案例二：数据分类分级的模糊性</w:t>
      </w:r>
    </w:p>
    <w:p w:rsidR="00E34086" w:rsidRDefault="00207251" w:rsidP="00207251">
      <w:pPr>
        <w:spacing w:before="210"/>
        <w:rPr>
          <w:rFonts w:ascii="Helvetica Neue" w:hAnsi="Helvetica Neue"/>
          <w:color w:val="191B1F"/>
          <w:sz w:val="27"/>
          <w:szCs w:val="27"/>
          <w:shd w:val="clear" w:color="auto" w:fill="FFFFFF"/>
        </w:rPr>
      </w:pPr>
      <w:r w:rsidRPr="00207251">
        <w:rPr>
          <w:rFonts w:ascii="Helvetica Neue" w:hAnsi="Helvetica Neue"/>
          <w:color w:val="191B1F"/>
          <w:sz w:val="27"/>
          <w:szCs w:val="27"/>
          <w:shd w:val="clear" w:color="auto" w:fill="FFFFFF"/>
        </w:rPr>
        <w:lastRenderedPageBreak/>
        <w:t>公共数据的分类分级是数据开放的基础工作，但在实际操作中可能会存在模糊性的问题。不同部门对于数据的敏感性和重要性可能存在不同的认识和理解，导致数据分类分级的标准不统一。此外，随着公共数据的不断增加和更新，如何及时调整和优化分类分级标准，也是一个需要解决的问题。</w:t>
      </w:r>
    </w:p>
    <w:p w:rsidR="00207251" w:rsidRPr="00207251" w:rsidRDefault="00207251" w:rsidP="00207251">
      <w:pPr>
        <w:spacing w:before="210"/>
        <w:rPr>
          <w:rFonts w:ascii="Helvetica Neue" w:hAnsi="Helvetica Neue"/>
          <w:color w:val="191B1F"/>
          <w:sz w:val="27"/>
          <w:szCs w:val="27"/>
          <w:shd w:val="clear" w:color="auto" w:fill="FFFFFF"/>
        </w:rPr>
      </w:pPr>
      <w:r w:rsidRPr="00207251">
        <w:rPr>
          <w:rFonts w:ascii="Helvetica Neue" w:hAnsi="Helvetica Neue"/>
          <w:color w:val="191B1F"/>
          <w:sz w:val="27"/>
          <w:szCs w:val="27"/>
          <w:shd w:val="clear" w:color="auto" w:fill="FFFFFF"/>
        </w:rPr>
        <w:t>案例三：数据开放与隐私保护的平衡</w:t>
      </w:r>
    </w:p>
    <w:p w:rsidR="00E34086" w:rsidRDefault="00207251" w:rsidP="00207251">
      <w:pPr>
        <w:spacing w:before="210"/>
        <w:rPr>
          <w:rFonts w:ascii="Helvetica Neue" w:hAnsi="Helvetica Neue"/>
          <w:color w:val="191B1F"/>
          <w:sz w:val="27"/>
          <w:szCs w:val="27"/>
          <w:shd w:val="clear" w:color="auto" w:fill="FFFFFF"/>
        </w:rPr>
      </w:pPr>
      <w:r w:rsidRPr="00207251">
        <w:rPr>
          <w:rFonts w:ascii="Helvetica Neue" w:hAnsi="Helvetica Neue"/>
          <w:color w:val="191B1F"/>
          <w:sz w:val="27"/>
          <w:szCs w:val="27"/>
          <w:shd w:val="clear" w:color="auto" w:fill="FFFFFF"/>
        </w:rPr>
        <w:t>在公共数据开放的过程中，如何平衡数据开放与隐私保护是一个重要的问题。一方面，公众对公共数据的开放有着较高的需求，需要获取更多的信息来支持决策和监督；另一方面，个人隐私的保护也不容忽视，需要确保个人数据不被滥用和泄露。</w:t>
      </w:r>
    </w:p>
    <w:p w:rsidR="00207251" w:rsidRPr="00207251" w:rsidRDefault="00207251" w:rsidP="00207251">
      <w:pPr>
        <w:spacing w:before="210"/>
        <w:rPr>
          <w:rFonts w:ascii="Helvetica Neue" w:hAnsi="Helvetica Neue"/>
          <w:color w:val="191B1F"/>
          <w:sz w:val="27"/>
          <w:szCs w:val="27"/>
          <w:shd w:val="clear" w:color="auto" w:fill="FFFFFF"/>
        </w:rPr>
      </w:pPr>
      <w:r w:rsidRPr="00207251">
        <w:rPr>
          <w:rFonts w:ascii="Helvetica Neue" w:hAnsi="Helvetica Neue"/>
          <w:color w:val="191B1F"/>
          <w:sz w:val="27"/>
          <w:szCs w:val="27"/>
          <w:shd w:val="clear" w:color="auto" w:fill="FFFFFF"/>
        </w:rPr>
        <w:t>案例四：市场主体利用需求的多样性</w:t>
      </w:r>
    </w:p>
    <w:p w:rsidR="00207251" w:rsidRDefault="00207251" w:rsidP="00E34086">
      <w:pPr>
        <w:spacing w:before="210"/>
        <w:rPr>
          <w:rFonts w:ascii="Helvetica Neue" w:hAnsi="Helvetica Neue"/>
          <w:color w:val="191B1F"/>
          <w:sz w:val="27"/>
          <w:szCs w:val="27"/>
          <w:shd w:val="clear" w:color="auto" w:fill="FFFFFF"/>
        </w:rPr>
      </w:pPr>
      <w:r w:rsidRPr="00207251">
        <w:rPr>
          <w:rFonts w:ascii="Helvetica Neue" w:hAnsi="Helvetica Neue"/>
          <w:color w:val="191B1F"/>
          <w:sz w:val="27"/>
          <w:szCs w:val="27"/>
          <w:shd w:val="clear" w:color="auto" w:fill="FFFFFF"/>
        </w:rPr>
        <w:t>市场主体对公共数据的需求具有多样性，不同行业、不同企业对于数据的需求可能存在差异。因此，在公共数据开放过程中需要充分考虑市场主体的利用需求，合理调整公共数据的开放范围和技术处理标准。同时，还需要建立有效的数据共享机制，促进不同部门之间的数据互通和共享，提高数据的使用效率和价值。</w:t>
      </w:r>
    </w:p>
    <w:p w:rsidR="00E34086" w:rsidRPr="00207251" w:rsidRDefault="00E34086" w:rsidP="00E34086">
      <w:pPr>
        <w:spacing w:before="210"/>
        <w:rPr>
          <w:rFonts w:ascii="Helvetica Neue" w:hAnsi="Helvetica Neue" w:hint="eastAsia"/>
          <w:color w:val="191B1F"/>
          <w:sz w:val="27"/>
          <w:szCs w:val="27"/>
          <w:shd w:val="clear" w:color="auto" w:fill="FFFFFF"/>
        </w:rPr>
      </w:pPr>
    </w:p>
    <w:p w:rsidR="00E34086" w:rsidRPr="00E34086" w:rsidRDefault="00000000" w:rsidP="00E34086">
      <w:pPr>
        <w:rPr>
          <w:rFonts w:ascii="Helvetica Neue" w:hAnsi="Helvetica Neue"/>
          <w:color w:val="191B1F"/>
          <w:sz w:val="27"/>
          <w:szCs w:val="27"/>
          <w:shd w:val="clear" w:color="auto" w:fill="FFFFFF"/>
        </w:rPr>
      </w:pPr>
      <w:r w:rsidRPr="00A64D52">
        <w:rPr>
          <w:rFonts w:hint="eastAsia"/>
          <w:b/>
          <w:bCs/>
          <w:sz w:val="28"/>
          <w:szCs w:val="28"/>
        </w:rPr>
        <w:t>建议政策举措</w:t>
      </w:r>
      <w:r>
        <w:rPr>
          <w:rFonts w:hint="eastAsia"/>
          <w:sz w:val="28"/>
          <w:szCs w:val="28"/>
        </w:rPr>
        <w:t>：</w:t>
      </w:r>
    </w:p>
    <w:p w:rsidR="00E34086" w:rsidRPr="00E34086" w:rsidRDefault="00E34086" w:rsidP="00E34086">
      <w:pPr>
        <w:numPr>
          <w:ilvl w:val="0"/>
          <w:numId w:val="4"/>
        </w:numPr>
        <w:rPr>
          <w:rFonts w:ascii="Helvetica Neue" w:hAnsi="Helvetica Neue"/>
          <w:color w:val="191B1F"/>
          <w:sz w:val="27"/>
          <w:szCs w:val="27"/>
          <w:shd w:val="clear" w:color="auto" w:fill="FFFFFF"/>
        </w:rPr>
      </w:pPr>
      <w:r w:rsidRPr="00E34086">
        <w:rPr>
          <w:rFonts w:ascii="Helvetica Neue" w:hAnsi="Helvetica Neue" w:hint="eastAsia"/>
          <w:color w:val="191B1F"/>
          <w:sz w:val="27"/>
          <w:szCs w:val="27"/>
          <w:shd w:val="clear" w:color="auto" w:fill="FFFFFF"/>
        </w:rPr>
        <w:t>建立健全数据治理机制：</w:t>
      </w:r>
    </w:p>
    <w:p w:rsidR="00E34086" w:rsidRPr="00E34086" w:rsidRDefault="00E34086" w:rsidP="00E34086">
      <w:pPr>
        <w:numPr>
          <w:ilvl w:val="1"/>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lastRenderedPageBreak/>
        <w:t>制定和完善数据开放的政策法规，明确数据开放的原则、范围、方式和程序。</w:t>
      </w:r>
    </w:p>
    <w:p w:rsidR="00E34086" w:rsidRPr="00E34086" w:rsidRDefault="00E34086" w:rsidP="00E34086">
      <w:pPr>
        <w:numPr>
          <w:ilvl w:val="1"/>
          <w:numId w:val="4"/>
        </w:numPr>
        <w:spacing w:before="30"/>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成立专门的数据治理机构，负责数据开放的统筹规划、协调和监督。</w:t>
      </w:r>
    </w:p>
    <w:p w:rsidR="00E34086" w:rsidRPr="00E34086" w:rsidRDefault="00E34086" w:rsidP="00E34086">
      <w:pPr>
        <w:numPr>
          <w:ilvl w:val="0"/>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加强合规评估：</w:t>
      </w:r>
    </w:p>
    <w:p w:rsidR="00E34086" w:rsidRPr="00E34086" w:rsidRDefault="00E34086" w:rsidP="00E34086">
      <w:pPr>
        <w:numPr>
          <w:ilvl w:val="1"/>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建立数据合规评估体系，对数据开放进行事前、事中和事后的合规性审查。</w:t>
      </w:r>
    </w:p>
    <w:p w:rsidR="00E34086" w:rsidRPr="00E34086" w:rsidRDefault="00E34086" w:rsidP="00E34086">
      <w:pPr>
        <w:numPr>
          <w:ilvl w:val="1"/>
          <w:numId w:val="4"/>
        </w:numPr>
        <w:spacing w:before="30"/>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引入第三方评估机构，对数据进行独立、公正的评估，确保数据开放符合法律法规要求。</w:t>
      </w:r>
    </w:p>
    <w:p w:rsidR="00E34086" w:rsidRPr="00E34086" w:rsidRDefault="00E34086" w:rsidP="00E34086">
      <w:pPr>
        <w:numPr>
          <w:ilvl w:val="0"/>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明确数据分类分级标准：</w:t>
      </w:r>
    </w:p>
    <w:p w:rsidR="00E34086" w:rsidRPr="00E34086" w:rsidRDefault="00E34086" w:rsidP="00E34086">
      <w:pPr>
        <w:numPr>
          <w:ilvl w:val="1"/>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制定详细的数据分类分级指南，明确各级数据的敏感性和访问权限。</w:t>
      </w:r>
    </w:p>
    <w:p w:rsidR="00E34086" w:rsidRPr="00E34086" w:rsidRDefault="00E34086" w:rsidP="00E34086">
      <w:pPr>
        <w:numPr>
          <w:ilvl w:val="1"/>
          <w:numId w:val="4"/>
        </w:numPr>
        <w:spacing w:before="30"/>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对不同级别的数据实行不同的管理策略，确保敏感数据的安全性和非敏感数据的开放性。</w:t>
      </w:r>
    </w:p>
    <w:p w:rsidR="00E34086" w:rsidRPr="00E34086" w:rsidRDefault="00E34086" w:rsidP="00E34086">
      <w:pPr>
        <w:numPr>
          <w:ilvl w:val="0"/>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平衡数据开放与隐私保护：</w:t>
      </w:r>
    </w:p>
    <w:p w:rsidR="00E34086" w:rsidRPr="00E34086" w:rsidRDefault="00E34086" w:rsidP="00E34086">
      <w:pPr>
        <w:numPr>
          <w:ilvl w:val="1"/>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采用脱敏、脱密等技术手段，对敏感数据进行处理，确保个人隐私不被泄露。</w:t>
      </w:r>
    </w:p>
    <w:p w:rsidR="00E34086" w:rsidRDefault="00E34086" w:rsidP="00E34086">
      <w:pPr>
        <w:numPr>
          <w:ilvl w:val="1"/>
          <w:numId w:val="4"/>
        </w:numPr>
        <w:spacing w:before="30"/>
        <w:rPr>
          <w:rFonts w:ascii="Helvetica Neue" w:hAnsi="Helvetica Neue"/>
          <w:color w:val="191B1F"/>
          <w:sz w:val="27"/>
          <w:szCs w:val="27"/>
          <w:shd w:val="clear" w:color="auto" w:fill="FFFFFF"/>
        </w:rPr>
      </w:pPr>
      <w:r w:rsidRPr="00E34086">
        <w:rPr>
          <w:rFonts w:ascii="Helvetica Neue" w:hAnsi="Helvetica Neue" w:hint="eastAsia"/>
          <w:color w:val="191B1F"/>
          <w:sz w:val="27"/>
          <w:szCs w:val="27"/>
          <w:shd w:val="clear" w:color="auto" w:fill="FFFFFF"/>
        </w:rPr>
        <w:t>建立隐私保护机制，如设立隐私保护委员会或引入隐私保护算法，对数据使用进行监管。</w:t>
      </w:r>
    </w:p>
    <w:p w:rsidR="00E34086" w:rsidRPr="00E34086" w:rsidRDefault="00E34086" w:rsidP="00E34086">
      <w:pPr>
        <w:numPr>
          <w:ilvl w:val="1"/>
          <w:numId w:val="4"/>
        </w:numPr>
        <w:spacing w:before="30"/>
        <w:rPr>
          <w:rFonts w:ascii="Helvetica Neue" w:hAnsi="Helvetica Neue" w:hint="eastAsia"/>
          <w:color w:val="191B1F"/>
          <w:sz w:val="27"/>
          <w:szCs w:val="27"/>
          <w:shd w:val="clear" w:color="auto" w:fill="FFFFFF"/>
        </w:rPr>
      </w:pPr>
      <w:r w:rsidRPr="00A64D52">
        <w:rPr>
          <w:rFonts w:ascii="Helvetica Neue" w:hAnsi="Helvetica Neue"/>
          <w:color w:val="191B1F"/>
          <w:sz w:val="27"/>
          <w:szCs w:val="27"/>
          <w:shd w:val="clear" w:color="auto" w:fill="FFFFFF"/>
        </w:rPr>
        <w:t>加紧研制技术标准，强化市场认知，鼓励技术开源，推动隐私计算、区块链、云计算、人工智能等新兴技术的深度融合与协同，探索有效解决数据流通问题的技术支撑体系</w:t>
      </w:r>
      <w:r>
        <w:rPr>
          <w:rFonts w:ascii="Helvetica Neue" w:hAnsi="Helvetica Neue" w:hint="eastAsia"/>
          <w:color w:val="191B1F"/>
          <w:sz w:val="27"/>
          <w:szCs w:val="27"/>
          <w:shd w:val="clear" w:color="auto" w:fill="FFFFFF"/>
        </w:rPr>
        <w:t>。</w:t>
      </w:r>
    </w:p>
    <w:p w:rsidR="00E34086" w:rsidRPr="00E34086" w:rsidRDefault="00E34086" w:rsidP="00E34086">
      <w:pPr>
        <w:numPr>
          <w:ilvl w:val="0"/>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lastRenderedPageBreak/>
        <w:t>满足市场主体多样化需求：</w:t>
      </w:r>
    </w:p>
    <w:p w:rsidR="00E34086" w:rsidRPr="00E34086" w:rsidRDefault="00E34086" w:rsidP="00E34086">
      <w:pPr>
        <w:numPr>
          <w:ilvl w:val="1"/>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定期调查和收集市场主体的数据需求，根据需求调整数据开放策略。</w:t>
      </w:r>
    </w:p>
    <w:p w:rsidR="00E34086" w:rsidRPr="00E34086" w:rsidRDefault="00E34086" w:rsidP="00E34086">
      <w:pPr>
        <w:numPr>
          <w:ilvl w:val="1"/>
          <w:numId w:val="4"/>
        </w:numPr>
        <w:spacing w:before="30"/>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建立数据共享平台或数据市场，促进数据的流通和利用。</w:t>
      </w:r>
    </w:p>
    <w:p w:rsidR="00E34086" w:rsidRPr="00E34086" w:rsidRDefault="00E34086" w:rsidP="00E34086">
      <w:pPr>
        <w:numPr>
          <w:ilvl w:val="0"/>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加强技术支撑和安全保障：</w:t>
      </w:r>
    </w:p>
    <w:p w:rsidR="00E34086" w:rsidRPr="00E34086" w:rsidRDefault="00E34086" w:rsidP="00E34086">
      <w:pPr>
        <w:numPr>
          <w:ilvl w:val="1"/>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投入资源研发数据开放相关的技术和工具，如数据脱敏工具、数据共享平台等。</w:t>
      </w:r>
    </w:p>
    <w:p w:rsidR="00E34086" w:rsidRPr="00E34086" w:rsidRDefault="00E34086" w:rsidP="00E34086">
      <w:pPr>
        <w:numPr>
          <w:ilvl w:val="1"/>
          <w:numId w:val="4"/>
        </w:numPr>
        <w:spacing w:before="30"/>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建立完善的数据安全保障体系，包括数据加密、访问控制、安全审计等措施。</w:t>
      </w:r>
    </w:p>
    <w:p w:rsidR="00E34086" w:rsidRPr="00E34086" w:rsidRDefault="00E34086" w:rsidP="00E34086">
      <w:pPr>
        <w:numPr>
          <w:ilvl w:val="0"/>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推动数据开放与产业发展相结合：</w:t>
      </w:r>
    </w:p>
    <w:p w:rsidR="00E34086" w:rsidRPr="00E34086" w:rsidRDefault="00E34086" w:rsidP="00E34086">
      <w:pPr>
        <w:numPr>
          <w:ilvl w:val="1"/>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鼓励企业参与数据开放和利用，支持企业开发数据产品和服务。</w:t>
      </w:r>
    </w:p>
    <w:p w:rsidR="00E34086" w:rsidRPr="00E34086" w:rsidRDefault="00E34086" w:rsidP="00E34086">
      <w:pPr>
        <w:numPr>
          <w:ilvl w:val="1"/>
          <w:numId w:val="4"/>
        </w:numPr>
        <w:spacing w:before="30"/>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培育和发展数据要素市场，推动数据资源的价值实现。</w:t>
      </w:r>
    </w:p>
    <w:p w:rsidR="00E34086" w:rsidRPr="00E34086" w:rsidRDefault="00E34086" w:rsidP="00E34086">
      <w:pPr>
        <w:numPr>
          <w:ilvl w:val="0"/>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加强国际合作与交流：</w:t>
      </w:r>
    </w:p>
    <w:p w:rsidR="00E34086" w:rsidRPr="00E34086" w:rsidRDefault="00E34086" w:rsidP="00E34086">
      <w:pPr>
        <w:numPr>
          <w:ilvl w:val="1"/>
          <w:numId w:val="4"/>
        </w:numPr>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借鉴国内外先进的数据开放经验和做法，提高河北省的数据开放水平。</w:t>
      </w:r>
    </w:p>
    <w:p w:rsidR="00E34086" w:rsidRPr="00E34086" w:rsidRDefault="00E34086" w:rsidP="00E34086">
      <w:pPr>
        <w:numPr>
          <w:ilvl w:val="1"/>
          <w:numId w:val="4"/>
        </w:numPr>
        <w:spacing w:before="30"/>
        <w:rPr>
          <w:rFonts w:ascii="Helvetica Neue" w:hAnsi="Helvetica Neue" w:hint="eastAsia"/>
          <w:color w:val="191B1F"/>
          <w:sz w:val="27"/>
          <w:szCs w:val="27"/>
          <w:shd w:val="clear" w:color="auto" w:fill="FFFFFF"/>
        </w:rPr>
      </w:pPr>
      <w:r w:rsidRPr="00E34086">
        <w:rPr>
          <w:rFonts w:ascii="Helvetica Neue" w:hAnsi="Helvetica Neue" w:hint="eastAsia"/>
          <w:color w:val="191B1F"/>
          <w:sz w:val="27"/>
          <w:szCs w:val="27"/>
          <w:shd w:val="clear" w:color="auto" w:fill="FFFFFF"/>
        </w:rPr>
        <w:t>加强与其他地区和国家的数据合作与交流，推动数据资源的国际共享。</w:t>
      </w:r>
    </w:p>
    <w:p w:rsidR="0041167D" w:rsidRPr="00E34086" w:rsidRDefault="0041167D" w:rsidP="00E34086">
      <w:pPr>
        <w:rPr>
          <w:rFonts w:ascii="Helvetica Neue" w:hAnsi="Helvetica Neue" w:hint="eastAsia"/>
          <w:color w:val="191B1F"/>
          <w:sz w:val="27"/>
          <w:szCs w:val="27"/>
          <w:shd w:val="clear" w:color="auto" w:fill="FFFFFF"/>
        </w:rPr>
      </w:pPr>
    </w:p>
    <w:sectPr w:rsidR="0041167D" w:rsidRPr="00E34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B0604020202020204"/>
    <w:charset w:val="86"/>
    <w:family w:val="auto"/>
    <w:pitch w:val="default"/>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A22057"/>
    <w:multiLevelType w:val="multilevel"/>
    <w:tmpl w:val="D4A22057"/>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color w:val="auto"/>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06B6270D"/>
    <w:multiLevelType w:val="multilevel"/>
    <w:tmpl w:val="C8504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6051C"/>
    <w:multiLevelType w:val="hybridMultilevel"/>
    <w:tmpl w:val="29D09D12"/>
    <w:lvl w:ilvl="0" w:tplc="5BA43A90">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15:restartNumberingAfterBreak="0">
    <w:nsid w:val="54D880E8"/>
    <w:multiLevelType w:val="singleLevel"/>
    <w:tmpl w:val="54D880E8"/>
    <w:lvl w:ilvl="0">
      <w:start w:val="3"/>
      <w:numFmt w:val="decimal"/>
      <w:suff w:val="nothing"/>
      <w:lvlText w:val="%1、"/>
      <w:lvlJc w:val="left"/>
    </w:lvl>
  </w:abstractNum>
  <w:num w:numId="1" w16cid:durableId="1855680019">
    <w:abstractNumId w:val="0"/>
  </w:num>
  <w:num w:numId="2" w16cid:durableId="1227303495">
    <w:abstractNumId w:val="3"/>
  </w:num>
  <w:num w:numId="3" w16cid:durableId="1373455121">
    <w:abstractNumId w:val="2"/>
  </w:num>
  <w:num w:numId="4" w16cid:durableId="713500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E2YWQ3YjYxMmMzODJmMjExNGNmZjE5YjE1ODBhMWIifQ=="/>
  </w:docVars>
  <w:rsids>
    <w:rsidRoot w:val="540678AD"/>
    <w:rsid w:val="00207251"/>
    <w:rsid w:val="0041167D"/>
    <w:rsid w:val="00A64D52"/>
    <w:rsid w:val="00A90E9C"/>
    <w:rsid w:val="00AA6A05"/>
    <w:rsid w:val="00E34086"/>
    <w:rsid w:val="00E7584E"/>
    <w:rsid w:val="00F97811"/>
    <w:rsid w:val="0D842256"/>
    <w:rsid w:val="0E641B8B"/>
    <w:rsid w:val="0FB54314"/>
    <w:rsid w:val="540678AD"/>
    <w:rsid w:val="615B0690"/>
    <w:rsid w:val="6CC62E81"/>
    <w:rsid w:val="7B28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053037"/>
  <w15:docId w15:val="{065089A5-B81F-244E-8694-23A1C111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7251"/>
    <w:rPr>
      <w:rFonts w:ascii="宋体" w:eastAsia="宋体" w:hAnsi="宋体" w:cs="宋体"/>
      <w:sz w:val="24"/>
      <w:szCs w:val="24"/>
    </w:rPr>
  </w:style>
  <w:style w:type="paragraph" w:styleId="1">
    <w:name w:val="heading 1"/>
    <w:basedOn w:val="a"/>
    <w:next w:val="a"/>
    <w:autoRedefine/>
    <w:qFormat/>
    <w:pPr>
      <w:keepNext/>
      <w:keepLines/>
      <w:numPr>
        <w:numId w:val="1"/>
      </w:numPr>
      <w:spacing w:before="340" w:after="330" w:line="576" w:lineRule="auto"/>
      <w:outlineLvl w:val="0"/>
    </w:pPr>
    <w:rPr>
      <w:b/>
      <w:kern w:val="44"/>
      <w:sz w:val="44"/>
    </w:rPr>
  </w:style>
  <w:style w:type="paragraph" w:styleId="2">
    <w:name w:val="heading 2"/>
    <w:basedOn w:val="a"/>
    <w:next w:val="a"/>
    <w:autoRedefine/>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autoRedefine/>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autoRedefine/>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autoRedefine/>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adjustRightInd w:val="0"/>
      <w:spacing w:before="120" w:after="120"/>
      <w:ind w:firstLine="0"/>
      <w:textAlignment w:val="baseline"/>
      <w:outlineLvl w:val="5"/>
    </w:pPr>
    <w:rPr>
      <w:rFonts w:ascii="Times New Roman" w:eastAsia="仿宋" w:hAnsi="Times New Roman"/>
      <w:b/>
      <w:bCs/>
      <w:sz w:val="28"/>
    </w:rPr>
  </w:style>
  <w:style w:type="paragraph" w:styleId="7">
    <w:name w:val="heading 7"/>
    <w:basedOn w:val="a"/>
    <w:next w:val="a"/>
    <w:autoRedefine/>
    <w:semiHidden/>
    <w:unhideWhenUsed/>
    <w:qFormat/>
    <w:pPr>
      <w:keepNext/>
      <w:keepLines/>
      <w:numPr>
        <w:ilvl w:val="6"/>
        <w:numId w:val="1"/>
      </w:numPr>
      <w:spacing w:before="240" w:after="64" w:line="317" w:lineRule="auto"/>
      <w:outlineLvl w:val="6"/>
    </w:pPr>
    <w:rPr>
      <w:b/>
    </w:rPr>
  </w:style>
  <w:style w:type="paragraph" w:styleId="8">
    <w:name w:val="heading 8"/>
    <w:basedOn w:val="a"/>
    <w:next w:val="a"/>
    <w:autoRedefine/>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autoRedefine/>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tyle>
  <w:style w:type="character" w:styleId="a4">
    <w:name w:val="Strong"/>
    <w:basedOn w:val="a0"/>
    <w:uiPriority w:val="22"/>
    <w:qFormat/>
    <w:rPr>
      <w:b/>
    </w:rPr>
  </w:style>
  <w:style w:type="paragraph" w:styleId="a5">
    <w:name w:val="List Paragraph"/>
    <w:basedOn w:val="a"/>
    <w:uiPriority w:val="99"/>
    <w:rsid w:val="00E758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10350">
      <w:bodyDiv w:val="1"/>
      <w:marLeft w:val="0"/>
      <w:marRight w:val="0"/>
      <w:marTop w:val="0"/>
      <w:marBottom w:val="0"/>
      <w:divBdr>
        <w:top w:val="none" w:sz="0" w:space="0" w:color="auto"/>
        <w:left w:val="none" w:sz="0" w:space="0" w:color="auto"/>
        <w:bottom w:val="none" w:sz="0" w:space="0" w:color="auto"/>
        <w:right w:val="none" w:sz="0" w:space="0" w:color="auto"/>
      </w:divBdr>
    </w:div>
    <w:div w:id="506990632">
      <w:bodyDiv w:val="1"/>
      <w:marLeft w:val="0"/>
      <w:marRight w:val="0"/>
      <w:marTop w:val="0"/>
      <w:marBottom w:val="0"/>
      <w:divBdr>
        <w:top w:val="none" w:sz="0" w:space="0" w:color="auto"/>
        <w:left w:val="none" w:sz="0" w:space="0" w:color="auto"/>
        <w:bottom w:val="none" w:sz="0" w:space="0" w:color="auto"/>
        <w:right w:val="none" w:sz="0" w:space="0" w:color="auto"/>
      </w:divBdr>
    </w:div>
    <w:div w:id="105142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赵宇</dc:creator>
  <cp:lastModifiedBy>轩 龙</cp:lastModifiedBy>
  <cp:revision>3</cp:revision>
  <dcterms:created xsi:type="dcterms:W3CDTF">2024-03-05T02:15:00Z</dcterms:created>
  <dcterms:modified xsi:type="dcterms:W3CDTF">2024-03-06T03:48:00Z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0712BE5409604734862AE92465352745_11</vt:lpwstr>
  </property>
</Properties>
</file>