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F5D50"/>
          <w:sz w:val="52"/>
          <w:szCs w:val="52"/>
        </w:rPr>
        <w:t xml:space="preserve">CASHLINK RÉUNION</w:t>
      </w:r>
    </w:p>
    <w:p>
      <w:pPr>
        <w:spacing w:after="20"/>
        <w:jc w:val="center"/>
      </w:pPr>
      <w:r>
        <w:rPr>
          <w:i/>
          <w:iCs/>
          <w:color w:val="5B6660"/>
          <w:sz w:val="18"/>
          <w:szCs w:val="18"/>
        </w:rPr>
        <w:t xml:space="preserve">(nom de travail — à modifier librement)</w:t>
      </w:r>
    </w:p>
    <w:p>
      <w:pPr>
        <w:spacing w:after="400"/>
        <w:jc w:val="center"/>
      </w:pPr>
      <w:r>
        <w:rPr>
          <w:color w:val="1B2521"/>
          <w:sz w:val="22"/>
          <w:szCs w:val="22"/>
        </w:rPr>
        <w:t xml:space="preserve">Cahier des charges — Application de dépôt d'espèces sans passage en agence</w:t>
      </w:r>
    </w:p>
    <w:p>
      <w:pPr>
        <w:pStyle w:val="Heading1"/>
        <w:pBdr>
          <w:bottom w:val="single" w:color="2F5D50" w:sz="6" w:space="4"/>
        </w:pBdr>
        <w:spacing w:after="160" w:before="360"/>
      </w:pPr>
      <w:r>
        <w:rPr>
          <w:b/>
          <w:bCs/>
          <w:color w:val="2F5D50"/>
          <w:sz w:val="30"/>
          <w:szCs w:val="30"/>
        </w:rPr>
        <w:t xml:space="preserve">1. Contexte et problématique</w:t>
      </w:r>
    </w:p>
    <w:p>
      <w:pPr>
        <w:spacing w:after="140"/>
      </w:pPr>
      <w:r>
        <w:rPr>
          <w:color w:val="1B2521"/>
          <w:sz w:val="21"/>
          <w:szCs w:val="21"/>
        </w:rPr>
        <w:t xml:space="preserve">À La Réunion, déposer des espèces sur un compte impose de se déplacer vers un guichet automatique compatible ou une agence bancaire/postale, souvent éloignée et aux horaires contraints. CashLink propose une alternative : un réseau de points relais et un service de collecte permettant de transformer des espèces en crédit numérique sans ce déplacement.</w:t>
      </w:r>
    </w:p>
    <w:p>
      <w:pPr>
        <w:spacing w:after="140"/>
      </w:pPr>
      <w:r>
        <w:rPr>
          <w:color w:val="1B2521"/>
          <w:sz w:val="21"/>
          <w:szCs w:val="21"/>
        </w:rPr>
        <w:t xml:space="preserve">Point de vigilance technique : aucune application ne peut transformer un billet en argent numérique par simple scan optique. Le billet physique doit obligatoirement être remis à un tiers de confiance (point relais, coursier, distributeur) pour que la valeur soit transférée. Le rôle du scan/de l'app est de sécuriser et fluidifier cette remise, pas de la remplacer.</w:t>
      </w:r>
    </w:p>
    <w:p>
      <w:pPr>
        <w:pStyle w:val="Heading1"/>
        <w:pBdr>
          <w:bottom w:val="single" w:color="2F5D50" w:sz="6" w:space="4"/>
        </w:pBdr>
        <w:spacing w:after="160" w:before="360"/>
      </w:pPr>
      <w:r>
        <w:rPr>
          <w:b/>
          <w:bCs/>
          <w:color w:val="2F5D50"/>
          <w:sz w:val="30"/>
          <w:szCs w:val="30"/>
        </w:rPr>
        <w:t xml:space="preserve">2. Objectifs du projet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Réduire le temps et les déplacements nécessaires pour déposer des espèces.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Offrir un crédit rapide (idéalement quasi instantané) dès la remise du billet à un point de confiance.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Construire un réseau local de points relais (commerçants partenaires, ex. Family Arena) rémunérés à la transaction.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Garder une architecture simple, testable en MVP avant tout investissement lourd.</w:t>
      </w:r>
    </w:p>
    <w:p>
      <w:pPr>
        <w:pStyle w:val="Heading1"/>
        <w:pBdr>
          <w:bottom w:val="single" w:color="2F5D50" w:sz="6" w:space="4"/>
        </w:pBdr>
        <w:spacing w:after="160" w:before="360"/>
      </w:pPr>
      <w:r>
        <w:rPr>
          <w:b/>
          <w:bCs/>
          <w:color w:val="2F5D50"/>
          <w:sz w:val="30"/>
          <w:szCs w:val="30"/>
        </w:rPr>
        <w:t xml:space="preserve">3. Public cible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Particuliers souhaitant déposer des espèces (pourboires, ventes occasionnelles, cagnottes) sans se déplacer en agence.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Petits commerçants et indépendants qui reçoivent du cash au quotidien.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Zone de lancement : Saint-Pierre et le Sud de La Réunion, avant extension.</w:t>
      </w:r>
    </w:p>
    <w:p>
      <w:pPr>
        <w:pStyle w:val="Heading1"/>
        <w:pBdr>
          <w:bottom w:val="single" w:color="2F5D50" w:sz="6" w:space="4"/>
        </w:pBdr>
        <w:spacing w:after="160" w:before="360"/>
      </w:pPr>
      <w:r>
        <w:rPr>
          <w:b/>
          <w:bCs/>
          <w:color w:val="2F5D50"/>
          <w:sz w:val="30"/>
          <w:szCs w:val="30"/>
        </w:rPr>
        <w:t xml:space="preserve">4. Fonctionnalités</w:t>
      </w:r>
    </w:p>
    <w:p>
      <w:pPr>
        <w:pStyle w:val="Heading2"/>
        <w:spacing w:after="100" w:before="240"/>
      </w:pPr>
      <w:r>
        <w:rPr>
          <w:b/>
          <w:bCs/>
          <w:color w:val="1B2521"/>
          <w:sz w:val="24"/>
          <w:szCs w:val="24"/>
        </w:rPr>
        <w:t xml:space="preserve">4.1 MVP (version test)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Création de compte utilisateur (KYC simplifié).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Carte des points relais partenaires les plus proches (géolocalisation).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Génération d'un QR code de dépôt à présenter en point relais.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Validation manuelle du dépôt par le partenaire (montant + QR scanné) → crédit instantané dans l'app.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Historique des transactions et solde disponible.</w:t>
      </w:r>
    </w:p>
    <w:p>
      <w:pPr>
        <w:pStyle w:val="Heading2"/>
        <w:spacing w:after="100" w:before="240"/>
      </w:pPr>
      <w:r>
        <w:rPr>
          <w:b/>
          <w:bCs/>
          <w:color w:val="1B2521"/>
          <w:sz w:val="24"/>
          <w:szCs w:val="24"/>
        </w:rPr>
        <w:t xml:space="preserve">4.2 Version 2 (après validation du 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Demande de collecte à domicile avec créneau horaire.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Vérification automatique de billets par photo (détection de falsification basique par 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Virement vers compte bancaire externe (IBAN).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Programme de fidélité / cashback pour points relais actifs.</w:t>
      </w:r>
    </w:p>
    <w:p>
      <w:pPr>
        <w:pStyle w:val="Heading1"/>
        <w:pBdr>
          <w:bottom w:val="single" w:color="2F5D50" w:sz="6" w:space="4"/>
        </w:pBdr>
        <w:spacing w:after="160" w:before="360"/>
      </w:pPr>
      <w:r>
        <w:rPr>
          <w:b/>
          <w:bCs/>
          <w:color w:val="2F5D50"/>
          <w:sz w:val="30"/>
          <w:szCs w:val="30"/>
        </w:rPr>
        <w:t xml:space="preserve">5. Parcours utilisateur simplifié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1. L'utilisateur ouvre l'app et choisit "Déposer des espèces".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2. Il indique le montant et sélectionne un point relais sur la carte.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3. Il se rend sur place et présente le QR code + le billet.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4. Le partenaire encaisse le cash et valide le montant dans son interface.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5. Le solde de l'utilisateur est crédité immédiatement ; le partenaire est remboursé/collecté périodiquement.</w:t>
      </w:r>
    </w:p>
    <w:p>
      <w:pPr>
        <w:pStyle w:val="Heading1"/>
        <w:pBdr>
          <w:bottom w:val="single" w:color="2F5D50" w:sz="6" w:space="4"/>
        </w:pBdr>
        <w:spacing w:after="160" w:before="360"/>
      </w:pPr>
      <w:r>
        <w:rPr>
          <w:b/>
          <w:bCs/>
          <w:color w:val="2F5D50"/>
          <w:sz w:val="30"/>
          <w:szCs w:val="30"/>
        </w:rPr>
        <w:t xml:space="preserve">6. Modèle de fonctionnement</w:t>
      </w:r>
    </w:p>
    <w:p>
      <w:pPr>
        <w:spacing w:after="140"/>
      </w:pPr>
      <w:r>
        <w:rPr>
          <w:color w:val="1B2521"/>
          <w:sz w:val="21"/>
          <w:szCs w:val="21"/>
        </w:rPr>
        <w:t xml:space="preserve">Deux briques complémentaires, à ne pas confondre 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2F5D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Brique</w:t>
            </w:r>
          </w:p>
        </w:tc>
        <w:tc>
          <w:tcPr>
            <w:tcW w:type="dxa" w:w="6550"/>
            <w:shd w:fill="2F5D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521"/>
                <w:sz w:val="20"/>
                <w:szCs w:val="20"/>
              </w:rPr>
              <w:t xml:space="preserve">Réseau de points relais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521"/>
                <w:sz w:val="20"/>
                <w:szCs w:val="20"/>
              </w:rPr>
              <w:t xml:space="preserve">Commerces partenaires qui acceptent le cash contre une commission, et le déposent ensuite en banque.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521"/>
                <w:sz w:val="20"/>
                <w:szCs w:val="20"/>
              </w:rPr>
              <w:t xml:space="preserve">Collecte à domicile (V2)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521"/>
                <w:sz w:val="20"/>
                <w:szCs w:val="20"/>
              </w:rPr>
              <w:t xml:space="preserve">Coursier qui récupère le cash chez l'utilisateur et le dépose via le réseau ou en agence.</w:t>
            </w:r>
          </w:p>
        </w:tc>
      </w:tr>
    </w:tbl>
    <w:p>
      <w:pPr>
        <w:pStyle w:val="Heading1"/>
        <w:pBdr>
          <w:bottom w:val="single" w:color="2F5D50" w:sz="6" w:space="4"/>
        </w:pBdr>
        <w:spacing w:after="160" w:before="360"/>
      </w:pPr>
      <w:r>
        <w:rPr>
          <w:b/>
          <w:bCs/>
          <w:color w:val="2F5D50"/>
          <w:sz w:val="30"/>
          <w:szCs w:val="30"/>
        </w:rPr>
        <w:t xml:space="preserve">7. Aspects techniques (proposition)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Application mobile : React Native ou Flutter (multiplateforme, un seul code pour iOS/Android).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Backend : Python (FastAPI) + base de données PostgreSQL.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Authentification &amp; KYC : solution tierce existante (ex. prestataire d'identité numérique) plutôt que développement maison.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Paiements/virements : passer par un établissement de paiement agréé (voir section 8) plutôt que de gérer les fonds soi-même.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Carte et géolocalisation : API Mapbox ou Google Maps.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QR codes : génération et scan via librairies standards (ex. react-native-camera, qrcode).</w:t>
      </w:r>
    </w:p>
    <w:p>
      <w:pPr>
        <w:pStyle w:val="Heading1"/>
        <w:pBdr>
          <w:bottom w:val="single" w:color="2F5D50" w:sz="6" w:space="4"/>
        </w:pBdr>
        <w:spacing w:after="160" w:before="360"/>
      </w:pPr>
      <w:r>
        <w:rPr>
          <w:b/>
          <w:bCs/>
          <w:color w:val="2F5D50"/>
          <w:sz w:val="30"/>
          <w:szCs w:val="30"/>
        </w:rPr>
        <w:t xml:space="preserve">8. Cadre réglementaire — point critique</w:t>
      </w:r>
    </w:p>
    <w:p>
      <w:pPr>
        <w:spacing w:after="140"/>
      </w:pPr>
      <w:r>
        <w:rPr>
          <w:color w:val="1B2521"/>
          <w:sz w:val="21"/>
          <w:szCs w:val="21"/>
        </w:rPr>
        <w:t xml:space="preserve">C'est l'obstacle principal du projet, à traiter avant tout développement poussé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Manipuler l'argent d'autrui et le convertir en monnaie électronique est une activité réglementée en France (relève du Code monétaire et financier).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Une structure qui fait cela doit être agréée établissement de paiement ou établissement de monnaie électronique (ACPR/Banque de France), ou s'appuyer sur un partenaire déjà agréé (banque, EMI comme un prestataire de paiement existant).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En pratique, pour un projet perso/étudiant, la voie réaliste est de s'appuyer sur un partenaire agréé existant (API bancaire, EMI partenaire) plutôt que de demander son propre agrément.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Obligations de vigilance anti-blanchiment (LCB-FT) : identification des utilisateurs, plafonds de dépôt, traçabilité des transactions.</w:t>
      </w:r>
    </w:p>
    <w:p>
      <w:pPr>
        <w:pStyle w:val="Heading1"/>
        <w:pBdr>
          <w:bottom w:val="single" w:color="2F5D50" w:sz="6" w:space="4"/>
        </w:pBdr>
        <w:spacing w:after="160" w:before="360"/>
      </w:pPr>
      <w:r>
        <w:rPr>
          <w:b/>
          <w:bCs/>
          <w:color w:val="2F5D50"/>
          <w:sz w:val="30"/>
          <w:szCs w:val="30"/>
        </w:rPr>
        <w:t xml:space="preserve">9. Modèle économique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Commission sur chaque dépôt (ex. 1 à 3 % du montant), partagée entre la plateforme et le point relais.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Frais additionnel pour la collecte à domicile (V2).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Objectif MVP : valider l'usage avant de chercher une rentabilité réelle.</w:t>
      </w:r>
    </w:p>
    <w:p>
      <w:pPr>
        <w:pStyle w:val="Heading1"/>
        <w:pBdr>
          <w:bottom w:val="single" w:color="2F5D50" w:sz="6" w:space="4"/>
        </w:pBdr>
        <w:spacing w:after="160" w:before="360"/>
      </w:pPr>
      <w:r>
        <w:rPr>
          <w:b/>
          <w:bCs/>
          <w:color w:val="2F5D50"/>
          <w:sz w:val="30"/>
          <w:szCs w:val="30"/>
        </w:rPr>
        <w:t xml:space="preserve">10. Risques et contraintes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Réglementaire : nécessité d'un partenaire agréé, sans quoi le projet ne peut pas légalement transférer des fonds.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Confiance : les points relais doivent être fiables (risque de faux billets, erreurs de montant).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Adoption : taille critique de réseau nécessaire pour être utile (peu de points relais = peu d'intérêt).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Sécurité : protection des données personnelles et des transactions (RGPD).</w:t>
      </w:r>
    </w:p>
    <w:p>
      <w:pPr>
        <w:pStyle w:val="Heading1"/>
        <w:pBdr>
          <w:bottom w:val="single" w:color="2F5D50" w:sz="6" w:space="4"/>
        </w:pBdr>
        <w:spacing w:after="160" w:before="360"/>
      </w:pPr>
      <w:r>
        <w:rPr>
          <w:b/>
          <w:bCs/>
          <w:color w:val="2F5D50"/>
          <w:sz w:val="30"/>
          <w:szCs w:val="30"/>
        </w:rPr>
        <w:t xml:space="preserve">11. Étapes de réalisation suggérées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Étape 1 — Prototype papier/Figma du parcours utilisateur et de l'interface point relais.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Étape 2 — Maquette interactive (app + interface partenaire) sans vrai transfert d'argent (simulation).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Étape 3 — Test réel avec 1 à 2 points relais volontaires (ex. Family Arena) et de petits montants, en s'appuyant sur un outil de paiement existant (ex. virement manuel confirmé) pour rester dans un cadre légal simple.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Étape 4 — Évaluation des retours, puis étude sérieuse d'un partenariat avec un établissement de paiement agréé si le concept est validé.</w:t>
      </w:r>
    </w:p>
    <w:p>
      <w:pPr>
        <w:pStyle w:val="Heading1"/>
        <w:pBdr>
          <w:bottom w:val="single" w:color="2F5D50" w:sz="6" w:space="4"/>
        </w:pBdr>
        <w:spacing w:after="160" w:before="360"/>
      </w:pPr>
      <w:r>
        <w:rPr>
          <w:b/>
          <w:bCs/>
          <w:color w:val="2F5D50"/>
          <w:sz w:val="30"/>
          <w:szCs w:val="30"/>
        </w:rPr>
        <w:t xml:space="preserve">12. Prochaines étapes immédiates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Choisir un nom définitif et une identité visuelle.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Construire la maquette d'interface (voir document séparé).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Identifier 2-3 commerces partenaires potentiels à Saint-Pierre pour un test pilote.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521"/>
          <w:sz w:val="21"/>
          <w:szCs w:val="21"/>
        </w:rPr>
        <w:t xml:space="preserve">Se renseigner sur les prestataires de paiement (EMI) ouverts aux petits projets/startups.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60"/>
        <w:sz w:val="16"/>
        <w:szCs w:val="16"/>
      </w:rPr>
      <w:t xml:space="preserve">Page </w:t>
    </w:r>
    <w:r>
      <w:rPr>
        <w:color w:val="5B666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660"/>
        <w:sz w:val="16"/>
        <w:szCs w:val="16"/>
      </w:rPr>
      <w:t xml:space="preserve"> / </w:t>
    </w:r>
    <w:r>
      <w:rPr>
        <w:color w:val="5B666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Projet CashLink Réunion — Cahier des charges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2026-07-05T20:35:38.807Z</dcterms:created>
  <dcterms:modified xsi:type="dcterms:W3CDTF">2026-07-05T20:35:38.807Z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