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94FF2" w14:textId="77777777" w:rsidR="00B060F7" w:rsidRDefault="00B060F7" w:rsidP="00B060F7">
      <w:pPr>
        <w:rPr>
          <w:rFonts w:ascii="Seaford" w:hAnsi="Seaford"/>
          <w:b/>
          <w:bCs/>
          <w:sz w:val="21"/>
          <w:szCs w:val="21"/>
        </w:rPr>
      </w:pPr>
      <w:r w:rsidRPr="00B060F7">
        <w:rPr>
          <w:rFonts w:ascii="Seaford" w:hAnsi="Seaford"/>
          <w:b/>
          <w:bCs/>
          <w:sz w:val="21"/>
          <w:szCs w:val="21"/>
        </w:rPr>
        <w:t>Analyse du fichier Trd_2024-03-20.csv</w:t>
      </w:r>
    </w:p>
    <w:p w14:paraId="21A31433" w14:textId="77777777" w:rsidR="00B060F7" w:rsidRPr="00B060F7" w:rsidRDefault="00B060F7" w:rsidP="00B060F7">
      <w:pPr>
        <w:rPr>
          <w:rFonts w:ascii="Seaford" w:hAnsi="Seaford"/>
          <w:b/>
          <w:bCs/>
          <w:sz w:val="21"/>
          <w:szCs w:val="21"/>
        </w:rPr>
      </w:pPr>
    </w:p>
    <w:p w14:paraId="3C09A66D" w14:textId="77777777" w:rsidR="00B060F7" w:rsidRPr="00B060F7" w:rsidRDefault="00B060F7" w:rsidP="00B060F7">
      <w:pPr>
        <w:rPr>
          <w:rFonts w:ascii="Seaford" w:hAnsi="Seaford"/>
          <w:b/>
          <w:bCs/>
          <w:sz w:val="21"/>
          <w:szCs w:val="21"/>
        </w:rPr>
      </w:pPr>
    </w:p>
    <w:p w14:paraId="162087E8" w14:textId="114BD609" w:rsidR="00B060F7" w:rsidRPr="00B060F7" w:rsidRDefault="00B060F7" w:rsidP="00B060F7">
      <w:pPr>
        <w:pStyle w:val="p1"/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r w:rsidRPr="00B060F7">
        <w:rPr>
          <w:rFonts w:ascii="Seaford" w:hAnsi="Seaford"/>
          <w:b/>
          <w:bCs/>
          <w:sz w:val="21"/>
          <w:szCs w:val="21"/>
        </w:rPr>
        <w:t>Méta-informations en début de fichier</w:t>
      </w:r>
    </w:p>
    <w:p w14:paraId="790A963C" w14:textId="0FA4B8E2" w:rsidR="00B060F7" w:rsidRPr="00B060F7" w:rsidRDefault="00B060F7" w:rsidP="00B060F7">
      <w:pPr>
        <w:pStyle w:val="p2"/>
        <w:numPr>
          <w:ilvl w:val="0"/>
          <w:numId w:val="5"/>
        </w:numPr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r w:rsidRPr="00B060F7">
        <w:rPr>
          <w:rFonts w:ascii="Seaford" w:hAnsi="Seaford"/>
          <w:sz w:val="21"/>
          <w:szCs w:val="21"/>
        </w:rPr>
        <w:t xml:space="preserve">Fichier généré par un GTB le </w:t>
      </w:r>
      <w:r w:rsidRPr="00B060F7">
        <w:rPr>
          <w:rStyle w:val="s2"/>
          <w:rFonts w:ascii="Seaford" w:eastAsiaTheme="majorEastAsia" w:hAnsi="Seaford"/>
          <w:b/>
          <w:bCs/>
          <w:sz w:val="21"/>
          <w:szCs w:val="21"/>
        </w:rPr>
        <w:t xml:space="preserve">20.03.2024 à </w:t>
      </w:r>
      <w:proofErr w:type="gramStart"/>
      <w:r w:rsidRPr="00B060F7">
        <w:rPr>
          <w:rStyle w:val="s2"/>
          <w:rFonts w:ascii="Seaford" w:eastAsiaTheme="majorEastAsia" w:hAnsi="Seaford"/>
          <w:b/>
          <w:bCs/>
          <w:sz w:val="21"/>
          <w:szCs w:val="21"/>
        </w:rPr>
        <w:t>08:</w:t>
      </w:r>
      <w:proofErr w:type="gramEnd"/>
      <w:r w:rsidRPr="00B060F7">
        <w:rPr>
          <w:rStyle w:val="s2"/>
          <w:rFonts w:ascii="Seaford" w:eastAsiaTheme="majorEastAsia" w:hAnsi="Seaford"/>
          <w:b/>
          <w:bCs/>
          <w:sz w:val="21"/>
          <w:szCs w:val="21"/>
        </w:rPr>
        <w:t>03:06</w:t>
      </w:r>
      <w:r w:rsidRPr="00B060F7">
        <w:rPr>
          <w:rFonts w:ascii="Seaford" w:hAnsi="Seaford"/>
          <w:sz w:val="21"/>
          <w:szCs w:val="21"/>
        </w:rPr>
        <w:t>.</w:t>
      </w:r>
    </w:p>
    <w:p w14:paraId="26327C87" w14:textId="3D556C20" w:rsidR="00B060F7" w:rsidRPr="00B060F7" w:rsidRDefault="00B060F7" w:rsidP="00B060F7">
      <w:pPr>
        <w:pStyle w:val="p3"/>
        <w:numPr>
          <w:ilvl w:val="0"/>
          <w:numId w:val="5"/>
        </w:numPr>
        <w:spacing w:before="0" w:beforeAutospacing="0" w:after="0" w:afterAutospacing="0" w:line="276" w:lineRule="auto"/>
        <w:rPr>
          <w:rStyle w:val="s1"/>
          <w:rFonts w:ascii="Seaford" w:hAnsi="Seaford"/>
          <w:sz w:val="21"/>
          <w:szCs w:val="21"/>
        </w:rPr>
      </w:pPr>
      <w:r w:rsidRPr="00B060F7">
        <w:rPr>
          <w:rStyle w:val="s1"/>
          <w:rFonts w:ascii="Seaford" w:eastAsiaTheme="majorEastAsia" w:hAnsi="Seaford"/>
          <w:sz w:val="21"/>
          <w:szCs w:val="21"/>
        </w:rPr>
        <w:t xml:space="preserve">Format du fichier : </w:t>
      </w:r>
      <w:r w:rsidRPr="00B060F7">
        <w:rPr>
          <w:rFonts w:ascii="Seaford" w:hAnsi="Seaford"/>
          <w:b/>
          <w:bCs/>
          <w:sz w:val="21"/>
          <w:szCs w:val="21"/>
        </w:rPr>
        <w:t>Version 4, Html5Runtime_V3.0</w:t>
      </w:r>
      <w:r w:rsidRPr="00B060F7">
        <w:rPr>
          <w:rStyle w:val="s1"/>
          <w:rFonts w:ascii="Seaford" w:eastAsiaTheme="majorEastAsia" w:hAnsi="Seaford"/>
          <w:sz w:val="21"/>
          <w:szCs w:val="21"/>
        </w:rPr>
        <w:t>.</w:t>
      </w:r>
    </w:p>
    <w:p w14:paraId="31981CF4" w14:textId="77777777" w:rsidR="00B060F7" w:rsidRPr="00B060F7" w:rsidRDefault="00B060F7" w:rsidP="00B060F7">
      <w:pPr>
        <w:pStyle w:val="p3"/>
        <w:spacing w:before="0" w:beforeAutospacing="0" w:after="0" w:afterAutospacing="0" w:line="276" w:lineRule="auto"/>
        <w:ind w:left="720"/>
        <w:rPr>
          <w:rFonts w:ascii="Seaford" w:hAnsi="Seaford"/>
          <w:sz w:val="21"/>
          <w:szCs w:val="21"/>
        </w:rPr>
      </w:pPr>
    </w:p>
    <w:p w14:paraId="20F0CE1C" w14:textId="1AD9859B" w:rsidR="00B060F7" w:rsidRPr="00B060F7" w:rsidRDefault="00B060F7" w:rsidP="00B060F7">
      <w:pPr>
        <w:pStyle w:val="p1"/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r w:rsidRPr="00B060F7">
        <w:rPr>
          <w:rFonts w:ascii="Seaford" w:hAnsi="Seaford"/>
          <w:b/>
          <w:bCs/>
          <w:sz w:val="21"/>
          <w:szCs w:val="21"/>
        </w:rPr>
        <w:t>Liste des capteurs</w:t>
      </w:r>
    </w:p>
    <w:p w14:paraId="511FD905" w14:textId="351BCB3C" w:rsidR="00B060F7" w:rsidRPr="00B060F7" w:rsidRDefault="00B060F7" w:rsidP="00B060F7">
      <w:pPr>
        <w:pStyle w:val="p4"/>
        <w:numPr>
          <w:ilvl w:val="0"/>
          <w:numId w:val="4"/>
        </w:numPr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proofErr w:type="spellStart"/>
      <w:r w:rsidRPr="00B060F7">
        <w:rPr>
          <w:rStyle w:val="s3"/>
          <w:rFonts w:ascii="Seaford" w:eastAsiaTheme="majorEastAsia" w:hAnsi="Seaford"/>
          <w:sz w:val="21"/>
          <w:szCs w:val="21"/>
        </w:rPr>
        <w:t>TA_Salle_a_Manger</w:t>
      </w:r>
      <w:proofErr w:type="spellEnd"/>
      <w:r w:rsidRPr="00B060F7">
        <w:rPr>
          <w:rFonts w:ascii="Seaford" w:hAnsi="Seaford"/>
          <w:sz w:val="21"/>
          <w:szCs w:val="21"/>
        </w:rPr>
        <w:t xml:space="preserve"> </w:t>
      </w:r>
      <w:r w:rsidRPr="00B060F7">
        <w:rPr>
          <w:sz w:val="21"/>
          <w:szCs w:val="21"/>
        </w:rPr>
        <w:t>→</w:t>
      </w:r>
      <w:r w:rsidRPr="00B060F7">
        <w:rPr>
          <w:rFonts w:ascii="Seaford" w:hAnsi="Seaford"/>
          <w:sz w:val="21"/>
          <w:szCs w:val="21"/>
        </w:rPr>
        <w:t xml:space="preserve"> Température de la salle à manger.</w:t>
      </w:r>
    </w:p>
    <w:p w14:paraId="4DD56E48" w14:textId="06509777" w:rsidR="00B060F7" w:rsidRPr="00B060F7" w:rsidRDefault="00B060F7" w:rsidP="00B060F7">
      <w:pPr>
        <w:pStyle w:val="p4"/>
        <w:numPr>
          <w:ilvl w:val="0"/>
          <w:numId w:val="4"/>
        </w:numPr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proofErr w:type="spellStart"/>
      <w:r w:rsidRPr="00B060F7">
        <w:rPr>
          <w:rStyle w:val="s3"/>
          <w:rFonts w:ascii="Seaford" w:eastAsiaTheme="majorEastAsia" w:hAnsi="Seaford"/>
          <w:sz w:val="21"/>
          <w:szCs w:val="21"/>
        </w:rPr>
        <w:t>CO_Salle_a_Manger</w:t>
      </w:r>
      <w:proofErr w:type="spellEnd"/>
      <w:r w:rsidRPr="00B060F7">
        <w:rPr>
          <w:rFonts w:ascii="Seaford" w:hAnsi="Seaford"/>
          <w:sz w:val="21"/>
          <w:szCs w:val="21"/>
        </w:rPr>
        <w:t xml:space="preserve"> </w:t>
      </w:r>
      <w:r w:rsidRPr="00B060F7">
        <w:rPr>
          <w:sz w:val="21"/>
          <w:szCs w:val="21"/>
        </w:rPr>
        <w:t>→</w:t>
      </w:r>
      <w:r w:rsidRPr="00B060F7">
        <w:rPr>
          <w:rFonts w:ascii="Seaford" w:hAnsi="Seaford"/>
          <w:sz w:val="21"/>
          <w:szCs w:val="21"/>
        </w:rPr>
        <w:t xml:space="preserve"> Taux de CO</w:t>
      </w:r>
      <w:r w:rsidRPr="00B060F7">
        <w:rPr>
          <w:rFonts w:ascii="Cambria Math" w:hAnsi="Cambria Math" w:cs="Cambria Math"/>
          <w:sz w:val="21"/>
          <w:szCs w:val="21"/>
        </w:rPr>
        <w:t>₂</w:t>
      </w:r>
      <w:r w:rsidRPr="00B060F7">
        <w:rPr>
          <w:rFonts w:ascii="Seaford" w:hAnsi="Seaford"/>
          <w:sz w:val="21"/>
          <w:szCs w:val="21"/>
        </w:rPr>
        <w:t xml:space="preserve"> dans la salle à manger.</w:t>
      </w:r>
    </w:p>
    <w:p w14:paraId="0FF4955A" w14:textId="5CCF5B76" w:rsidR="00B060F7" w:rsidRDefault="00B060F7" w:rsidP="00B060F7">
      <w:pPr>
        <w:pStyle w:val="p4"/>
        <w:numPr>
          <w:ilvl w:val="0"/>
          <w:numId w:val="4"/>
        </w:numPr>
        <w:spacing w:before="0" w:beforeAutospacing="0" w:after="0" w:afterAutospacing="0" w:line="276" w:lineRule="auto"/>
        <w:rPr>
          <w:rFonts w:ascii="Seaford" w:hAnsi="Seaford"/>
          <w:sz w:val="21"/>
          <w:szCs w:val="21"/>
        </w:rPr>
      </w:pPr>
      <w:proofErr w:type="spellStart"/>
      <w:r w:rsidRPr="00B060F7">
        <w:rPr>
          <w:rStyle w:val="s3"/>
          <w:rFonts w:ascii="Seaford" w:eastAsiaTheme="majorEastAsia" w:hAnsi="Seaford"/>
          <w:sz w:val="21"/>
          <w:szCs w:val="21"/>
        </w:rPr>
        <w:t>DBS_Salle_a_Manger</w:t>
      </w:r>
      <w:proofErr w:type="spellEnd"/>
      <w:r w:rsidRPr="00B060F7">
        <w:rPr>
          <w:rFonts w:ascii="Seaford" w:hAnsi="Seaford"/>
          <w:sz w:val="21"/>
          <w:szCs w:val="21"/>
        </w:rPr>
        <w:t xml:space="preserve"> et </w:t>
      </w:r>
      <w:proofErr w:type="spellStart"/>
      <w:r w:rsidRPr="00B060F7">
        <w:rPr>
          <w:rStyle w:val="s3"/>
          <w:rFonts w:ascii="Seaford" w:eastAsiaTheme="majorEastAsia" w:hAnsi="Seaford"/>
          <w:sz w:val="21"/>
          <w:szCs w:val="21"/>
        </w:rPr>
        <w:t>DBE_Salle_a_Manger</w:t>
      </w:r>
      <w:proofErr w:type="spellEnd"/>
      <w:r w:rsidRPr="00B060F7">
        <w:rPr>
          <w:rFonts w:ascii="Seaford" w:hAnsi="Seaford"/>
          <w:sz w:val="21"/>
          <w:szCs w:val="21"/>
        </w:rPr>
        <w:t xml:space="preserve"> </w:t>
      </w:r>
      <w:r w:rsidRPr="00B060F7">
        <w:rPr>
          <w:sz w:val="21"/>
          <w:szCs w:val="21"/>
        </w:rPr>
        <w:t>→</w:t>
      </w:r>
      <w:r w:rsidRPr="00B060F7">
        <w:rPr>
          <w:rFonts w:ascii="Seaford" w:hAnsi="Seaford"/>
          <w:sz w:val="21"/>
          <w:szCs w:val="21"/>
        </w:rPr>
        <w:t xml:space="preserve"> </w:t>
      </w:r>
      <w:r w:rsidRPr="00B060F7">
        <w:rPr>
          <w:rFonts w:ascii="Seaford" w:hAnsi="Seaford"/>
          <w:sz w:val="21"/>
          <w:szCs w:val="21"/>
        </w:rPr>
        <w:t>Indicateurs</w:t>
      </w:r>
      <w:r w:rsidRPr="00B060F7">
        <w:rPr>
          <w:rFonts w:ascii="Seaford" w:hAnsi="Seaford"/>
          <w:sz w:val="21"/>
          <w:szCs w:val="21"/>
        </w:rPr>
        <w:t xml:space="preserve"> de débits ou d’énergie.</w:t>
      </w:r>
    </w:p>
    <w:p w14:paraId="04AADC76" w14:textId="77777777" w:rsidR="00B060F7" w:rsidRPr="00B060F7" w:rsidRDefault="00B060F7" w:rsidP="00B060F7">
      <w:pPr>
        <w:pStyle w:val="p4"/>
        <w:spacing w:before="0" w:beforeAutospacing="0" w:after="0" w:afterAutospacing="0" w:line="276" w:lineRule="auto"/>
        <w:ind w:left="720"/>
        <w:rPr>
          <w:rFonts w:ascii="Seaford" w:hAnsi="Seaford"/>
          <w:sz w:val="21"/>
          <w:szCs w:val="21"/>
        </w:rPr>
      </w:pPr>
    </w:p>
    <w:p w14:paraId="586518EA" w14:textId="59D36304" w:rsidR="00B060F7" w:rsidRPr="00B060F7" w:rsidRDefault="00B060F7" w:rsidP="00B060F7">
      <w:pPr>
        <w:pStyle w:val="p1"/>
        <w:spacing w:before="0" w:beforeAutospacing="0" w:after="0" w:afterAutospacing="0"/>
        <w:rPr>
          <w:rStyle w:val="s1"/>
          <w:rFonts w:ascii="Seaford" w:eastAsiaTheme="majorEastAsia" w:hAnsi="Seaford"/>
          <w:b/>
          <w:bCs/>
          <w:sz w:val="21"/>
          <w:szCs w:val="21"/>
        </w:rPr>
      </w:pPr>
      <w:r w:rsidRPr="00B060F7">
        <w:rPr>
          <w:rStyle w:val="s1"/>
          <w:rFonts w:ascii="Seaford" w:eastAsiaTheme="majorEastAsia" w:hAnsi="Seaford"/>
          <w:b/>
          <w:bCs/>
          <w:sz w:val="21"/>
          <w:szCs w:val="21"/>
        </w:rPr>
        <w:t>Formats</w:t>
      </w:r>
    </w:p>
    <w:p w14:paraId="0A021D7B" w14:textId="463A9E99" w:rsidR="00B060F7" w:rsidRPr="00B060F7" w:rsidRDefault="00B060F7" w:rsidP="00B060F7">
      <w:pPr>
        <w:pStyle w:val="p1"/>
        <w:numPr>
          <w:ilvl w:val="0"/>
          <w:numId w:val="3"/>
        </w:numPr>
        <w:rPr>
          <w:rFonts w:ascii="Seaford" w:hAnsi="Seaford"/>
          <w:sz w:val="21"/>
          <w:szCs w:val="21"/>
        </w:rPr>
      </w:pPr>
      <w:r w:rsidRPr="00B060F7">
        <w:rPr>
          <w:rStyle w:val="s1"/>
          <w:rFonts w:ascii="Seaford" w:eastAsiaTheme="majorEastAsia" w:hAnsi="Seaford"/>
          <w:sz w:val="21"/>
          <w:szCs w:val="21"/>
        </w:rPr>
        <w:t>18.1</w:t>
      </w:r>
      <w:r w:rsidRPr="00B060F7">
        <w:rPr>
          <w:rFonts w:ascii="Seaford" w:hAnsi="Seaford"/>
          <w:sz w:val="21"/>
          <w:szCs w:val="21"/>
        </w:rPr>
        <w:t xml:space="preserve"> = température (°C)</w:t>
      </w:r>
    </w:p>
    <w:p w14:paraId="33353928" w14:textId="77777777" w:rsidR="00B060F7" w:rsidRPr="00B060F7" w:rsidRDefault="00B060F7" w:rsidP="00B060F7">
      <w:pPr>
        <w:pStyle w:val="p1"/>
        <w:numPr>
          <w:ilvl w:val="0"/>
          <w:numId w:val="3"/>
        </w:numPr>
        <w:rPr>
          <w:rFonts w:ascii="Seaford" w:hAnsi="Seaford"/>
          <w:sz w:val="21"/>
          <w:szCs w:val="21"/>
        </w:rPr>
      </w:pPr>
      <w:r w:rsidRPr="00B060F7">
        <w:rPr>
          <w:rStyle w:val="s1"/>
          <w:rFonts w:ascii="Seaford" w:eastAsiaTheme="majorEastAsia" w:hAnsi="Seaford"/>
          <w:sz w:val="21"/>
          <w:szCs w:val="21"/>
        </w:rPr>
        <w:t>353</w:t>
      </w:r>
      <w:r w:rsidRPr="00B060F7">
        <w:rPr>
          <w:rFonts w:ascii="Seaford" w:hAnsi="Seaford"/>
          <w:sz w:val="21"/>
          <w:szCs w:val="21"/>
        </w:rPr>
        <w:t xml:space="preserve"> = concentration CO</w:t>
      </w:r>
      <w:r w:rsidRPr="00B060F7">
        <w:rPr>
          <w:rFonts w:ascii="Cambria Math" w:hAnsi="Cambria Math" w:cs="Cambria Math"/>
          <w:sz w:val="21"/>
          <w:szCs w:val="21"/>
        </w:rPr>
        <w:t>₂</w:t>
      </w:r>
      <w:r w:rsidRPr="00B060F7">
        <w:rPr>
          <w:rFonts w:ascii="Seaford" w:hAnsi="Seaford"/>
          <w:sz w:val="21"/>
          <w:szCs w:val="21"/>
        </w:rPr>
        <w:t xml:space="preserve"> (ppm)</w:t>
      </w:r>
    </w:p>
    <w:p w14:paraId="3F496969" w14:textId="4008F895" w:rsidR="00B060F7" w:rsidRPr="00B060F7" w:rsidRDefault="00B060F7" w:rsidP="00B060F7">
      <w:pPr>
        <w:pStyle w:val="p1"/>
        <w:numPr>
          <w:ilvl w:val="0"/>
          <w:numId w:val="3"/>
        </w:numPr>
        <w:rPr>
          <w:rFonts w:ascii="Seaford" w:hAnsi="Seaford"/>
          <w:sz w:val="21"/>
          <w:szCs w:val="21"/>
        </w:rPr>
      </w:pPr>
      <w:r w:rsidRPr="00B060F7">
        <w:rPr>
          <w:rStyle w:val="s1"/>
          <w:rFonts w:ascii="Seaford" w:eastAsiaTheme="majorEastAsia" w:hAnsi="Seaford"/>
          <w:sz w:val="21"/>
          <w:szCs w:val="21"/>
        </w:rPr>
        <w:t>40</w:t>
      </w:r>
      <w:r w:rsidRPr="00B060F7">
        <w:rPr>
          <w:rFonts w:ascii="Seaford" w:hAnsi="Seaford"/>
          <w:sz w:val="21"/>
          <w:szCs w:val="21"/>
        </w:rPr>
        <w:t xml:space="preserve">, </w:t>
      </w:r>
      <w:r w:rsidRPr="00B060F7">
        <w:rPr>
          <w:rStyle w:val="s1"/>
          <w:rFonts w:ascii="Seaford" w:eastAsiaTheme="majorEastAsia" w:hAnsi="Seaford"/>
          <w:sz w:val="21"/>
          <w:szCs w:val="21"/>
        </w:rPr>
        <w:t>47</w:t>
      </w:r>
      <w:r w:rsidRPr="00B060F7">
        <w:rPr>
          <w:rFonts w:ascii="Seaford" w:hAnsi="Seaford"/>
          <w:sz w:val="21"/>
          <w:szCs w:val="21"/>
        </w:rPr>
        <w:t>, etc. sont probablement des valeurs de débit ou d’énergie.</w:t>
      </w:r>
    </w:p>
    <w:p w14:paraId="57097340" w14:textId="77777777" w:rsidR="00C0180A" w:rsidRPr="00B060F7" w:rsidRDefault="00C0180A">
      <w:pPr>
        <w:rPr>
          <w:rFonts w:ascii="Seaford" w:hAnsi="Seaford"/>
          <w:sz w:val="21"/>
          <w:szCs w:val="21"/>
        </w:rPr>
      </w:pPr>
    </w:p>
    <w:sectPr w:rsidR="00C0180A" w:rsidRPr="00B0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7FF"/>
    <w:multiLevelType w:val="hybridMultilevel"/>
    <w:tmpl w:val="854AE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2F3E"/>
    <w:multiLevelType w:val="hybridMultilevel"/>
    <w:tmpl w:val="6F50F1DA"/>
    <w:lvl w:ilvl="0" w:tplc="7A4AF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2B8A"/>
    <w:multiLevelType w:val="hybridMultilevel"/>
    <w:tmpl w:val="23EA1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234A8"/>
    <w:multiLevelType w:val="hybridMultilevel"/>
    <w:tmpl w:val="DA6852FE"/>
    <w:lvl w:ilvl="0" w:tplc="7A4AF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6E33"/>
    <w:multiLevelType w:val="hybridMultilevel"/>
    <w:tmpl w:val="55704266"/>
    <w:lvl w:ilvl="0" w:tplc="7A4AF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034983">
    <w:abstractNumId w:val="2"/>
  </w:num>
  <w:num w:numId="2" w16cid:durableId="1125927576">
    <w:abstractNumId w:val="0"/>
  </w:num>
  <w:num w:numId="3" w16cid:durableId="1451586873">
    <w:abstractNumId w:val="3"/>
  </w:num>
  <w:num w:numId="4" w16cid:durableId="560869970">
    <w:abstractNumId w:val="1"/>
  </w:num>
  <w:num w:numId="5" w16cid:durableId="153264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8"/>
    <w:rsid w:val="00932228"/>
    <w:rsid w:val="009942D0"/>
    <w:rsid w:val="00B060F7"/>
    <w:rsid w:val="00B456BC"/>
    <w:rsid w:val="00BA6EE4"/>
    <w:rsid w:val="00C0180A"/>
    <w:rsid w:val="00C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E66D6"/>
  <w15:chartTrackingRefBased/>
  <w15:docId w15:val="{BF7369B9-48B2-2346-B20D-FBB0D088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22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22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22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22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22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22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22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22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22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22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22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22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22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22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22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22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22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222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060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s1">
    <w:name w:val="s1"/>
    <w:basedOn w:val="Policepardfaut"/>
    <w:rsid w:val="00B060F7"/>
  </w:style>
  <w:style w:type="character" w:customStyle="1" w:styleId="apple-tab-span">
    <w:name w:val="apple-tab-span"/>
    <w:basedOn w:val="Policepardfaut"/>
    <w:rsid w:val="00B060F7"/>
  </w:style>
  <w:style w:type="paragraph" w:customStyle="1" w:styleId="p2">
    <w:name w:val="p2"/>
    <w:basedOn w:val="Normal"/>
    <w:rsid w:val="00B060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s2">
    <w:name w:val="s2"/>
    <w:basedOn w:val="Policepardfaut"/>
    <w:rsid w:val="00B060F7"/>
  </w:style>
  <w:style w:type="paragraph" w:customStyle="1" w:styleId="p3">
    <w:name w:val="p3"/>
    <w:basedOn w:val="Normal"/>
    <w:rsid w:val="00B060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p4">
    <w:name w:val="p4"/>
    <w:basedOn w:val="Normal"/>
    <w:rsid w:val="00B060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s3">
    <w:name w:val="s3"/>
    <w:basedOn w:val="Policepardfaut"/>
    <w:rsid w:val="00B0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ETTÉ Bogui</dc:creator>
  <cp:keywords/>
  <dc:description/>
  <cp:lastModifiedBy>ETTÉ Bogui</cp:lastModifiedBy>
  <cp:revision>3</cp:revision>
  <dcterms:created xsi:type="dcterms:W3CDTF">2025-03-18T02:40:00Z</dcterms:created>
  <dcterms:modified xsi:type="dcterms:W3CDTF">2025-03-18T09:36:00Z</dcterms:modified>
</cp:coreProperties>
</file>