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e Correção do Split Espacial — BigEarthNet v2</w:t>
      </w:r>
    </w:p>
    <w:p>
      <w:pPr>
        <w:jc w:val="center"/>
      </w:pPr>
      <w:r>
        <w:rPr>
          <w:i/>
        </w:rPr>
        <w:t>Projeto multimodal de embeddings — Sentinel-2 + descrições textuais</w:t>
      </w:r>
    </w:p>
    <w:p>
      <w:pPr>
        <w:pStyle w:val="Heading1"/>
      </w:pPr>
      <w:r>
        <w:t>1. Objetivo desta etapa</w:t>
      </w:r>
    </w:p>
    <w:p>
      <w:r>
        <w:t>Antes da criação dos embeddings e do treinamento dos modelos multimodais, foi realizada uma auditoria do dataset e do particionamento entre treino, validação e teste. O objetivo principal foi verificar a integridade física das imagens e, sobretudo, eliminar vazamento espacial causado por patches provenientes do mesmo tile aparecerem em diferentes conjuntos.</w:t>
      </w:r>
    </w:p>
    <w:p>
      <w:pPr>
        <w:pStyle w:val="Heading1"/>
      </w:pPr>
      <w:r>
        <w:t>2. Dataset analisado</w:t>
      </w:r>
    </w:p>
    <w:p>
      <w:pPr>
        <w:pStyle w:val="ListBullet"/>
      </w:pPr>
      <w:r>
        <w:t>Amostra utilizada: 30.000 patches do BigEarthNet v2.</w:t>
      </w:r>
    </w:p>
    <w:p>
      <w:pPr>
        <w:pStyle w:val="ListBullet"/>
      </w:pPr>
      <w:r>
        <w:t>Total de tiles Sentinel-2 presentes na amostra: 115.</w:t>
      </w:r>
    </w:p>
    <w:p>
      <w:pPr>
        <w:pStyle w:val="ListBullet"/>
      </w:pPr>
      <w:r>
        <w:t>Cada patch é identificado por patch_id e pode ser associado ao tile Sentinel-2 de origem.</w:t>
      </w:r>
    </w:p>
    <w:p>
      <w:pPr>
        <w:pStyle w:val="ListBullet"/>
      </w:pPr>
      <w:r>
        <w:t>Os patches possuem 12 bandas Sentinel-2 disponíveis: B01, B02, B03, B04, B05, B06, B07, B08, B09, B8A, B11 e B12.</w:t>
      </w:r>
    </w:p>
    <w:p>
      <w:pPr>
        <w:pStyle w:val="ListBullet"/>
      </w:pPr>
      <w:r>
        <w:t>O CSV contém, entre outras informações, as variáveis input, output, split, latitude, longitude, country, season e climate_zone.</w:t>
      </w:r>
    </w:p>
    <w:p>
      <w:pPr>
        <w:pStyle w:val="Heading1"/>
      </w:pPr>
      <w:r>
        <w:t>3. Auditoria física das imagens</w:t>
      </w:r>
    </w:p>
    <w:p>
      <w:r>
        <w:t>Foi verificada a correspondência entre os registros do CSV e os arquivos TIFF armazenados no diretório data/BigEarthNet-S2. Os 30.000 patches foram encontrados fisicamente e todos possuíam as 12 bandas esperadas, totalizando 360.000 arquivos TIFF analisados.</w:t>
      </w:r>
    </w:p>
    <w:p>
      <w:r>
        <w:t>Resultados principais:</w:t>
      </w:r>
    </w:p>
    <w:p>
      <w:pPr>
        <w:pStyle w:val="ListBullet"/>
      </w:pPr>
      <w:r>
        <w:t>30.000/30.000 patches encontrados.</w:t>
      </w:r>
    </w:p>
    <w:p>
      <w:pPr>
        <w:pStyle w:val="ListBullet"/>
      </w:pPr>
      <w:r>
        <w:t>0 patches ausentes.</w:t>
      </w:r>
    </w:p>
    <w:p>
      <w:pPr>
        <w:pStyle w:val="ListBullet"/>
      </w:pPr>
      <w:r>
        <w:t>0 erros de leitura dos TIFFs.</w:t>
      </w:r>
    </w:p>
    <w:p>
      <w:pPr>
        <w:pStyle w:val="ListBullet"/>
      </w:pPr>
      <w:r>
        <w:t>Todas as 12 bandas presentes em todos os patches.</w:t>
      </w:r>
    </w:p>
    <w:p>
      <w:pPr>
        <w:pStyle w:val="ListBullet"/>
      </w:pPr>
      <w:r>
        <w:t>B02, B03, B04 e B08: 120×120 pixels (10 m).</w:t>
      </w:r>
    </w:p>
    <w:p>
      <w:pPr>
        <w:pStyle w:val="ListBullet"/>
      </w:pPr>
      <w:r>
        <w:t>B05, B06, B07, B8A, B11 e B12: 60×60 pixels (20 m).</w:t>
      </w:r>
    </w:p>
    <w:p>
      <w:pPr>
        <w:pStyle w:val="ListBullet"/>
      </w:pPr>
      <w:r>
        <w:t>B01 e B09: 20×20 pixels (60 m).</w:t>
      </w:r>
    </w:p>
    <w:p>
      <w:pPr>
        <w:pStyle w:val="ListBullet"/>
      </w:pPr>
      <w:r>
        <w:t>Todos os arquivos possuem dtype uint16.</w:t>
      </w:r>
    </w:p>
    <w:p>
      <w:pPr>
        <w:pStyle w:val="ListBullet"/>
      </w:pPr>
      <w:r>
        <w:t>NoData declarado como 0, porém nenhum pixel efetivamente possuía valor 0 nos arquivos analisados.</w:t>
      </w:r>
    </w:p>
    <w:p>
      <w:r>
        <w:t>Insight: o NoData não representa um problema nesta amostra. Não foi necessário realizar máscara, imputação ou tratamento específico de pixels ausentes. O tratamento posterior deverá se concentrar na harmonização das resoluções espaciais e na normalização dos valores.</w:t>
      </w:r>
    </w:p>
    <w:p>
      <w:pPr>
        <w:pStyle w:val="Heading1"/>
      </w:pPr>
      <w:r>
        <w:t>4. Problema identificado no split original</w:t>
      </w:r>
    </w:p>
    <w:p>
      <w:r>
        <w:t>O split original do CSV era aproximadamente 20.000 patches para treino, 5.000 para validação e 5.000 para teste. Entretanto, a auditoria mostrou que patches pertencentes ao mesmo tile apareciam simultaneamente em diferentes splits.</w:t>
      </w:r>
    </w:p>
    <w:p>
      <w:r>
        <w:t>Esse particionamento gera vazamento espacial (spatial leakage). Como os patches de um mesmo tile são espacialmente relacionados, o modelo poderia observar no treinamento regiões muito próximas ou estruturalmente semelhantes às utilizadas na validação ou no teste. Isso tende a produzir uma estimativa excessivamente otimista da capacidade de generalização.</w:t>
      </w:r>
    </w:p>
    <w:p>
      <w:pPr>
        <w:pStyle w:val="Heading1"/>
      </w:pPr>
      <w:r>
        <w:t>5. Método adotado para corrigir o split</w:t>
      </w:r>
    </w:p>
    <w:p>
      <w:r>
        <w:t>O identificador do tile foi extraído do patch_id. Em seguida, o tile passou a ser tratado como a unidade indivisível de particionamento. Assim, todos os patches pertencentes a um mesmo tile devem permanecer no mesmo split.</w:t>
      </w:r>
    </w:p>
    <w:p>
      <w:r>
        <w:t>Regra fundamental:</w:t>
      </w:r>
    </w:p>
    <w:p>
      <w:r>
        <w:rPr>
          <w:b/>
        </w:rPr>
        <w:t>Um tile não pode aparecer simultaneamente em train, validation e test.</w:t>
      </w:r>
    </w:p>
    <w:p>
      <w:r>
        <w:t>Como os 115 tiles possuem quantidades muito diferentes de patches (de 1 a 573 patches por tile), não foi utilizado um simples particionamento de 70% dos tiles para treino, 15% para validação e 15% para teste. O objetivo foi aproximar as proporções de patches de 70/15/15 mantendo os tiles inteiros.</w:t>
      </w:r>
    </w:p>
    <w:p>
      <w:r>
        <w:t>Foi implementada uma busca aleatorizada com seed fixa (42). A função de avaliação considera principalmente o erro em relação às quantidades-alvo de patches e também penaliza diferenças nas distribuições de country, season e climate_zone. A solução encontrada foi posteriormente validada por asserções de integridade.</w:t>
      </w:r>
    </w:p>
    <w:p>
      <w:pPr>
        <w:pStyle w:val="Heading1"/>
      </w:pPr>
      <w:r>
        <w:t>6. Resultado do novo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Split</w:t>
            </w:r>
          </w:p>
        </w:tc>
        <w:tc>
          <w:tcPr>
            <w:tcW w:type="dxa" w:w="2160"/>
            <w:vAlign w:val="center"/>
          </w:tcPr>
          <w:p>
            <w:r>
              <w:t>Patches</w:t>
            </w:r>
          </w:p>
        </w:tc>
        <w:tc>
          <w:tcPr>
            <w:tcW w:type="dxa" w:w="2160"/>
            <w:vAlign w:val="center"/>
          </w:tcPr>
          <w:p>
            <w:r>
              <w:t>Proporção</w:t>
            </w:r>
          </w:p>
        </w:tc>
        <w:tc>
          <w:tcPr>
            <w:tcW w:type="dxa" w:w="2160"/>
            <w:vAlign w:val="center"/>
          </w:tcPr>
          <w:p>
            <w:r>
              <w:t>Tiles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20.996</w:t>
            </w:r>
          </w:p>
        </w:tc>
        <w:tc>
          <w:tcPr>
            <w:tcW w:type="dxa" w:w="2160"/>
          </w:tcPr>
          <w:p>
            <w:r>
              <w:t>69,99%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4.500</w:t>
            </w:r>
          </w:p>
        </w:tc>
        <w:tc>
          <w:tcPr>
            <w:tcW w:type="dxa" w:w="2160"/>
          </w:tcPr>
          <w:p>
            <w:r>
              <w:t>15,00%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4.504</w:t>
            </w:r>
          </w:p>
        </w:tc>
        <w:tc>
          <w:tcPr>
            <w:tcW w:type="dxa" w:w="2160"/>
          </w:tcPr>
          <w:p>
            <w:r>
              <w:t>15,01%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30.000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</w:tbl>
    <w:p>
      <w:r>
        <w:t>A distribuição alcançada é praticamente exatamente 70/15/15 em número de patches. Mais importante, a auditoria confirmou que nenhum tile foi dividido entre os conjuntos.</w:t>
      </w:r>
    </w:p>
    <w:p>
      <w:pPr>
        <w:pStyle w:val="Heading1"/>
      </w:pPr>
      <w:r>
        <w:t>7. Problema de representatividade: Portugal e categorias climáticas raras</w:t>
      </w:r>
    </w:p>
    <w:p>
      <w:r>
        <w:t>Após a correção espacial, surgiu uma limitação importante: algumas categorias geográficas e climáticas ficaram concentradas no treinamento. O exemplo mais evidente foi Portugal, que apareceu com 26,53% dos patches do país no train e 0% em validation e test.</w:t>
      </w:r>
    </w:p>
    <w:p>
      <w:r>
        <w:t>Também ocorreram concentrações semelhantes em algumas zonas climáticas, por exemplo:</w:t>
      </w:r>
    </w:p>
    <w:p>
      <w:pPr>
        <w:pStyle w:val="ListBullet"/>
      </w:pPr>
      <w:r>
        <w:t>Temperate, dry summer, hot summer: 23,16% no train e 0% em validation/test.</w:t>
      </w:r>
    </w:p>
    <w:p>
      <w:pPr>
        <w:pStyle w:val="ListBullet"/>
      </w:pPr>
      <w:r>
        <w:t>Temperate, dry summer, warm summer: 3,37% no train e 0% em validation/test.</w:t>
      </w:r>
    </w:p>
    <w:p>
      <w:r>
        <w:t>Isso não deve ser interpretado automaticamente como erro do algoritmo de split. A causa é a estrutura do próprio conjunto selecionado: essas categorias representam uma parcela muito pequena dos dados e, conforme a análise realizada, possuem apenas cerca de um ou dois tiles. Como o tile precisa permanecer indivisível para evitar vazamento espacial, não é possível garantir simultaneamente que cada categoria rara apareça nos três splits e que o particionamento continue espacialmente independente.</w:t>
      </w:r>
    </w:p>
    <w:p>
      <w:r>
        <w:t>Tentar forçar artificialmente essas categorias para validation e test poderia inclusive criar uma avaliação pouco representativa, baseada em pouquíssimos tiles. Portanto, a decisão metodológica foi priorizar a independência espacial e aceitar a limitação de cobertura das categorias raras.</w:t>
      </w:r>
    </w:p>
    <w:p>
      <w:pPr>
        <w:pStyle w:val="Heading1"/>
      </w:pPr>
      <w:r>
        <w:t>8. Insights metodológicos importantes</w:t>
      </w:r>
    </w:p>
    <w:p>
      <w:r>
        <w:rPr>
          <w:b/>
        </w:rPr>
        <w:t xml:space="preserve">Tile é a unidade correta de generalização: </w:t>
      </w:r>
      <w:r>
        <w:t>Para este experimento, a independência entre tiles é mais importante que uma estratificação perfeita por patch. Patches do mesmo tile compartilham contexto espacial e não devem ser tratados como observações totalmente independentes.</w:t>
      </w:r>
    </w:p>
    <w:p>
      <w:r>
        <w:rPr>
          <w:b/>
        </w:rPr>
        <w:t xml:space="preserve">70/15/15 deve ser interpretado em patches: </w:t>
      </w:r>
      <w:r>
        <w:t>Como os tiles têm tamanhos muito diferentes, a quantidade de tiles por split não precisa seguir 70/15/15. O objetivo é aproximar a proporção de patches, mantendo cada tile inteiro.</w:t>
      </w:r>
    </w:p>
    <w:p>
      <w:r>
        <w:rPr>
          <w:b/>
        </w:rPr>
        <w:t xml:space="preserve">Categorias raras são uma limitação estrutural: </w:t>
      </w:r>
      <w:r>
        <w:t>A ausência de determinadas categorias em validation/test não significa necessariamente falha de implementação. Quando existem apenas um ou dois tiles representando uma categoria, a estratificação espacial tem limitações inevitáveis.</w:t>
      </w:r>
    </w:p>
    <w:p>
      <w:r>
        <w:rPr>
          <w:b/>
        </w:rPr>
        <w:t xml:space="preserve">O split deve ser congelado: </w:t>
      </w:r>
      <w:r>
        <w:t>Depois de validado, o split espacial deve permanecer fixo em todos os experimentos. Isso garante comparabilidade entre PCA, CNN, TF-IDF/SVD, BiGRU, alinhamento contrastivo e estratégias de fusão.</w:t>
      </w:r>
    </w:p>
    <w:p>
      <w:r>
        <w:rPr>
          <w:b/>
        </w:rPr>
        <w:t xml:space="preserve">O test não deve orientar decisões: </w:t>
      </w:r>
      <w:r>
        <w:t>O conjunto de teste deve permanecer reservado para a avaliação final. Arquiteturas e hiperparâmetros devem ser escolhidos utilizando train e validation.</w:t>
      </w:r>
    </w:p>
    <w:p>
      <w:r>
        <w:rPr>
          <w:b/>
        </w:rPr>
        <w:t xml:space="preserve">O problema de NoData está resolvido: </w:t>
      </w:r>
      <w:r>
        <w:t>Como nenhum pixel apresentou o valor NoData efetivo, não é necessário inserir uma etapa de imputação ou máscara de dados ausentes na pipeline principal.</w:t>
      </w:r>
    </w:p>
    <w:p>
      <w:pPr>
        <w:pStyle w:val="Heading1"/>
      </w:pPr>
      <w:r>
        <w:t>9. Arquivo produzido</w:t>
      </w:r>
    </w:p>
    <w:p>
      <w:r>
        <w:t>O split corrigido foi salvo em data/selected_30k_spatial.csv. O CSV original, data/selected_30k.csv, foi preservado para comparação e auditoria.</w:t>
      </w:r>
    </w:p>
    <w:p>
      <w:r>
        <w:t>Também foi gerado data/spatial_split_report.txt contendo a distribuição dos splits e das variáveis country, season e climate_zone.</w:t>
      </w:r>
    </w:p>
    <w:p>
      <w:pPr>
        <w:pStyle w:val="Heading1"/>
      </w:pPr>
      <w:r>
        <w:t>10. Próxima etapa da metodologia</w:t>
      </w:r>
    </w:p>
    <w:p>
      <w:r>
        <w:t>Com o split espacial definido e congelado, a próxima etapa é o pré-processamento das modalidades. Para as imagens, será feita a seleção das bandas, harmonização para uma resolução espacial comum (20 m), e normalização baseada exclusivamente nas estatísticas do conjunto de treino. Em paralelo, o texto será preparado para a tokenização e posteriormente serão construídas as representações tradicionais (TF-IDF + SVD) e neurais (Embedding + BiGRU).</w:t>
      </w:r>
    </w:p>
    <w:p>
      <w:r>
        <w:t>A partir deste ponto, nenhuma estatística de validação ou teste deverá ser usada para ajustar parâmetros de pré-processamento que deveriam ser aprendidos no treino.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