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i w:val="0"/>
          <w:color w:val="751F30"/>
          <w:sz w:val="56"/>
        </w:rPr>
        <w:t>Kawaii Clube</w:t>
        <w:br/>
      </w:r>
      <w:r>
        <w:rPr>
          <w:b/>
          <w:i w:val="0"/>
          <w:color w:val="362C2C"/>
          <w:sz w:val="34"/>
        </w:rPr>
        <w:t>Requisitos · Backlog · Arquitetura · Contratos</w:t>
      </w:r>
    </w:p>
    <w:p>
      <w:r>
        <w:t>Especificação funcional e técnica | Versão 1.0 | 15 de outubro de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F4EFEA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r>
              <w:rPr>
                <w:b/>
                <w:i w:val="0"/>
                <w:color w:val="751F30"/>
                <w:sz w:val="18"/>
              </w:rPr>
              <w:t xml:space="preserve">DECISÃO DE ESCOPO  </w:t>
            </w:r>
            <w:r>
              <w:rPr>
                <w:b w:val="0"/>
                <w:i w:val="0"/>
                <w:color w:val="362C2C"/>
                <w:sz w:val="18"/>
              </w:rPr>
              <w:t>Priorizar o fluxo match → rascunho revisável → rastreabilidade, preservando matching/gerador existentes. Desafio 01 entra como automação proposta, com MVP limitado ao elo central.</w:t>
            </w:r>
          </w:p>
        </w:tc>
      </w:tr>
    </w:tbl>
    <w:p>
      <w:pPr>
        <w:spacing w:after="0"/>
      </w:pPr>
    </w:p>
    <w:p>
      <w:pPr>
        <w:pStyle w:val="Heading1"/>
      </w:pPr>
      <w:r>
        <w:t>Resumo das decisões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71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Eixo</w:t>
            </w:r>
          </w:p>
        </w:tc>
        <w:tc>
          <w:tcPr>
            <w:tcW w:type="dxa" w:w="7427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Escolha e justificativa</w:t>
            </w:r>
          </w:p>
        </w:tc>
      </w:tr>
      <w:tr>
        <w:tc>
          <w:tcPr>
            <w:tcW w:type="dxa" w:w="187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Negócio</w:t>
            </w:r>
          </w:p>
        </w:tc>
        <w:tc>
          <w:tcPr>
            <w:tcW w:type="dxa" w:w="742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Parceria executada e comprovada é valor final; match e proposta são estágios intermediários.</w:t>
            </w:r>
          </w:p>
        </w:tc>
      </w:tr>
      <w:tr>
        <w:tc>
          <w:tcPr>
            <w:tcW w:type="dxa" w:w="187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Stack</w:t>
            </w:r>
          </w:p>
        </w:tc>
        <w:tc>
          <w:tcPr>
            <w:tcW w:type="dxa" w:w="742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React/Vite/TypeScript + NestJS + PostgreSQL/Prisma; reaproveitar código e infraestrutura quando possível.</w:t>
            </w:r>
          </w:p>
        </w:tc>
      </w:tr>
      <w:tr>
        <w:tc>
          <w:tcPr>
            <w:tcW w:type="dxa" w:w="187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Arquitetura</w:t>
            </w:r>
          </w:p>
        </w:tc>
        <w:tc>
          <w:tcPr>
            <w:tcW w:type="dxa" w:w="742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Monólito modular com Adapter; nenhuma nova API Python, banco vetorial ou microsserviço no MVP.</w:t>
            </w:r>
          </w:p>
        </w:tc>
      </w:tr>
      <w:tr>
        <w:tc>
          <w:tcPr>
            <w:tcW w:type="dxa" w:w="187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Matching</w:t>
            </w:r>
          </w:p>
        </w:tc>
        <w:tc>
          <w:tcPr>
            <w:tcW w:type="dxa" w:w="742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Preservar política existente; regras de elegibilidade + ranking explicável como evolução, não retrabalho compulsório.</w:t>
            </w:r>
          </w:p>
        </w:tc>
      </w:tr>
      <w:tr>
        <w:tc>
          <w:tcPr>
            <w:tcW w:type="dxa" w:w="187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Risco</w:t>
            </w:r>
          </w:p>
        </w:tc>
        <w:tc>
          <w:tcPr>
            <w:tcW w:type="dxa" w:w="742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Contrato proposto sujeito a auditoria. Caso sem acesso real, usar mocks identificados como simulação.</w:t>
            </w:r>
          </w:p>
        </w:tc>
      </w:tr>
    </w:tbl>
    <w:p>
      <w:pPr>
        <w:spacing w:after="0"/>
      </w:pPr>
    </w:p>
    <w:p>
      <w:pPr>
        <w:pStyle w:val="Heading1"/>
      </w:pPr>
      <w:r>
        <w:t>0. Fronteiras e premissas</w:t>
      </w:r>
    </w:p>
    <w:p>
      <w:pPr>
        <w:pStyle w:val="ListBullet"/>
      </w:pPr>
      <w:r>
        <w:t>Fato do desafio: há dois componentes descritos como existentes (matches e geração de propostas), mas ainda não integrados; o Clube depende de ações manuais.</w:t>
      </w:r>
    </w:p>
    <w:p>
      <w:pPr>
        <w:pStyle w:val="ListBullet"/>
      </w:pPr>
      <w:r>
        <w:t>Fato da documentação compartilhada: frontend React, backend NestJS, banco PostgreSQL/Prisma e IDs Inteiros; não houve inspeção integral do código ou do ambiente.</w:t>
      </w:r>
    </w:p>
    <w:p>
      <w:pPr>
        <w:pStyle w:val="ListBullet"/>
      </w:pPr>
      <w:r>
        <w:t>Hipótese de negócio: a descontinuidade do fluxo reduz a conversão; verificar com métricas, sem prometer aumento de receita.</w:t>
      </w:r>
    </w:p>
    <w:p>
      <w:pPr>
        <w:pStyle w:val="ListBullet"/>
      </w:pPr>
      <w:r>
        <w:t>Proposta: contratos e nomes de rotas abaixo são referências para discussão e mocks, não endpoints confirmados da Kawaii.</w:t>
      </w:r>
    </w:p>
    <w:p>
      <w:pPr>
        <w:pStyle w:val="Heading1"/>
      </w:pPr>
      <w:r>
        <w:t>1. Objetivo de negócio e sucesso</w:t>
      </w:r>
    </w:p>
    <w:p>
      <w:r>
        <w:t>Objetivo principal: viabilizar oportunidades relevantes e convertê-las em propostas e, posteriormente, parcerias efetivamente executadas. A métrica norte é parcerias com resultado confirmado por mês, segmentadas por modalidade; aceites e rascunhos não equivalem à execução.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24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6973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Definição e cautela</w:t>
            </w:r>
          </w:p>
        </w:tc>
      </w:tr>
      <w:tr>
        <w:tc>
          <w:tcPr>
            <w:tcW w:type="dxa" w:w="23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Conversão match → proposta</w:t>
            </w:r>
          </w:p>
        </w:tc>
        <w:tc>
          <w:tcPr>
            <w:tcW w:type="dxa" w:w="697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Oportunidades exibidas com rascunho iniciado / oportunidades exibidas, na mesma coorte e janela.</w:t>
            </w:r>
          </w:p>
        </w:tc>
      </w:tr>
      <w:tr>
        <w:tc>
          <w:tcPr>
            <w:tcW w:type="dxa" w:w="23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Aceite bilateral</w:t>
            </w:r>
          </w:p>
        </w:tc>
        <w:tc>
          <w:tcPr>
            <w:tcW w:type="dxa" w:w="697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Propostas aceitas por ambas as partes / propostas enviadas à decisão; não é execução.</w:t>
            </w:r>
          </w:p>
        </w:tc>
      </w:tr>
      <w:tr>
        <w:tc>
          <w:tcPr>
            <w:tcW w:type="dxa" w:w="23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Resultado confirmado</w:t>
            </w:r>
          </w:p>
        </w:tc>
        <w:tc>
          <w:tcPr>
            <w:tcW w:type="dxa" w:w="697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Parcerias executadas e verificadas / acordos elegíveis com janela de observação encerrada.</w:t>
            </w:r>
          </w:p>
        </w:tc>
      </w:tr>
      <w:tr>
        <w:tc>
          <w:tcPr>
            <w:tcW w:type="dxa" w:w="23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Eficiência e custo</w:t>
            </w:r>
          </w:p>
        </w:tc>
        <w:tc>
          <w:tcPr>
            <w:tcW w:type="dxa" w:w="697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Tempo manual por proposta; custo de geração e custo operacional por parceria efetiva.</w:t>
            </w:r>
          </w:p>
        </w:tc>
      </w:tr>
      <w:tr>
        <w:tc>
          <w:tcPr>
            <w:tcW w:type="dxa" w:w="23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Cobertura / justiça</w:t>
            </w:r>
          </w:p>
        </w:tc>
        <w:tc>
          <w:tcPr>
            <w:tcW w:type="dxa" w:w="697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Percentual de participantes elegíveis com recomendação e distribuição da exposição.</w:t>
            </w:r>
          </w:p>
        </w:tc>
      </w:tr>
    </w:tbl>
    <w:p>
      <w:pPr>
        <w:spacing w:after="0"/>
      </w:pPr>
    </w:p>
    <w:p>
      <w:pPr>
        <w:pStyle w:val="Heading1"/>
      </w:pPr>
      <w:r>
        <w:t>2. Engenharia de requisitos — Desafio 02</w:t>
      </w:r>
    </w:p>
    <w:p>
      <w:r>
        <w:t>Critérios expressos como comportamento verificável. RF = funcional; RNF = não funcional. “P0” representa importância para o fluxo demonstrável; conclusão real depende de acesso aos componentes.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020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737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6"/>
              </w:rPr>
              <w:t>Prio.</w:t>
            </w:r>
          </w:p>
        </w:tc>
        <w:tc>
          <w:tcPr>
            <w:tcW w:type="dxa" w:w="2268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6"/>
              </w:rPr>
              <w:t>Requisito</w:t>
            </w:r>
          </w:p>
        </w:tc>
        <w:tc>
          <w:tcPr>
            <w:tcW w:type="dxa" w:w="5272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6"/>
              </w:rPr>
              <w:t>Aceite mínimo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RF-P01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P0</w:t>
            </w:r>
          </w:p>
        </w:tc>
        <w:tc>
          <w:tcPr>
            <w:tcW w:type="dxa" w:w="22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Consultar recomendações</w:t>
            </w:r>
          </w:p>
        </w:tc>
        <w:tc>
          <w:tcPr>
            <w:tcW w:type="dxa" w:w="52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Dado usuário autenticado e oportunidade visível, quando consulta, então recebe apenas candidatos elegíveis com paginação e estados vazios.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RF-P02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P0</w:t>
            </w:r>
          </w:p>
        </w:tc>
        <w:tc>
          <w:tcPr>
            <w:tcW w:type="dxa" w:w="22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Justificar match</w:t>
            </w:r>
          </w:p>
        </w:tc>
        <w:tc>
          <w:tcPr>
            <w:tcW w:type="dxa" w:w="52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Cada recomendação mostra modalidade, sinais e referências de origem; sinal inferido não é apresentado como confirmado.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RF-P03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P0</w:t>
            </w:r>
          </w:p>
        </w:tc>
        <w:tc>
          <w:tcPr>
            <w:tcW w:type="dxa" w:w="22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Bloquear recomendações inválidas</w:t>
            </w:r>
          </w:p>
        </w:tc>
        <w:tc>
          <w:tcPr>
            <w:tcW w:type="dxa" w:w="52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Aplicar regras confirmadas de status, acesso, conflito e conversa; regra histórica de 2 sinais fica parametrizável até validação.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RF-P04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P0</w:t>
            </w:r>
          </w:p>
        </w:tc>
        <w:tc>
          <w:tcPr>
            <w:tcW w:type="dxa" w:w="22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Iniciar proposta</w:t>
            </w:r>
          </w:p>
        </w:tc>
        <w:tc>
          <w:tcPr>
            <w:tcW w:type="dxa" w:w="52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Ao selecionar match válido, sistema resolve o match no backend e monta o contexto para o gerador/adapter.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RF-P05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P0</w:t>
            </w:r>
          </w:p>
        </w:tc>
        <w:tc>
          <w:tcPr>
            <w:tcW w:type="dxa" w:w="22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Revisar rascunho</w:t>
            </w:r>
          </w:p>
        </w:tc>
        <w:tc>
          <w:tcPr>
            <w:tcW w:type="dxa" w:w="52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Usuária visualiza e edita objetivo, escopo e contrapartidas, sem envio automático.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RF-P06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P0</w:t>
            </w:r>
          </w:p>
        </w:tc>
        <w:tc>
          <w:tcPr>
            <w:tcW w:type="dxa" w:w="22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Persistir e proteger rascunho</w:t>
            </w:r>
          </w:p>
        </w:tc>
        <w:tc>
          <w:tcPr>
            <w:tcW w:type="dxa" w:w="52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Acesso restrito, validação de dados, controle de versão; repetição idempotente não cria duplicata.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RF-P07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P0</w:t>
            </w:r>
          </w:p>
        </w:tc>
        <w:tc>
          <w:tcPr>
            <w:tcW w:type="dxa" w:w="22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Registrar eventos</w:t>
            </w:r>
          </w:p>
        </w:tc>
        <w:tc>
          <w:tcPr>
            <w:tcW w:type="dxa" w:w="52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Criar trilha mínima: match exibido, rascunho iniciado/criado/erro e atualizações; sem PII desnecessária.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RF-P08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P0</w:t>
            </w:r>
          </w:p>
        </w:tc>
        <w:tc>
          <w:tcPr>
            <w:tcW w:type="dxa" w:w="22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Tratar falhas e loading</w:t>
            </w:r>
          </w:p>
        </w:tc>
        <w:tc>
          <w:tcPr>
            <w:tcW w:type="dxa" w:w="52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Tela distingue vazio, carregando, erro, indisponibilidade e conflito; permite retentar operações seguras.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RF-P09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P1</w:t>
            </w:r>
          </w:p>
        </w:tc>
        <w:tc>
          <w:tcPr>
            <w:tcW w:type="dxa" w:w="22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Submeter proposta</w:t>
            </w:r>
          </w:p>
        </w:tc>
        <w:tc>
          <w:tcPr>
            <w:tcW w:type="dxa" w:w="52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Confirmar explicitamente envio, respeitar acesso/regras existentes e notificar destino.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RF-P10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P1</w:t>
            </w:r>
          </w:p>
        </w:tc>
        <w:tc>
          <w:tcPr>
            <w:tcW w:type="dxa" w:w="22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Acompanhar aceite/execução</w:t>
            </w:r>
          </w:p>
        </w:tc>
        <w:tc>
          <w:tcPr>
            <w:tcW w:type="dxa" w:w="52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Ler chat e aceite bilateral sem substituir regra existente; confirmar resultado ou encerramento.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RF-P11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P1</w:t>
            </w:r>
          </w:p>
        </w:tc>
        <w:tc>
          <w:tcPr>
            <w:tcW w:type="dxa" w:w="22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Oportunidades de empresa</w:t>
            </w:r>
          </w:p>
        </w:tc>
        <w:tc>
          <w:tcPr>
            <w:tcW w:type="dxa" w:w="52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Verificar requisitos de capacidade, localização, prazo e entrega sem exigir reciprocidade artificial.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RF-P12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P2</w:t>
            </w:r>
          </w:p>
        </w:tc>
        <w:tc>
          <w:tcPr>
            <w:tcW w:type="dxa" w:w="22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Avaliar qualidade</w:t>
            </w:r>
          </w:p>
        </w:tc>
        <w:tc>
          <w:tcPr>
            <w:tcW w:type="dxa" w:w="52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Feedback com métricas por modalidade e coorte; experimentos após dados suficientes.</w:t>
            </w:r>
          </w:p>
        </w:tc>
      </w:tr>
    </w:tbl>
    <w:p>
      <w:pPr>
        <w:spacing w:after="0"/>
      </w:pPr>
    </w:p>
    <w:p>
      <w:pPr>
        <w:pStyle w:val="Heading1"/>
      </w:pPr>
      <w:r>
        <w:t>3. Engenharia de requisitos — Desafio 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020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737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6"/>
              </w:rPr>
              <w:t>Prio.</w:t>
            </w:r>
          </w:p>
        </w:tc>
        <w:tc>
          <w:tcPr>
            <w:tcW w:type="dxa" w:w="2268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6"/>
              </w:rPr>
              <w:t>Requisito</w:t>
            </w:r>
          </w:p>
        </w:tc>
        <w:tc>
          <w:tcPr>
            <w:tcW w:type="dxa" w:w="5272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6"/>
              </w:rPr>
              <w:t>Aceite mínimo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RF-C01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P1</w:t>
            </w:r>
          </w:p>
        </w:tc>
        <w:tc>
          <w:tcPr>
            <w:tcW w:type="dxa" w:w="22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Ciclo de vida da integrante</w:t>
            </w:r>
          </w:p>
        </w:tc>
        <w:tc>
          <w:tcPr>
            <w:tcW w:type="dxa" w:w="52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Estado baseado em evento com transição auditável: entrada, perfil apto, primeira oportunidade, participação e inatividade.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RF-C02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P1</w:t>
            </w:r>
          </w:p>
        </w:tc>
        <w:tc>
          <w:tcPr>
            <w:tcW w:type="dxa" w:w="22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Segmentação</w:t>
            </w:r>
          </w:p>
        </w:tc>
        <w:tc>
          <w:tcPr>
            <w:tcW w:type="dxa" w:w="52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Alvo da comunicação definido por consulta e finalidade: etapa, interesse, evento ou localização relevante.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RF-C03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P1</w:t>
            </w:r>
          </w:p>
        </w:tc>
        <w:tc>
          <w:tcPr>
            <w:tcW w:type="dxa" w:w="22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Boas-vindas</w:t>
            </w:r>
          </w:p>
        </w:tc>
        <w:tc>
          <w:tcPr>
            <w:tcW w:type="dxa" w:w="52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Após cadastro elegível e permissão de contato, comunicação de orientação ocorre uma vez; falha registrada.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RF-C04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P1</w:t>
            </w:r>
          </w:p>
        </w:tc>
        <w:tc>
          <w:tcPr>
            <w:tcW w:type="dxa" w:w="22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Perfil insuficiente</w:t>
            </w:r>
          </w:p>
        </w:tc>
        <w:tc>
          <w:tcPr>
            <w:tcW w:type="dxa" w:w="52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Lembrete apenas se campos essenciais estiverem ausentes e frequência/consentimento permitirem.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RF-C05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P1</w:t>
            </w:r>
          </w:p>
        </w:tc>
        <w:tc>
          <w:tcPr>
            <w:tcW w:type="dxa" w:w="22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Convites de eventos</w:t>
            </w:r>
          </w:p>
        </w:tc>
        <w:tc>
          <w:tcPr>
            <w:tcW w:type="dxa" w:w="52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Convite segmentado e confirmação separados de presença real; registrar não comparecimento.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RF-C06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P1</w:t>
            </w:r>
          </w:p>
        </w:tc>
        <w:tc>
          <w:tcPr>
            <w:tcW w:type="dxa" w:w="22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Check-in externo</w:t>
            </w:r>
          </w:p>
        </w:tc>
        <w:tc>
          <w:tcPr>
            <w:tcW w:type="dxa" w:w="52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Presença verificada por check-in controlado ou importação autorizada; não confundir inscrição com presença.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RF-C07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P1</w:t>
            </w:r>
          </w:p>
        </w:tc>
        <w:tc>
          <w:tcPr>
            <w:tcW w:type="dxa" w:w="22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Primeira parceria</w:t>
            </w:r>
          </w:p>
        </w:tc>
        <w:tc>
          <w:tcPr>
            <w:tcW w:type="dxa" w:w="52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Com oportunidade válida, sugerir ação contextual; não disparar se conversa ativa ou opt-out.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RF-C08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P1</w:t>
            </w:r>
          </w:p>
        </w:tc>
        <w:tc>
          <w:tcPr>
            <w:tcW w:type="dxa" w:w="22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Painel operacional</w:t>
            </w:r>
          </w:p>
        </w:tc>
        <w:tc>
          <w:tcPr>
            <w:tcW w:type="dxa" w:w="52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Exibir cobertura, ativação, presença, entregas/erros e tempo manual, com denominadores definidos.</w:t>
            </w:r>
          </w:p>
        </w:tc>
      </w:tr>
    </w:tbl>
    <w:p>
      <w:pPr>
        <w:spacing w:after="0"/>
      </w:pPr>
    </w:p>
    <w:p>
      <w:pPr>
        <w:pStyle w:val="Heading1"/>
      </w:pPr>
      <w:r>
        <w:t>4. Regras de negócio e critérios de elegibilidade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304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6"/>
              </w:rPr>
              <w:t>Regra</w:t>
            </w:r>
          </w:p>
        </w:tc>
        <w:tc>
          <w:tcPr>
            <w:tcW w:type="dxa" w:w="7994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6"/>
              </w:rPr>
              <w:t>Descrição e status</w:t>
            </w:r>
          </w:p>
        </w:tc>
      </w:tr>
      <w:tr>
        <w:tc>
          <w:tcPr>
            <w:tcW w:type="dxa" w:w="1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BR-01</w:t>
            </w:r>
          </w:p>
        </w:tc>
        <w:tc>
          <w:tcPr>
            <w:tcW w:type="dxa" w:w="799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Não recomendar o próprio post nem permitir interação consigo mesmo; documentado.</w:t>
            </w:r>
          </w:p>
        </w:tc>
      </w:tr>
      <w:tr>
        <w:tc>
          <w:tcPr>
            <w:tcW w:type="dxa" w:w="1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BR-02</w:t>
            </w:r>
          </w:p>
        </w:tc>
        <w:tc>
          <w:tcPr>
            <w:tcW w:type="dxa" w:w="799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Respeitar status de oportunidade, restrições de plano e permissão vigente; documentado parcialmente.</w:t>
            </w:r>
          </w:p>
        </w:tc>
      </w:tr>
      <w:tr>
        <w:tc>
          <w:tcPr>
            <w:tcW w:type="dxa" w:w="1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BR-03</w:t>
            </w:r>
          </w:p>
        </w:tc>
        <w:tc>
          <w:tcPr>
            <w:tcW w:type="dxa" w:w="799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Conversa aberta MC–MC sobre mesma proposta excluía casos na matriz maio/2026; escopo exato por par/proposta exige validação.</w:t>
            </w:r>
          </w:p>
        </w:tc>
      </w:tr>
      <w:tr>
        <w:tc>
          <w:tcPr>
            <w:tcW w:type="dxa" w:w="1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BR-04</w:t>
            </w:r>
          </w:p>
        </w:tc>
        <w:tc>
          <w:tcPr>
            <w:tcW w:type="dxa" w:w="799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Mínimo de dois sinais confirmados consta na matriz de maio; proposta de política configurável, não regra universal de todas as modalidades.</w:t>
            </w:r>
          </w:p>
        </w:tc>
      </w:tr>
      <w:tr>
        <w:tc>
          <w:tcPr>
            <w:tcW w:type="dxa" w:w="1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BR-05</w:t>
            </w:r>
          </w:p>
        </w:tc>
        <w:tc>
          <w:tcPr>
            <w:tcW w:type="dxa" w:w="799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Apoio: atender necessidade e disponibilidade; não obrigar troca simétrica.</w:t>
            </w:r>
          </w:p>
        </w:tc>
      </w:tr>
      <w:tr>
        <w:tc>
          <w:tcPr>
            <w:tcW w:type="dxa" w:w="1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BR-06</w:t>
            </w:r>
          </w:p>
        </w:tc>
        <w:tc>
          <w:tcPr>
            <w:tcW w:type="dxa" w:w="799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Permuta: ambas as contrapartidas precisam satisfazer necessidade e viabilidade.</w:t>
            </w:r>
          </w:p>
        </w:tc>
      </w:tr>
      <w:tr>
        <w:tc>
          <w:tcPr>
            <w:tcW w:type="dxa" w:w="1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BR-07</w:t>
            </w:r>
          </w:p>
        </w:tc>
        <w:tc>
          <w:tcPr>
            <w:tcW w:type="dxa" w:w="799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Collab: objetivo compartilhado, papéis complementares e condições de execução.</w:t>
            </w:r>
          </w:p>
        </w:tc>
      </w:tr>
      <w:tr>
        <w:tc>
          <w:tcPr>
            <w:tcW w:type="dxa" w:w="1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BR-08</w:t>
            </w:r>
          </w:p>
        </w:tc>
        <w:tc>
          <w:tcPr>
            <w:tcW w:type="dxa" w:w="799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Empresa ↔ participante: avaliar requisitos comerciais/capacidade; não equiparar a permuta.</w:t>
            </w:r>
          </w:p>
        </w:tc>
      </w:tr>
      <w:tr>
        <w:tc>
          <w:tcPr>
            <w:tcW w:type="dxa" w:w="1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BR-09</w:t>
            </w:r>
          </w:p>
        </w:tc>
        <w:tc>
          <w:tcPr>
            <w:tcW w:type="dxa" w:w="799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Aceite da parceria em chat exige confirmações das duas partes conforme documentação; não declarar execução apenas por aceite.</w:t>
            </w:r>
          </w:p>
        </w:tc>
      </w:tr>
      <w:tr>
        <w:tc>
          <w:tcPr>
            <w:tcW w:type="dxa" w:w="1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BR-10</w:t>
            </w:r>
          </w:p>
        </w:tc>
        <w:tc>
          <w:tcPr>
            <w:tcW w:type="dxa" w:w="799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O backend revalida estado/elegibilidade/autorizações ao criar proposta, mesmo que a UI já tenha apresentado match.</w:t>
            </w:r>
          </w:p>
        </w:tc>
      </w:tr>
    </w:tbl>
    <w:p>
      <w:pPr>
        <w:spacing w:after="0"/>
      </w:pPr>
    </w:p>
    <w:p>
      <w:pPr>
        <w:pStyle w:val="Heading1"/>
      </w:pPr>
      <w:r>
        <w:t>5. Requisitos não funcionais e metas provisórias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77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757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Aspecto</w:t>
            </w:r>
          </w:p>
        </w:tc>
        <w:tc>
          <w:tcPr>
            <w:tcW w:type="dxa" w:w="6463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Critério</w:t>
            </w:r>
          </w:p>
        </w:tc>
      </w:tr>
      <w:tr>
        <w:tc>
          <w:tcPr>
            <w:tcW w:type="dxa" w:w="107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RNF-01</w:t>
            </w:r>
          </w:p>
        </w:tc>
        <w:tc>
          <w:tcPr>
            <w:tcW w:type="dxa" w:w="175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Segurança</w:t>
            </w:r>
          </w:p>
        </w:tc>
        <w:tc>
          <w:tcPr>
            <w:tcW w:type="dxa" w:w="646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JWT quando aplicável; autorização por recurso, não apenas papel; dados de teste fictícios.</w:t>
            </w:r>
          </w:p>
        </w:tc>
      </w:tr>
      <w:tr>
        <w:tc>
          <w:tcPr>
            <w:tcW w:type="dxa" w:w="107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RNF-02</w:t>
            </w:r>
          </w:p>
        </w:tc>
        <w:tc>
          <w:tcPr>
            <w:tcW w:type="dxa" w:w="175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Privacidade</w:t>
            </w:r>
          </w:p>
        </w:tc>
        <w:tc>
          <w:tcPr>
            <w:tcW w:type="dxa" w:w="646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LGPD, finalidade e minimização; não transmitir CPF/bio completa para LLM ou logs sem necessidade e base apropriada.</w:t>
            </w:r>
          </w:p>
        </w:tc>
      </w:tr>
      <w:tr>
        <w:tc>
          <w:tcPr>
            <w:tcW w:type="dxa" w:w="107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RNF-03</w:t>
            </w:r>
          </w:p>
        </w:tc>
        <w:tc>
          <w:tcPr>
            <w:tcW w:type="dxa" w:w="175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Idempotência</w:t>
            </w:r>
          </w:p>
        </w:tc>
        <w:tc>
          <w:tcPr>
            <w:tcW w:type="dxa" w:w="646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Idempotency-Key vinculada a ator/operação/payload; repetição idêntica devolve mesmo rascunho; divergência gera 409.</w:t>
            </w:r>
          </w:p>
        </w:tc>
      </w:tr>
      <w:tr>
        <w:tc>
          <w:tcPr>
            <w:tcW w:type="dxa" w:w="107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RNF-04</w:t>
            </w:r>
          </w:p>
        </w:tc>
        <w:tc>
          <w:tcPr>
            <w:tcW w:type="dxa" w:w="175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Consistência</w:t>
            </w:r>
          </w:p>
        </w:tc>
        <w:tc>
          <w:tcPr>
            <w:tcW w:type="dxa" w:w="646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Revalidar oportunidade e conversa na transação; mudanças concorrentes não criam propostas inconsistentes.</w:t>
            </w:r>
          </w:p>
        </w:tc>
      </w:tr>
      <w:tr>
        <w:tc>
          <w:tcPr>
            <w:tcW w:type="dxa" w:w="107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RNF-05</w:t>
            </w:r>
          </w:p>
        </w:tc>
        <w:tc>
          <w:tcPr>
            <w:tcW w:type="dxa" w:w="175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Latência</w:t>
            </w:r>
          </w:p>
        </w:tc>
        <w:tc>
          <w:tcPr>
            <w:tcW w:type="dxa" w:w="646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Alvo inicial de medição: p95 do GET em homologação &lt;=300ms em dataset pequeno (não é SLA comprovado).</w:t>
            </w:r>
          </w:p>
        </w:tc>
      </w:tr>
      <w:tr>
        <w:tc>
          <w:tcPr>
            <w:tcW w:type="dxa" w:w="107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RNF-06</w:t>
            </w:r>
          </w:p>
        </w:tc>
        <w:tc>
          <w:tcPr>
            <w:tcW w:type="dxa" w:w="175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Dependências</w:t>
            </w:r>
          </w:p>
        </w:tc>
        <w:tc>
          <w:tcPr>
            <w:tcW w:type="dxa" w:w="646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Timeout, backoff em falhas transitórias, limites de tentativas; falha externa não deve gerar envio duplicado.</w:t>
            </w:r>
          </w:p>
        </w:tc>
      </w:tr>
      <w:tr>
        <w:tc>
          <w:tcPr>
            <w:tcW w:type="dxa" w:w="107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RNF-07</w:t>
            </w:r>
          </w:p>
        </w:tc>
        <w:tc>
          <w:tcPr>
            <w:tcW w:type="dxa" w:w="175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Observabilidade</w:t>
            </w:r>
          </w:p>
        </w:tc>
        <w:tc>
          <w:tcPr>
            <w:tcW w:type="dxa" w:w="646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Correlation ID, eventos e métricas de erro/latência/custo por operação; sem expor dados pessoais.</w:t>
            </w:r>
          </w:p>
        </w:tc>
      </w:tr>
      <w:tr>
        <w:tc>
          <w:tcPr>
            <w:tcW w:type="dxa" w:w="107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RNF-08</w:t>
            </w:r>
          </w:p>
        </w:tc>
        <w:tc>
          <w:tcPr>
            <w:tcW w:type="dxa" w:w="175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Qualidade</w:t>
            </w:r>
          </w:p>
        </w:tc>
        <w:tc>
          <w:tcPr>
            <w:tcW w:type="dxa" w:w="646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Testes unitários, contrato, integração e fluxo E2E; branch isolada, CI e rollback.</w:t>
            </w:r>
          </w:p>
        </w:tc>
      </w:tr>
      <w:tr>
        <w:tc>
          <w:tcPr>
            <w:tcW w:type="dxa" w:w="107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RNF-09</w:t>
            </w:r>
          </w:p>
        </w:tc>
        <w:tc>
          <w:tcPr>
            <w:tcW w:type="dxa" w:w="175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Acessibilidade</w:t>
            </w:r>
          </w:p>
        </w:tc>
        <w:tc>
          <w:tcPr>
            <w:tcW w:type="dxa" w:w="646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Navegação por teclado, rótulos de formulário, estados discerníveis e sem prometer percentual probabilístico.</w:t>
            </w:r>
          </w:p>
        </w:tc>
      </w:tr>
      <w:tr>
        <w:tc>
          <w:tcPr>
            <w:tcW w:type="dxa" w:w="107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RNF-10</w:t>
            </w:r>
          </w:p>
        </w:tc>
        <w:tc>
          <w:tcPr>
            <w:tcW w:type="dxa" w:w="175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Manutenibilidade</w:t>
            </w:r>
          </w:p>
        </w:tc>
        <w:tc>
          <w:tcPr>
            <w:tcW w:type="dxa" w:w="646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Módulos separados, funções puras para regras, adapters, README, ADR e .env.example sem segredos.</w:t>
            </w:r>
          </w:p>
        </w:tc>
      </w:tr>
    </w:tbl>
    <w:p>
      <w:pPr>
        <w:spacing w:after="0"/>
      </w:pPr>
    </w:p>
    <w:p>
      <w:pPr>
        <w:pStyle w:val="Heading1"/>
      </w:pPr>
      <w:r>
        <w:t>6. Backlog refinado</w:t>
      </w:r>
    </w:p>
    <w:p>
      <w:r>
        <w:t>Backlog completo entregue também em CSV para importação em ferramenta de gestão. Esforço relativo: XS=1–3h, S=4–8h, M=9–16h, L=17–30h; valores orientativos antes da inspeção, não estimativa contratual.</w:t>
      </w:r>
    </w:p>
    <w:p>
      <w:pPr>
        <w:pStyle w:val="Heading2"/>
      </w:pPr>
      <w:r>
        <w:t>P0 — Primeira entrega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247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5669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Entrega</w:t>
            </w:r>
          </w:p>
        </w:tc>
        <w:tc>
          <w:tcPr>
            <w:tcW w:type="dxa" w:w="1644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Dep.</w:t>
            </w:r>
          </w:p>
        </w:tc>
        <w:tc>
          <w:tcPr>
            <w:tcW w:type="dxa" w:w="737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Esforço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KAW-001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Validar unidade de valor e funil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—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S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KAW-002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Auditar matching e gerador atuais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KAW-001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M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KAW-003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Definir contrato canônico de oportunidade e match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KAW-002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S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KAW-004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Montar fixtures e matriz de casos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KAW-003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S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KAW-005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Criar adapter do mecanismo de matching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KAW-002,KAW-003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M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KAW-006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GET recomendações por oportunidade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KAW-005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S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KAW-007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POST rascunho com idempotência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KAW-003,KAW-005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M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KAW-008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Central de recomendações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KAW-006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M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KAW-009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Revisar e salvar rascunho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KAW-007,KAW-008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M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KAW-010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Registrar eventos mínimos do funil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KAW-007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S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KAW-011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Testes de fluxo e não regressão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KAW-006,KAW-007,KAW-009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M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KAW-012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Documentação, ADR e demonstração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KAW-011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S</w:t>
            </w:r>
          </w:p>
        </w:tc>
      </w:tr>
    </w:tbl>
    <w:p>
      <w:pPr>
        <w:spacing w:after="0"/>
      </w:pPr>
    </w:p>
    <w:p>
      <w:pPr>
        <w:pStyle w:val="Heading2"/>
      </w:pPr>
      <w:r>
        <w:t>P1 — Evolução funcional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247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5669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Entrega</w:t>
            </w:r>
          </w:p>
        </w:tc>
        <w:tc>
          <w:tcPr>
            <w:tcW w:type="dxa" w:w="1644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Dep.</w:t>
            </w:r>
          </w:p>
        </w:tc>
        <w:tc>
          <w:tcPr>
            <w:tcW w:type="dxa" w:w="737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Esforço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KAW-013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Definir estados de jornada e preferências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KAW-001,KAW-003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S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KAW-014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Régua de boas-vindas e perfil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KAW-013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M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KAW-015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Convites e check-in de eventos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KAW-013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L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KAW-016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Follow-up contextual pós-match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KAW-010,KAW-013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M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KAW-017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Painel do funil por coorte/modalidade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KAW-010,KAW-013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M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KAW-018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Oportunidades B2B gerenciáveis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KAW-003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M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KAW-019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Acompanhar aceite e execução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KAW-007,KAW-010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L</w:t>
            </w:r>
          </w:p>
        </w:tc>
      </w:tr>
    </w:tbl>
    <w:p>
      <w:pPr>
        <w:spacing w:after="0"/>
      </w:pPr>
    </w:p>
    <w:p>
      <w:pPr>
        <w:pStyle w:val="Heading2"/>
      </w:pPr>
      <w:r>
        <w:t>P2 — Otimização condicionada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247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5669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Entrega</w:t>
            </w:r>
          </w:p>
        </w:tc>
        <w:tc>
          <w:tcPr>
            <w:tcW w:type="dxa" w:w="1644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Dep.</w:t>
            </w:r>
          </w:p>
        </w:tc>
        <w:tc>
          <w:tcPr>
            <w:tcW w:type="dxa" w:w="737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Esforço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KAW-020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Extração semântica de bios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KAW-003,KAW-017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M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KAW-021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Geração assistida de proposta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KAW-007,KAW-017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M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KAW-022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Experimentos estatísticos de ranking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KAW-017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L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KAW-023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ML supervisionado para priorização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KAW-022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L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KAW-024</w:t>
            </w:r>
          </w:p>
        </w:tc>
        <w:tc>
          <w:tcPr>
            <w:tcW w:type="dxa" w:w="566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Busca semântica/embeddings</w:t>
            </w:r>
          </w:p>
        </w:tc>
        <w:tc>
          <w:tcPr>
            <w:tcW w:type="dxa" w:w="16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KAW-017</w:t>
            </w:r>
          </w:p>
        </w:tc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L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F4EFEA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r>
              <w:rPr>
                <w:b/>
                <w:i w:val="0"/>
                <w:color w:val="751F30"/>
                <w:sz w:val="18"/>
              </w:rPr>
              <w:t xml:space="preserve">ESCOLHA DE ESCOPO  </w:t>
            </w:r>
            <w:r>
              <w:rPr>
                <w:b w:val="0"/>
                <w:i w:val="0"/>
                <w:color w:val="362C2C"/>
                <w:sz w:val="18"/>
              </w:rPr>
              <w:t>O P0 completo pode superar uma semana se os dois componentes reais não estiverem acessíveis. Para a prova técnica, entregar o menor fluxo demonstrável com fixtures/mocks explícitos, sem afirmar integração de produção.</w:t>
            </w:r>
          </w:p>
        </w:tc>
      </w:tr>
    </w:tbl>
    <w:p>
      <w:pPr>
        <w:spacing w:after="0"/>
      </w:pPr>
    </w:p>
    <w:p>
      <w:pPr>
        <w:pStyle w:val="Heading1"/>
      </w:pPr>
      <w:r>
        <w:t>7. Arquitetura-alvo e decisão de hospedagem</w:t>
      </w:r>
    </w:p>
    <w:p>
      <w:r>
        <w:t>Escolha: monólito modular NestJS + front-end React desacoplado, preservando repositórios e infraestrutura quando autorizados. O matching pode permanecer onde está; adapters isolam contratos. API/worker adicionais só se tempo de geração justificar execução assíncrona.</w:t>
      </w:r>
    </w:p>
    <w:p>
      <w:r>
        <w:drawing>
          <wp:inline xmlns:a="http://schemas.openxmlformats.org/drawingml/2006/main" xmlns:pic="http://schemas.openxmlformats.org/drawingml/2006/picture">
            <wp:extent cx="5616000" cy="2404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404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1. Arquitetura lógica proposta, não representação auditada do ambiente de produção. A linha tracejada indica componente opcional.</w:t>
      </w:r>
    </w:p>
    <w:p>
      <w:pPr>
        <w:pStyle w:val="Heading2"/>
      </w:pPr>
      <w:r>
        <w:t>7.1. Responsabilidades e padrões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118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Módulo / camada</w:t>
            </w:r>
          </w:p>
        </w:tc>
        <w:tc>
          <w:tcPr>
            <w:tcW w:type="dxa" w:w="6180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311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Presentation / controller</w:t>
            </w:r>
          </w:p>
        </w:tc>
        <w:tc>
          <w:tcPr>
            <w:tcW w:type="dxa" w:w="61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Autenticação, autorização por recurso, validação de entrada e HTTP.</w:t>
            </w:r>
          </w:p>
        </w:tc>
      </w:tr>
      <w:tr>
        <w:tc>
          <w:tcPr>
            <w:tcW w:type="dxa" w:w="311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Application / use case</w:t>
            </w:r>
          </w:p>
        </w:tc>
        <w:tc>
          <w:tcPr>
            <w:tcW w:type="dxa" w:w="61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Orquestrar elegibilidade, criação de rascunho, persistência e eventos.</w:t>
            </w:r>
          </w:p>
        </w:tc>
      </w:tr>
      <w:tr>
        <w:tc>
          <w:tcPr>
            <w:tcW w:type="dxa" w:w="311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Domain / policy</w:t>
            </w:r>
          </w:p>
        </w:tc>
        <w:tc>
          <w:tcPr>
            <w:tcW w:type="dxa" w:w="61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Definir política por modalidade (Strategy) sem dependência de framework.</w:t>
            </w:r>
          </w:p>
        </w:tc>
      </w:tr>
      <w:tr>
        <w:tc>
          <w:tcPr>
            <w:tcW w:type="dxa" w:w="311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Matching adapter</w:t>
            </w:r>
          </w:p>
        </w:tc>
        <w:tc>
          <w:tcPr>
            <w:tcW w:type="dxa" w:w="61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Traduzir saída de matching existente para Recommendation canônica.</w:t>
            </w:r>
          </w:p>
        </w:tc>
      </w:tr>
      <w:tr>
        <w:tc>
          <w:tcPr>
            <w:tcW w:type="dxa" w:w="311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Proposal adapter</w:t>
            </w:r>
          </w:p>
        </w:tc>
        <w:tc>
          <w:tcPr>
            <w:tcW w:type="dxa" w:w="61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Traduzir MatchSnapshot em ProposalGenerationInput e resultado de rascunho.</w:t>
            </w:r>
          </w:p>
        </w:tc>
      </w:tr>
      <w:tr>
        <w:tc>
          <w:tcPr>
            <w:tcW w:type="dxa" w:w="311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Repositories / Prisma</w:t>
            </w:r>
          </w:p>
        </w:tc>
        <w:tc>
          <w:tcPr>
            <w:tcW w:type="dxa" w:w="61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Operações transacionais, unicidade, leitura de estados e gravação de eventos.</w:t>
            </w:r>
          </w:p>
        </w:tc>
      </w:tr>
      <w:tr>
        <w:tc>
          <w:tcPr>
            <w:tcW w:type="dxa" w:w="311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Worker opcional</w:t>
            </w:r>
          </w:p>
        </w:tc>
        <w:tc>
          <w:tcPr>
            <w:tcW w:type="dxa" w:w="61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Chamadas lentas de IA, recálculo e notificações autorizadas.</w:t>
            </w:r>
          </w:p>
        </w:tc>
      </w:tr>
    </w:tbl>
    <w:p>
      <w:pPr>
        <w:spacing w:after="0"/>
      </w:pPr>
    </w:p>
    <w:p>
      <w:pPr>
        <w:pStyle w:val="Heading2"/>
      </w:pPr>
      <w:r>
        <w:t>7.2. Estrutura sugerida</w:t>
      </w:r>
    </w:p>
    <w:p>
      <w:pPr>
        <w:spacing w:after="160"/>
        <w:ind w:left="170"/>
      </w:pPr>
      <w:r>
        <w:rPr>
          <w:b w:val="0"/>
          <w:i w:val="0"/>
          <w:color w:val="362C2C"/>
          <w:sz w:val="14"/>
        </w:rPr>
        <w:t>src/modules/partnerships/</w:t>
        <w:br/>
        <w:t xml:space="preserve">  presentation/  dto/ + controller</w:t>
        <w:br/>
        <w:t xml:space="preserve">  application/   use-cases/ + ports/</w:t>
        <w:br/>
        <w:t xml:space="preserve">  domain/        eligibility-policy + matching-strategies</w:t>
        <w:br/>
        <w:t xml:space="preserve">  infrastructure/ matching.adapter + proposals.adapter + prisma.repository</w:t>
        <w:br/>
        <w:t xml:space="preserve">  partnerships.module.ts</w:t>
      </w:r>
    </w:p>
    <w:p>
      <w:pPr>
        <w:pStyle w:val="Heading2"/>
      </w:pPr>
      <w:r>
        <w:t>7.3. Opções descartadas no MVP</w:t>
      </w:r>
    </w:p>
    <w:p>
      <w:pPr>
        <w:pStyle w:val="ListBullet"/>
      </w:pPr>
      <w:r>
        <w:t>Microsserviços/serviço Python: aumentariam comunicação distribuída e custo sem ganho comprovado na escala inicial.</w:t>
      </w:r>
    </w:p>
    <w:p>
      <w:pPr>
        <w:pStyle w:val="ListBullet"/>
      </w:pPr>
      <w:r>
        <w:t>Banco vetorial ou RAG: não é pré-requisito para criar ou revisar proposta; requer corpus e problema semântico comprovado.</w:t>
      </w:r>
    </w:p>
    <w:p>
      <w:pPr>
        <w:pStyle w:val="ListBullet"/>
      </w:pPr>
      <w:r>
        <w:t>Google Sheets como banco principal: duplica fonte de verdade e dificulta consistência.</w:t>
      </w:r>
    </w:p>
    <w:p>
      <w:pPr>
        <w:pStyle w:val="ListBullet"/>
      </w:pPr>
      <w:r>
        <w:t>LLM no GET de matches: eleva custo, latência e variabilidade sem necessidade para regras determinísticas.</w:t>
      </w:r>
    </w:p>
    <w:p>
      <w:pPr>
        <w:pStyle w:val="Heading1"/>
      </w:pPr>
      <w:r>
        <w:t>8. Contratos de domínio e integração</w:t>
      </w:r>
    </w:p>
    <w:p>
      <w:r>
        <w:t>Convenção: IDs de usuário/oportunidade/proposta são inteiros como na documentação fornecida; matchRef é referência opaca para revalidação, não prova de permissão. Todos os nomes de rotas a seguir são propostos.</w:t>
      </w:r>
    </w:p>
    <w:p>
      <w:pPr>
        <w:pStyle w:val="Heading2"/>
      </w:pPr>
      <w:r>
        <w:t>8.1. Contrato canônico de recomendação</w:t>
      </w:r>
    </w:p>
    <w:p>
      <w:pPr>
        <w:spacing w:after="160"/>
        <w:ind w:left="170"/>
      </w:pPr>
      <w:r>
        <w:rPr>
          <w:b w:val="0"/>
          <w:i w:val="0"/>
          <w:color w:val="362C2C"/>
          <w:sz w:val="14"/>
        </w:rPr>
        <w:t>MatchRecommendation {</w:t>
        <w:br/>
        <w:t xml:space="preserve">  matchRef: string; opportunityId: number; candidate: ParticipantSummary;</w:t>
        <w:br/>
        <w:t xml:space="preserve">  modality: SUPPORT | EXCHANGE | COLLAB | COMMERCIAL;</w:t>
        <w:br/>
        <w:t xml:space="preserve">  evidence: Evidence[]; explanation: string; policyVersion: string;</w:t>
        <w:br/>
        <w:t xml:space="preserve">  evaluatedAt: ISODateTime;</w:t>
        <w:br/>
        <w:t>}</w:t>
      </w:r>
    </w:p>
    <w:p>
      <w:r>
        <w:t>Evidence contém critério, tipo de fonte, referência rastreável e confirmação explícita. Não armazenar texto sensível desnecessário na evidência.</w:t>
      </w:r>
    </w:p>
    <w:p>
      <w:pPr>
        <w:pStyle w:val="Heading2"/>
      </w:pPr>
      <w:r>
        <w:t>8.2. Contrato de passagem ao gerador</w:t>
      </w:r>
    </w:p>
    <w:p>
      <w:pPr>
        <w:spacing w:after="160"/>
        <w:ind w:left="170"/>
      </w:pPr>
      <w:r>
        <w:rPr>
          <w:b w:val="0"/>
          <w:i w:val="0"/>
          <w:color w:val="362C2C"/>
          <w:sz w:val="14"/>
        </w:rPr>
        <w:t>ProposalGenerationInput {</w:t>
        <w:br/>
        <w:t xml:space="preserve">  matchRef: string; opportunityId: number; proposerId: number;</w:t>
        <w:br/>
        <w:t xml:space="preserve">  partnerId: number; modality: PartnershipModality;</w:t>
        <w:br/>
        <w:t xml:space="preserve">  objective: string; scope: string; consideration?: string;</w:t>
        <w:br/>
        <w:t xml:space="preserve">  evidenceRefs: string[]; requestedBy: number; policyVersion: string;</w:t>
        <w:br/>
        <w:t>}</w:t>
      </w:r>
    </w:p>
    <w:p>
      <w:r>
        <w:t>Os IDs/atributos são resolvidos ou validados no servidor. O frontend não deve conseguir escolher livremente proposerId, partnerId ou sobrescrever evidências e permissões.</w:t>
      </w:r>
    </w:p>
    <w:p>
      <w:pPr>
        <w:pStyle w:val="Heading2"/>
      </w:pPr>
      <w:r>
        <w:t>8.3. Estados e eventos mínimos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438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Agregado</w:t>
            </w:r>
          </w:p>
        </w:tc>
        <w:tc>
          <w:tcPr>
            <w:tcW w:type="dxa" w:w="6860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Estados / eventos de referência</w:t>
            </w:r>
          </w:p>
        </w:tc>
      </w:tr>
      <w:tr>
        <w:tc>
          <w:tcPr>
            <w:tcW w:type="dxa" w:w="243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Recomendação</w:t>
            </w:r>
          </w:p>
        </w:tc>
        <w:tc>
          <w:tcPr>
            <w:tcW w:type="dxa" w:w="68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ELEGIBLE/STALE/DISMISSED; MATCH_PRESENTED e MATCH_INVALIDATED.</w:t>
            </w:r>
          </w:p>
        </w:tc>
      </w:tr>
      <w:tr>
        <w:tc>
          <w:tcPr>
            <w:tcW w:type="dxa" w:w="243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Rascunho</w:t>
            </w:r>
          </w:p>
        </w:tc>
        <w:tc>
          <w:tcPr>
            <w:tcW w:type="dxa" w:w="68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PENDING_GENERATION, DRAFT, READY_FOR_REVIEW, GENERATION_FAILED; PROPOSAL_DRAFT_CREATED.</w:t>
            </w:r>
          </w:p>
        </w:tc>
      </w:tr>
      <w:tr>
        <w:tc>
          <w:tcPr>
            <w:tcW w:type="dxa" w:w="243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Negociação / acordo</w:t>
            </w:r>
          </w:p>
        </w:tc>
        <w:tc>
          <w:tcPr>
            <w:tcW w:type="dxa" w:w="68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SUBMITTED, ACCEPTED, REJECTED, WITHDRAWN, IN_PROGRESS, COMPLETED; somente após conciliar com domínio atual.</w:t>
            </w:r>
          </w:p>
        </w:tc>
      </w:tr>
      <w:tr>
        <w:tc>
          <w:tcPr>
            <w:tcW w:type="dxa" w:w="243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Evento de negócio</w:t>
            </w:r>
          </w:p>
        </w:tc>
        <w:tc>
          <w:tcPr>
            <w:tcW w:type="dxa" w:w="686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eventId, aggregateId, actorId, type, occurredAt (UTC), correlationId, policyVersion e idempotencyKey quando aplicável.</w:t>
            </w:r>
          </w:p>
        </w:tc>
      </w:tr>
    </w:tbl>
    <w:p>
      <w:pPr>
        <w:spacing w:after="0"/>
      </w:pPr>
    </w:p>
    <w:p>
      <w:pPr>
        <w:pStyle w:val="Heading2"/>
      </w:pPr>
      <w:r>
        <w:t>8.4. Rotas propostas para o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628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6"/>
              </w:rPr>
              <w:t>Método e rota</w:t>
            </w:r>
          </w:p>
        </w:tc>
        <w:tc>
          <w:tcPr>
            <w:tcW w:type="dxa" w:w="2721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6"/>
              </w:rPr>
              <w:t>Finalidade</w:t>
            </w:r>
          </w:p>
        </w:tc>
        <w:tc>
          <w:tcPr>
            <w:tcW w:type="dxa" w:w="2948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6"/>
              </w:rPr>
              <w:t>Regras essenciais</w:t>
            </w:r>
          </w:p>
        </w:tc>
      </w:tr>
      <w:tr>
        <w:tc>
          <w:tcPr>
            <w:tcW w:type="dxa" w:w="36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GET /partnerships/recommendations</w:t>
            </w:r>
          </w:p>
        </w:tc>
        <w:tc>
          <w:tcPr>
            <w:tcW w:type="dxa" w:w="272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Listar sugestões elegíveis e justificativas por oportunidade.</w:t>
            </w:r>
          </w:p>
        </w:tc>
        <w:tc>
          <w:tcPr>
            <w:tcW w:type="dxa" w:w="29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JWT + acesso ao recurso; paginação; 200/401/403/404.</w:t>
            </w:r>
          </w:p>
        </w:tc>
      </w:tr>
      <w:tr>
        <w:tc>
          <w:tcPr>
            <w:tcW w:type="dxa" w:w="36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POST /partnerships/proposal-drafts</w:t>
            </w:r>
          </w:p>
        </w:tc>
        <w:tc>
          <w:tcPr>
            <w:tcW w:type="dxa" w:w="272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Criar rascunho a partir de match revalidado.</w:t>
            </w:r>
          </w:p>
        </w:tc>
        <w:tc>
          <w:tcPr>
            <w:tcW w:type="dxa" w:w="29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Idempotency-Key; 201 ou 202; 409 quando inválida repetição/estado.</w:t>
            </w:r>
          </w:p>
        </w:tc>
      </w:tr>
      <w:tr>
        <w:tc>
          <w:tcPr>
            <w:tcW w:type="dxa" w:w="36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GET /partnerships/proposal-drafts/{id}</w:t>
            </w:r>
          </w:p>
        </w:tc>
        <w:tc>
          <w:tcPr>
            <w:tcW w:type="dxa" w:w="272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Consultar rascunho próprio/autorizado.</w:t>
            </w:r>
          </w:p>
        </w:tc>
        <w:tc>
          <w:tcPr>
            <w:tcW w:type="dxa" w:w="29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Não retornar dados de outra participante; 403/404.</w:t>
            </w:r>
          </w:p>
        </w:tc>
      </w:tr>
      <w:tr>
        <w:tc>
          <w:tcPr>
            <w:tcW w:type="dxa" w:w="36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PATCH /partnerships/proposal-drafts/{id}</w:t>
            </w:r>
          </w:p>
        </w:tc>
        <w:tc>
          <w:tcPr>
            <w:tcW w:type="dxa" w:w="272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Editar rascunho usando versão esperada.</w:t>
            </w:r>
          </w:p>
        </w:tc>
        <w:tc>
          <w:tcPr>
            <w:tcW w:type="dxa" w:w="29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Validação; 409 para versão conflitante; sem envio automático.</w:t>
            </w:r>
          </w:p>
        </w:tc>
      </w:tr>
    </w:tbl>
    <w:p>
      <w:pPr>
        <w:spacing w:after="0"/>
      </w:pPr>
    </w:p>
    <w:p>
      <w:r>
        <w:t>OpenAPI 3.0.3 em YAML acompanha este documento, com schemas completos de requisição, resposta, evidências, erros e exemplos de contrato. Os endpoints são proposta de integração, não inventário de rotas atuais.</w:t>
      </w:r>
    </w:p>
    <w:p>
      <w:pPr>
        <w:pStyle w:val="Heading2"/>
      </w:pPr>
      <w:r>
        <w:t>8.5. Exemplo simplificado — iniciar rascunho</w:t>
      </w:r>
    </w:p>
    <w:p>
      <w:pPr>
        <w:spacing w:after="160"/>
        <w:ind w:left="170"/>
      </w:pPr>
      <w:r>
        <w:rPr>
          <w:b w:val="0"/>
          <w:i w:val="0"/>
          <w:color w:val="362C2C"/>
          <w:sz w:val="14"/>
        </w:rPr>
        <w:t>POST /partnerships/proposal-drafts</w:t>
        <w:br/>
        <w:t>Authorization: Bearer &lt;token&gt;</w:t>
        <w:br/>
        <w:t>Idempotency-Key: demo-20261015-op101-candidate203</w:t>
        <w:br/>
        <w:t>{ "matchRef": "op101:candidate203:policy-v1", "expectedPolicyVersion": "v1" }</w:t>
        <w:br/>
        <w:br/>
        <w:t>201 { "success": true, "data": { "id": 501, "status": "DRAFT", "version": 1, ... } }</w:t>
      </w:r>
    </w:p>
    <w:p>
      <w:r>
        <w:t>Exemplo com IDs fictícios; em integração real, a referência deve corresponder ao motor existente e ser resolvida/revalidada no backend.</w:t>
      </w:r>
    </w:p>
    <w:p>
      <w:pPr>
        <w:pStyle w:val="Heading2"/>
      </w:pPr>
      <w:r>
        <w:t>8.6. Tratamento de estados e falhas</w:t>
      </w:r>
    </w:p>
    <w:p>
      <w:pPr>
        <w:pStyle w:val="ListBullet"/>
      </w:pPr>
      <w:r>
        <w:t>A mesma chave com mesmo payload retorna o mesmo rascunho; a mesma chave com payload divergente gera 409.</w:t>
      </w:r>
    </w:p>
    <w:p>
      <w:pPr>
        <w:pStyle w:val="ListBullet"/>
      </w:pPr>
      <w:r>
        <w:t>Se o estado da oportunidade mudou após a recomendação, retornar conflito/inelegibilidade com mensagem operacional segura.</w:t>
      </w:r>
    </w:p>
    <w:p>
      <w:pPr>
        <w:pStyle w:val="ListBullet"/>
      </w:pPr>
      <w:r>
        <w:t>Se o gerador for lento, retornar 202 + identificador/status de trabalho, sem manter request indefinida.</w:t>
      </w:r>
    </w:p>
    <w:p>
      <w:pPr>
        <w:pStyle w:val="ListBullet"/>
      </w:pPr>
      <w:r>
        <w:t>Falha do gerador não deve criar proposta submetida, enviar WhatsApp ou alterar chat por acidente.</w:t>
      </w:r>
    </w:p>
    <w:p>
      <w:pPr>
        <w:pStyle w:val="ListBullet"/>
      </w:pPr>
      <w:r>
        <w:t>Ao receber 401, o cliente usa o fluxo JWT já definido pela plataforma; não duplicar gestão de token.</w:t>
      </w:r>
    </w:p>
    <w:p>
      <w:pPr>
        <w:pStyle w:val="Heading1"/>
      </w:pPr>
      <w:r>
        <w:t>9. Plano de testes e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6"/>
              </w:rPr>
              <w:t>Caso</w:t>
            </w:r>
          </w:p>
        </w:tc>
        <w:tc>
          <w:tcPr>
            <w:tcW w:type="dxa" w:w="2835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6"/>
              </w:rPr>
              <w:t>Entrada/estímulo</w:t>
            </w:r>
          </w:p>
        </w:tc>
        <w:tc>
          <w:tcPr>
            <w:tcW w:type="dxa" w:w="4479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6"/>
              </w:rPr>
              <w:t>Saída esperada</w:t>
            </w:r>
          </w:p>
        </w:tc>
      </w:tr>
      <w:tr>
        <w:tc>
          <w:tcPr>
            <w:tcW w:type="dxa" w:w="19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T-01 — Elegível</w:t>
            </w:r>
          </w:p>
        </w:tc>
        <w:tc>
          <w:tcPr>
            <w:tcW w:type="dxa" w:w="283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Oferta e necessidade complementares com evidência verificada</w:t>
            </w:r>
          </w:p>
        </w:tc>
        <w:tc>
          <w:tcPr>
            <w:tcW w:type="dxa" w:w="447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Recomendação aparece com justificativa rastreável.</w:t>
            </w:r>
          </w:p>
        </w:tc>
      </w:tr>
      <w:tr>
        <w:tc>
          <w:tcPr>
            <w:tcW w:type="dxa" w:w="19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T-02 — Conversa ativa</w:t>
            </w:r>
          </w:p>
        </w:tc>
        <w:tc>
          <w:tcPr>
            <w:tcW w:type="dxa" w:w="283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Par já vinculado a conversa com bloqueio confirmado</w:t>
            </w:r>
          </w:p>
        </w:tc>
        <w:tc>
          <w:tcPr>
            <w:tcW w:type="dxa" w:w="447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Recomendação não é reapresentada de maneira duplicada.</w:t>
            </w:r>
          </w:p>
        </w:tc>
      </w:tr>
      <w:tr>
        <w:tc>
          <w:tcPr>
            <w:tcW w:type="dxa" w:w="19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T-03 — Self-match</w:t>
            </w:r>
          </w:p>
        </w:tc>
        <w:tc>
          <w:tcPr>
            <w:tcW w:type="dxa" w:w="283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Autora tenta iniciar proposta no próprio post</w:t>
            </w:r>
          </w:p>
        </w:tc>
        <w:tc>
          <w:tcPr>
            <w:tcW w:type="dxa" w:w="447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Operação bloqueada.</w:t>
            </w:r>
          </w:p>
        </w:tc>
      </w:tr>
      <w:tr>
        <w:tc>
          <w:tcPr>
            <w:tcW w:type="dxa" w:w="19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T-04 — Sem dados</w:t>
            </w:r>
          </w:p>
        </w:tc>
        <w:tc>
          <w:tcPr>
            <w:tcW w:type="dxa" w:w="283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Candidato tem campos essenciais ausentes</w:t>
            </w:r>
          </w:p>
        </w:tc>
        <w:tc>
          <w:tcPr>
            <w:tcW w:type="dxa" w:w="447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Não inventar evidência; tratamento de ausência explícito.</w:t>
            </w:r>
          </w:p>
        </w:tc>
      </w:tr>
      <w:tr>
        <w:tc>
          <w:tcPr>
            <w:tcW w:type="dxa" w:w="19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T-05 — Idempotência</w:t>
            </w:r>
          </w:p>
        </w:tc>
        <w:tc>
          <w:tcPr>
            <w:tcW w:type="dxa" w:w="283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POST igual duas vezes com mesma chave</w:t>
            </w:r>
          </w:p>
        </w:tc>
        <w:tc>
          <w:tcPr>
            <w:tcW w:type="dxa" w:w="447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Um rascunho único e resposta original reproduzida.</w:t>
            </w:r>
          </w:p>
        </w:tc>
      </w:tr>
      <w:tr>
        <w:tc>
          <w:tcPr>
            <w:tcW w:type="dxa" w:w="19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T-06 — Chave divergente</w:t>
            </w:r>
          </w:p>
        </w:tc>
        <w:tc>
          <w:tcPr>
            <w:tcW w:type="dxa" w:w="283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Mesmo Idempotency-Key com payload diferente</w:t>
            </w:r>
          </w:p>
        </w:tc>
        <w:tc>
          <w:tcPr>
            <w:tcW w:type="dxa" w:w="447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409 e nenhuma segunda operação.</w:t>
            </w:r>
          </w:p>
        </w:tc>
      </w:tr>
      <w:tr>
        <w:tc>
          <w:tcPr>
            <w:tcW w:type="dxa" w:w="19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T-07 — Autorização</w:t>
            </w:r>
          </w:p>
        </w:tc>
        <w:tc>
          <w:tcPr>
            <w:tcW w:type="dxa" w:w="283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Usuária não autorizada acessa draft de outra</w:t>
            </w:r>
          </w:p>
        </w:tc>
        <w:tc>
          <w:tcPr>
            <w:tcW w:type="dxa" w:w="447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403/404 sem vazamento de conteúdo.</w:t>
            </w:r>
          </w:p>
        </w:tc>
      </w:tr>
      <w:tr>
        <w:tc>
          <w:tcPr>
            <w:tcW w:type="dxa" w:w="19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T-08 — Concorrência</w:t>
            </w:r>
          </w:p>
        </w:tc>
        <w:tc>
          <w:tcPr>
            <w:tcW w:type="dxa" w:w="283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Dois PATCH com versão antiga</w:t>
            </w:r>
          </w:p>
        </w:tc>
        <w:tc>
          <w:tcPr>
            <w:tcW w:type="dxa" w:w="447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Uma atualização prevalece; outra retorna 409.</w:t>
            </w:r>
          </w:p>
        </w:tc>
      </w:tr>
      <w:tr>
        <w:tc>
          <w:tcPr>
            <w:tcW w:type="dxa" w:w="19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T-09 — Falha externa</w:t>
            </w:r>
          </w:p>
        </w:tc>
        <w:tc>
          <w:tcPr>
            <w:tcW w:type="dxa" w:w="283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Gerador demora ou fica indisponível</w:t>
            </w:r>
          </w:p>
        </w:tc>
        <w:tc>
          <w:tcPr>
            <w:tcW w:type="dxa" w:w="447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Falha exibida, estado seguro, sem efeito duplicado.</w:t>
            </w:r>
          </w:p>
        </w:tc>
      </w:tr>
      <w:tr>
        <w:tc>
          <w:tcPr>
            <w:tcW w:type="dxa" w:w="19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T-10 — Duas modalidades</w:t>
            </w:r>
          </w:p>
        </w:tc>
        <w:tc>
          <w:tcPr>
            <w:tcW w:type="dxa" w:w="283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Permuta e oportunidade de empresa</w:t>
            </w:r>
          </w:p>
        </w:tc>
        <w:tc>
          <w:tcPr>
            <w:tcW w:type="dxa" w:w="447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Elegibilidade específica e formulários coerentes.</w:t>
            </w:r>
          </w:p>
        </w:tc>
      </w:tr>
    </w:tbl>
    <w:p>
      <w:pPr>
        <w:spacing w:after="0"/>
      </w:pPr>
    </w:p>
    <w:p>
      <w:r>
        <w:t>Definition of Done: requisito atendido + teste documentado + estados UI + permissão revisada + ausência de segredos no repo + instrução de execução + limitação explicitada. Mock demonstrado não pode ser relatado como integração real.</w:t>
      </w:r>
    </w:p>
    <w:p>
      <w:pPr>
        <w:pStyle w:val="Heading1"/>
      </w:pPr>
      <w:r>
        <w:t>10. Entrega de uma semana: sequência executável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737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6"/>
              </w:rPr>
              <w:t>Dia</w:t>
            </w:r>
          </w:p>
        </w:tc>
        <w:tc>
          <w:tcPr>
            <w:tcW w:type="dxa" w:w="4025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6"/>
              </w:rPr>
              <w:t>Ação</w:t>
            </w:r>
          </w:p>
        </w:tc>
        <w:tc>
          <w:tcPr>
            <w:tcW w:type="dxa" w:w="4535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6"/>
              </w:rPr>
              <w:t>Evidência observável</w:t>
            </w:r>
          </w:p>
        </w:tc>
      </w:tr>
      <w:tr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1</w:t>
            </w:r>
          </w:p>
        </w:tc>
        <w:tc>
          <w:tcPr>
            <w:tcW w:type="dxa" w:w="402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Validar sucesso, inspecionar peças/contratos e registrar lacunas.</w:t>
            </w:r>
          </w:p>
        </w:tc>
        <w:tc>
          <w:tcPr>
            <w:tcW w:type="dxa" w:w="453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AS-IS, nomes de módulos, requisitos aceitos.</w:t>
            </w:r>
          </w:p>
        </w:tc>
      </w:tr>
      <w:tr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2</w:t>
            </w:r>
          </w:p>
        </w:tc>
        <w:tc>
          <w:tcPr>
            <w:tcW w:type="dxa" w:w="402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Congelar DTO provisório, casos de teste, status e backlog.</w:t>
            </w:r>
          </w:p>
        </w:tc>
        <w:tc>
          <w:tcPr>
            <w:tcW w:type="dxa" w:w="453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Fixtures de permuta e empresa + OpenAPI proposta.</w:t>
            </w:r>
          </w:p>
        </w:tc>
      </w:tr>
      <w:tr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3</w:t>
            </w:r>
          </w:p>
        </w:tc>
        <w:tc>
          <w:tcPr>
            <w:tcW w:type="dxa" w:w="402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Adapter e regras mínimas com testes; mocks caso necessário.</w:t>
            </w:r>
          </w:p>
        </w:tc>
        <w:tc>
          <w:tcPr>
            <w:tcW w:type="dxa" w:w="453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Testes positivos/negativos e retorno canônico.</w:t>
            </w:r>
          </w:p>
        </w:tc>
      </w:tr>
      <w:tr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4</w:t>
            </w:r>
          </w:p>
        </w:tc>
        <w:tc>
          <w:tcPr>
            <w:tcW w:type="dxa" w:w="402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Implementar Central de Oportunidades com detalhes e estados.</w:t>
            </w:r>
          </w:p>
        </w:tc>
        <w:tc>
          <w:tcPr>
            <w:tcW w:type="dxa" w:w="453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UI navegável; loading, empty e error.</w:t>
            </w:r>
          </w:p>
        </w:tc>
      </w:tr>
      <w:tr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5</w:t>
            </w:r>
          </w:p>
        </w:tc>
        <w:tc>
          <w:tcPr>
            <w:tcW w:type="dxa" w:w="402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POST de rascunho, revisão e prevenção de duplicidade.</w:t>
            </w:r>
          </w:p>
        </w:tc>
        <w:tc>
          <w:tcPr>
            <w:tcW w:type="dxa" w:w="453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Fluxo match → proposta reproduzível.</w:t>
            </w:r>
          </w:p>
        </w:tc>
      </w:tr>
      <w:tr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6</w:t>
            </w:r>
          </w:p>
        </w:tc>
        <w:tc>
          <w:tcPr>
            <w:tcW w:type="dxa" w:w="402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QA, logs, documentação, check regressão e ajustes.</w:t>
            </w:r>
          </w:p>
        </w:tc>
        <w:tc>
          <w:tcPr>
            <w:tcW w:type="dxa" w:w="453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Evidências, contrato e limitações.</w:t>
            </w:r>
          </w:p>
        </w:tc>
      </w:tr>
      <w:tr>
        <w:tc>
          <w:tcPr>
            <w:tcW w:type="dxa" w:w="73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7</w:t>
            </w:r>
          </w:p>
        </w:tc>
        <w:tc>
          <w:tcPr>
            <w:tcW w:type="dxa" w:w="402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Roteiro e demonstração de até 20 minutos.</w:t>
            </w:r>
          </w:p>
        </w:tc>
        <w:tc>
          <w:tcPr>
            <w:tcW w:type="dxa" w:w="453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6"/>
              </w:rPr>
              <w:t>Apresentação, critérios de negócio e próximos passos.</w:t>
            </w:r>
          </w:p>
        </w:tc>
      </w:tr>
    </w:tbl>
    <w:p>
      <w:pPr>
        <w:spacing w:after="0"/>
      </w:pPr>
    </w:p>
    <w:p>
      <w:pPr>
        <w:pStyle w:val="Heading1"/>
      </w:pPr>
      <w:r>
        <w:t>11. Perguntas pendentes /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20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Gate</w:t>
            </w:r>
          </w:p>
        </w:tc>
        <w:tc>
          <w:tcPr>
            <w:tcW w:type="dxa" w:w="1587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Área</w:t>
            </w:r>
          </w:p>
        </w:tc>
        <w:tc>
          <w:tcPr>
            <w:tcW w:type="dxa" w:w="6690"/>
            <w:shd w:fill="751F30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r/>
            <w:r>
              <w:rPr>
                <w:b/>
                <w:i w:val="0"/>
                <w:color w:val="FFFFFF"/>
                <w:sz w:val="17"/>
              </w:rPr>
              <w:t>Pergunta de validação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G-01</w:t>
            </w:r>
          </w:p>
        </w:tc>
        <w:tc>
          <w:tcPr>
            <w:tcW w:type="dxa" w:w="158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Negócio</w:t>
            </w:r>
          </w:p>
        </w:tc>
        <w:tc>
          <w:tcPr>
            <w:tcW w:type="dxa" w:w="669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O que constitui “parceria efetiva” e quem pode confirmar?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G-02</w:t>
            </w:r>
          </w:p>
        </w:tc>
        <w:tc>
          <w:tcPr>
            <w:tcW w:type="dxa" w:w="158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Auditoria</w:t>
            </w:r>
          </w:p>
        </w:tc>
        <w:tc>
          <w:tcPr>
            <w:tcW w:type="dxa" w:w="669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Onde estão implementados matching e gerador? API, frontend, workflow externo?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G-03</w:t>
            </w:r>
          </w:p>
        </w:tc>
        <w:tc>
          <w:tcPr>
            <w:tcW w:type="dxa" w:w="158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Entidade</w:t>
            </w:r>
          </w:p>
        </w:tc>
        <w:tc>
          <w:tcPr>
            <w:tcW w:type="dxa" w:w="669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“Proposta no mural” e “proposta gerada” são entidades distintas ou versões da mesma?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G-04</w:t>
            </w:r>
          </w:p>
        </w:tc>
        <w:tc>
          <w:tcPr>
            <w:tcW w:type="dxa" w:w="158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Regra</w:t>
            </w:r>
          </w:p>
        </w:tc>
        <w:tc>
          <w:tcPr>
            <w:tcW w:type="dxa" w:w="669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Conversa aberta bloqueia por par, post, proposta ou rodada?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G-05</w:t>
            </w:r>
          </w:p>
        </w:tc>
        <w:tc>
          <w:tcPr>
            <w:tcW w:type="dxa" w:w="158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Dados</w:t>
            </w:r>
          </w:p>
        </w:tc>
        <w:tc>
          <w:tcPr>
            <w:tcW w:type="dxa" w:w="669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Dois sinais confirmados são exigidos para todas as modalidades ou só política maio/2026?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G-06</w:t>
            </w:r>
          </w:p>
        </w:tc>
        <w:tc>
          <w:tcPr>
            <w:tcW w:type="dxa" w:w="158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Empresa</w:t>
            </w:r>
          </w:p>
        </w:tc>
        <w:tc>
          <w:tcPr>
            <w:tcW w:type="dxa" w:w="669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Empresa publica demanda diretamente ou por intermediação da Kawaii?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G-07</w:t>
            </w:r>
          </w:p>
        </w:tc>
        <w:tc>
          <w:tcPr>
            <w:tcW w:type="dxa" w:w="158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AF8F5"/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Quais papéis, permissões e canais de contato estão autorizados?</w:t>
            </w:r>
          </w:p>
        </w:tc>
      </w:tr>
      <w:tr>
        <w:tc>
          <w:tcPr>
            <w:tcW w:type="dxa" w:w="10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G-08</w:t>
            </w:r>
          </w:p>
        </w:tc>
        <w:tc>
          <w:tcPr>
            <w:tcW w:type="dxa" w:w="158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Integração</w:t>
            </w:r>
          </w:p>
        </w:tc>
        <w:tc>
          <w:tcPr>
            <w:tcW w:type="dxa" w:w="669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362C2C"/>
                <w:sz w:val="17"/>
              </w:rPr>
              <w:t>Gerador retorna rascunho síncrono, job assíncrono ou documento externo?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F4EFEA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r>
              <w:rPr>
                <w:b/>
                <w:i w:val="0"/>
                <w:color w:val="751F30"/>
                <w:sz w:val="18"/>
              </w:rPr>
              <w:t xml:space="preserve">REGRA PARA MUDAR A PRIORIDADE  </w:t>
            </w:r>
            <w:r>
              <w:rPr>
                <w:b w:val="0"/>
                <w:i w:val="0"/>
                <w:color w:val="362C2C"/>
                <w:sz w:val="18"/>
              </w:rPr>
              <w:t>Se a auditoria mostrar ausência de dados minimamente utilizáveis, priorizar captura de ofertas e demandas. Se as propostas já nascem, mas não se concretizam, priorizar negociação e acompanhamento. Sem isso, implementar primeiro o elo match → proposta.</w:t>
            </w:r>
          </w:p>
        </w:tc>
      </w:tr>
    </w:tbl>
    <w:p>
      <w:pPr>
        <w:spacing w:after="0"/>
      </w:pPr>
    </w:p>
    <w:p>
      <w:pPr>
        <w:pStyle w:val="Heading1"/>
      </w:pPr>
      <w:r>
        <w:t>12. Entregáveis e referências</w:t>
      </w:r>
    </w:p>
    <w:p>
      <w:pPr>
        <w:pStyle w:val="ListBullet"/>
      </w:pPr>
      <w:r>
        <w:t>Documento Word: requisitos, backlog, arquitetura, contratos e critérios de validação (este arquivo).</w:t>
      </w:r>
    </w:p>
    <w:p>
      <w:pPr>
        <w:pStyle w:val="ListBullet"/>
      </w:pPr>
      <w:r>
        <w:t>CSV: backlog com IDs, dependências, critérios de aceite, esforço relativo e janela.</w:t>
      </w:r>
    </w:p>
    <w:p>
      <w:pPr>
        <w:pStyle w:val="ListBullet"/>
      </w:pPr>
      <w:r>
        <w:t>YAML OpenAPI: referência versionável dos contratos propostos, sujeita à inspeção da implementação atual.</w:t>
      </w:r>
    </w:p>
    <w:p>
      <w:pPr>
        <w:pStyle w:val="ListBullet"/>
      </w:pPr>
      <w:r>
        <w:t>Fontes: Desafio Kawaii (4 páginas); Kawaii API/Web README e AGENTS.md; matriz de matches de maio/2026; Plano Estratégico Integrado v2.0; contexto institucional fornecido.</w:t>
      </w:r>
    </w:p>
    <w:p>
      <w:pPr>
        <w:pStyle w:val="ListBullet"/>
      </w:pPr>
      <w:r>
        <w:t>Fundamentos: recomendação recíproca; O Andar do Bêbado (Mlodinow); A Senhora Tomando Chá (Salsburg); arquitetura em múltiplos estágios; princípios de engenharia modular.</w:t>
      </w:r>
    </w:p>
    <w:p>
      <w:r>
        <w:t>Status de decisão: ESPECIFICAÇÃO PROPOSTA. Não afirmar que a integração executa em produção antes de testar componentes reais e validar regras com o negócio.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91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655F60"/>
        <w:sz w:val="16"/>
      </w:rPr>
      <w:t>KAWAII CLUBE  /  Especificação técnica v1.0  ·  Proposta sujeita à auditoria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i w:val="0"/>
        <w:color w:val="751F30"/>
        <w:sz w:val="16"/>
      </w:rPr>
      <w:t>ESTRATÉGIA  /  ENGENHARIA  /  CONTRATOS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362C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51F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51F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Aptos" w:hAnsi="Aptos"/>
      <w:b/>
      <w:bCs/>
      <w:color w:val="362C2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751F3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Kawaii Clube — Requisitos, Backlog, Arquitetura e Contratos v1.0</dc:title>
  <dc:subject>Especificação preliminar de produto e engenharia</dc:subject>
  <dc:creator>Equipe de projeto</dc:creator>
  <cp:keywords/>
  <dc:description>Proposta técnica não auditada em produção.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