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3B2416"/>
          <w:sz w:val="72"/>
        </w:rPr>
        <w:t>ETUDESK</w:t>
      </w:r>
    </w:p>
    <w:p>
      <w:pPr>
        <w:jc w:val="center"/>
      </w:pPr>
      <w:r>
        <w:rPr>
          <w:color w:val="5A3E2B"/>
          <w:sz w:val="32"/>
        </w:rPr>
        <w:t>Le copilote IA de l'employabilite en Afrique de l'Ouest</w:t>
      </w:r>
    </w:p>
    <w:p/>
    <w:p/>
    <w:p>
      <w:pPr>
        <w:jc w:val="center"/>
      </w:pPr>
      <w:r>
        <w:rPr>
          <w:b/>
          <w:color w:val="3B2416"/>
          <w:sz w:val="44"/>
        </w:rPr>
        <w:t>EXECUTIVE SUMMARY</w:t>
      </w:r>
    </w:p>
    <w:p/>
    <w:p>
      <w:pPr>
        <w:jc w:val="center"/>
      </w:pPr>
      <w:r>
        <w:rPr>
          <w:color w:val="5A3E2B"/>
          <w:sz w:val="28"/>
        </w:rPr>
        <w:t>Levee de fonds Late Seed / Bridge Capital</w:t>
      </w:r>
    </w:p>
    <w:p>
      <w:pPr>
        <w:jc w:val="center"/>
      </w:pPr>
      <w:r>
        <w:rPr>
          <w:b/>
          <w:color w:val="3B2416"/>
          <w:sz w:val="36"/>
        </w:rPr>
        <w:t>60 000 000 FCFA (~91 500 EUR)</w:t>
      </w:r>
    </w:p>
    <w:p/>
    <w:p/>
    <w:p>
      <w:pPr>
        <w:jc w:val="center"/>
      </w:pPr>
      <w:r>
        <w:rPr>
          <w:color w:val="666666"/>
          <w:sz w:val="24"/>
        </w:rPr>
        <w:t>Structuration de la societe &amp; Deploiement pilote 10 villes UEMOA</w:t>
      </w:r>
    </w:p>
    <w:p/>
    <w:p>
      <w:pPr>
        <w:jc w:val="center"/>
      </w:pPr>
      <w:r>
        <w:rPr>
          <w:sz w:val="20"/>
        </w:rPr>
        <w:t>Fevrier 2026  |  Confidentiel</w:t>
      </w:r>
    </w:p>
    <w:p>
      <w:pPr>
        <w:jc w:val="center"/>
      </w:pPr>
      <w:r>
        <w:rPr>
          <w:sz w:val="22"/>
        </w:rPr>
        <w:t>Lamine BARRO - PDG &amp; Fondateur</w:t>
      </w:r>
    </w:p>
    <w:p>
      <w:pPr>
        <w:jc w:val="center"/>
      </w:pPr>
      <w:r>
        <w:rPr>
          <w:sz w:val="20"/>
        </w:rPr>
        <w:t>lamine.barro@etudesk.org  |  +225 05 74 63 11 48</w:t>
      </w:r>
    </w:p>
    <w:p>
      <w:r>
        <w:br w:type="page"/>
      </w:r>
    </w:p>
    <w:p>
      <w:pPr>
        <w:pStyle w:val="Heading1"/>
      </w:pPr>
      <w:r>
        <w:t>TABLE DES MATIERES</w:t>
      </w:r>
    </w:p>
    <w:p/>
    <w:p>
      <w:r>
        <w:rPr>
          <w:b/>
          <w:color w:val="3B2416"/>
          <w:sz w:val="22"/>
        </w:rPr>
        <w:t xml:space="preserve">1. </w:t>
      </w:r>
      <w:r>
        <w:rPr>
          <w:sz w:val="22"/>
        </w:rPr>
        <w:t>Le probleme : une generation entiere sans pont vers l'emploi</w:t>
      </w:r>
    </w:p>
    <w:p>
      <w:r>
        <w:rPr>
          <w:b/>
          <w:color w:val="3B2416"/>
          <w:sz w:val="22"/>
        </w:rPr>
        <w:t xml:space="preserve">2. </w:t>
      </w:r>
      <w:r>
        <w:rPr>
          <w:sz w:val="22"/>
        </w:rPr>
        <w:t>La solution Etudesk : un copilote IA pour l'employabilite</w:t>
      </w:r>
    </w:p>
    <w:p>
      <w:r>
        <w:rPr>
          <w:b/>
          <w:color w:val="3B2416"/>
          <w:sz w:val="22"/>
        </w:rPr>
        <w:t xml:space="preserve">3. </w:t>
      </w:r>
      <w:r>
        <w:rPr>
          <w:sz w:val="22"/>
        </w:rPr>
        <w:t>Le marche : 137 millions de personnes, un besoin immense</w:t>
      </w:r>
    </w:p>
    <w:p>
      <w:r>
        <w:rPr>
          <w:b/>
          <w:color w:val="3B2416"/>
          <w:sz w:val="22"/>
        </w:rPr>
        <w:t xml:space="preserve">4. </w:t>
      </w:r>
      <w:r>
        <w:rPr>
          <w:sz w:val="22"/>
        </w:rPr>
        <w:t>Le produit : comment ca marche concretement</w:t>
      </w:r>
    </w:p>
    <w:p>
      <w:r>
        <w:rPr>
          <w:b/>
          <w:color w:val="3B2416"/>
          <w:sz w:val="22"/>
        </w:rPr>
        <w:t xml:space="preserve">5. </w:t>
      </w:r>
      <w:r>
        <w:rPr>
          <w:sz w:val="22"/>
        </w:rPr>
        <w:t>Le modele economique : comment Etudesk gagne de l'argent</w:t>
      </w:r>
    </w:p>
    <w:p>
      <w:r>
        <w:rPr>
          <w:b/>
          <w:color w:val="3B2416"/>
          <w:sz w:val="22"/>
        </w:rPr>
        <w:t xml:space="preserve">6. </w:t>
      </w:r>
      <w:r>
        <w:rPr>
          <w:sz w:val="22"/>
        </w:rPr>
        <w:t>La traction et les preuves de concept</w:t>
      </w:r>
    </w:p>
    <w:p>
      <w:r>
        <w:rPr>
          <w:b/>
          <w:color w:val="3B2416"/>
          <w:sz w:val="22"/>
        </w:rPr>
        <w:t xml:space="preserve">7. </w:t>
      </w:r>
      <w:r>
        <w:rPr>
          <w:sz w:val="22"/>
        </w:rPr>
        <w:t>L'equipe : pourquoi nous</w:t>
      </w:r>
    </w:p>
    <w:p>
      <w:r>
        <w:rPr>
          <w:b/>
          <w:color w:val="3B2416"/>
          <w:sz w:val="22"/>
        </w:rPr>
        <w:t xml:space="preserve">8. </w:t>
      </w:r>
      <w:r>
        <w:rPr>
          <w:sz w:val="22"/>
        </w:rPr>
        <w:t>Utilisation des fonds : 60 millions FCFA</w:t>
      </w:r>
    </w:p>
    <w:p>
      <w:r>
        <w:rPr>
          <w:b/>
          <w:color w:val="3B2416"/>
          <w:sz w:val="22"/>
        </w:rPr>
        <w:t xml:space="preserve">9. </w:t>
      </w:r>
      <w:r>
        <w:rPr>
          <w:sz w:val="22"/>
        </w:rPr>
        <w:t>Plan de deploiement : 10 villes, 18 mois</w:t>
      </w:r>
    </w:p>
    <w:p>
      <w:r>
        <w:rPr>
          <w:b/>
          <w:color w:val="3B2416"/>
          <w:sz w:val="22"/>
        </w:rPr>
        <w:t xml:space="preserve">10. </w:t>
      </w:r>
      <w:r>
        <w:rPr>
          <w:sz w:val="22"/>
        </w:rPr>
        <w:t>Projections financieres</w:t>
      </w:r>
    </w:p>
    <w:p>
      <w:r>
        <w:rPr>
          <w:b/>
          <w:color w:val="3B2416"/>
          <w:sz w:val="22"/>
        </w:rPr>
        <w:t xml:space="preserve">11. </w:t>
      </w:r>
      <w:r>
        <w:rPr>
          <w:sz w:val="22"/>
        </w:rPr>
        <w:t>Pourquoi investir maintenant</w:t>
      </w:r>
    </w:p>
    <w:p>
      <w:r>
        <w:br w:type="page"/>
      </w:r>
    </w:p>
    <w:p>
      <w:pPr>
        <w:pStyle w:val="Heading1"/>
      </w:pPr>
      <w:r>
        <w:t>1. Le probleme : une generation entiere sans pont vers l'emploi</w:t>
      </w:r>
    </w:p>
    <w:p>
      <w:r>
        <w:rPr>
          <w:b/>
          <w:color w:val="3B2416"/>
          <w:sz w:val="22"/>
        </w:rPr>
        <w:t xml:space="preserve">Le constat est alarmant. </w:t>
      </w:r>
      <w:r>
        <w:rPr>
          <w:sz w:val="22"/>
        </w:rPr>
        <w:t>En Afrique de l'Ouest (zone UEMOA), plus de 60% de la population a moins de 25 ans. C'est le marche du travail le plus jeune et le plus dynamique de l'histoire humaine. Pourtant, le chomage des jeunes depasse 50% dans certains pays comme le Senegal, et chaque annee, 10 a 12 millions de jeunes Africains arrivent sur le marche du travail sans les outils pour y acceder.</w:t>
      </w:r>
    </w:p>
    <w:p/>
    <w:p>
      <w:pPr>
        <w:pStyle w:val="Heading2"/>
      </w:pPr>
      <w:r>
        <w:t>Les 5 ruptures qui creent cette urgence</w:t>
      </w:r>
    </w:p>
    <w:p>
      <w:r>
        <w:rPr>
          <w:b/>
          <w:color w:val="3B2416"/>
          <w:sz w:val="22"/>
        </w:rPr>
        <w:t xml:space="preserve">1. L'universite ne peut plus absorber la demande. </w:t>
      </w:r>
      <w:r>
        <w:rPr>
          <w:sz w:val="22"/>
        </w:rPr>
        <w:t>Le taux d'inscription dans l'enseignement superieur en Afrique subsaharienne n'est que de 7% (contre 32% en moyenne mondiale). D'ici 2040, le nombre de jeunes terminant le secondaire va doubler, passant de 103 a 240 millions. Le systeme universitaire traditionnel n'a ni les infrastructures, ni les enseignants pour suivre.</w:t>
      </w:r>
    </w:p>
    <w:p>
      <w:r>
        <w:rPr>
          <w:b/>
          <w:color w:val="3B2416"/>
          <w:sz w:val="22"/>
        </w:rPr>
        <w:t xml:space="preserve">2. Aucun outil ne fait le pont entre competences et emploi. </w:t>
      </w:r>
      <w:r>
        <w:rPr>
          <w:sz w:val="22"/>
        </w:rPr>
        <w:t>Les plateformes existantes (Emploi.ci, Novojob, Educarriere) sont de simples listes d'offres. Elles ne forment pas, ne preparent pas les candidats, et n'aident pas les entreprises a identifier les bons profils. LinkedIn a une faible penetration en UEMOA et n'est pas adapte au contexte mobile-first africain.</w:t>
      </w:r>
    </w:p>
    <w:p>
      <w:r>
        <w:rPr>
          <w:b/>
          <w:color w:val="3B2416"/>
          <w:sz w:val="22"/>
        </w:rPr>
        <w:t xml:space="preserve">3. Le contenu francophone est quasi inexistant. </w:t>
      </w:r>
      <w:r>
        <w:rPr>
          <w:sz w:val="22"/>
        </w:rPr>
        <w:t>La majorite des ressources educatives en ligne sont en anglais. L'Afrique francophone (400+ millions de locuteurs) est dramatiquement sous-servie. Aucun tuteur IA n'existe en francais pour cette region.</w:t>
      </w:r>
    </w:p>
    <w:p>
      <w:r>
        <w:rPr>
          <w:b/>
          <w:color w:val="3B2416"/>
          <w:sz w:val="22"/>
        </w:rPr>
        <w:t xml:space="preserve">4. Les entreprises peinent a recruter les bons profils. </w:t>
      </w:r>
      <w:r>
        <w:rPr>
          <w:sz w:val="22"/>
        </w:rPr>
        <w:t>Les PME et grandes entreprises en UEMOA manquent d'outils modernes de recrutement. Le tri des candidatures est manuel, les processus lents, et le matching competences/postes inexistant.</w:t>
      </w:r>
    </w:p>
    <w:p>
      <w:r>
        <w:rPr>
          <w:b/>
          <w:color w:val="3B2416"/>
          <w:sz w:val="22"/>
        </w:rPr>
        <w:t xml:space="preserve">5. Le mobile est le seul point d'acces. </w:t>
      </w:r>
      <w:r>
        <w:rPr>
          <w:sz w:val="22"/>
        </w:rPr>
        <w:t>Avec 416 millions d'utilisateurs internet mobile en Afrique et une penetration mobile de 185% en Cote d'Ivoire, toute solution doit etre nativement mobile. Les plateformes desktop-first sont inadaptees.</w:t>
      </w:r>
    </w:p>
    <w:p/>
    <w:p>
      <w:pPr>
        <w:jc w:val="center"/>
      </w:pPr>
      <w:r>
        <w:rPr>
          <w:i/>
          <w:color w:val="5A3E2B"/>
          <w:sz w:val="24"/>
        </w:rPr>
        <w:t>"Chaque annee, 10 a 12 millions de jeunes Africains arrivent sur le marche du travail.</w:t>
        <w:br/>
        <w:t>La zone UEMOA a elle seule compte 137 millions d'habitants dont 60% ont moins de 25 ans."</w:t>
      </w:r>
    </w:p>
    <w:p>
      <w:r>
        <w:br w:type="page"/>
      </w:r>
    </w:p>
    <w:p>
      <w:pPr>
        <w:pStyle w:val="Heading1"/>
      </w:pPr>
      <w:r>
        <w:t>2. La solution Etudesk : un copilote IA pour l'employabilite</w:t>
      </w:r>
    </w:p>
    <w:p>
      <w:r>
        <w:rPr>
          <w:b/>
          <w:color w:val="3B2416"/>
          <w:sz w:val="22"/>
        </w:rPr>
        <w:t xml:space="preserve">Etudesk est une application mobile </w:t>
      </w:r>
      <w:r>
        <w:rPr>
          <w:sz w:val="22"/>
        </w:rPr>
        <w:t>qui connecte les talents (etudiants, professionnels, chercheurs d'emploi) avec les organisations (entreprises, startups, administrations) a travers un assistant IA conversationnel intelligent, en francais.</w:t>
      </w:r>
    </w:p>
    <w:p/>
    <w:p>
      <w:pPr>
        <w:pStyle w:val="Heading2"/>
      </w:pPr>
      <w:r>
        <w:t>Ce qu'Etudesk fait concretement</w:t>
      </w:r>
    </w:p>
    <w:p>
      <w:r>
        <w:rPr>
          <w:b/>
          <w:color w:val="3B2416"/>
          <w:sz w:val="22"/>
        </w:rPr>
        <w:t>Pour les talents (individus) :</w:t>
      </w:r>
    </w:p>
    <w:p>
      <w:pPr>
        <w:pStyle w:val="ListBullet"/>
      </w:pPr>
      <w:r>
        <w:t>Decouvrir des offres d'emploi, stages, missions freelance adaptes a leur profil</w:t>
      </w:r>
    </w:p>
    <w:p>
      <w:pPr>
        <w:pStyle w:val="ListBullet"/>
      </w:pPr>
      <w:r>
        <w:t>Se former via un tuteur IA personnalise (cours, quiz, flashcards, videos)</w:t>
      </w:r>
    </w:p>
    <w:p>
      <w:pPr>
        <w:pStyle w:val="ListBullet"/>
      </w:pPr>
      <w:r>
        <w:t>Generer un CV professionnel en un clic a partir de leur profil</w:t>
      </w:r>
    </w:p>
    <w:p>
      <w:pPr>
        <w:pStyle w:val="ListBullet"/>
      </w:pPr>
      <w:r>
        <w:t>Postuler directement depuis l'application avec accompagnement IA</w:t>
      </w:r>
    </w:p>
    <w:p>
      <w:pPr>
        <w:pStyle w:val="ListBullet"/>
      </w:pPr>
      <w:r>
        <w:t>Rejoindre des communautes professionnelles et reserver des espaces de coworking</w:t>
      </w:r>
    </w:p>
    <w:p>
      <w:pPr>
        <w:pStyle w:val="ListBullet"/>
      </w:pPr>
      <w:r>
        <w:t>Evaluer et certifier leurs competences via des assessments IA</w:t>
      </w:r>
    </w:p>
    <w:p/>
    <w:p>
      <w:r>
        <w:rPr>
          <w:b/>
          <w:color w:val="3B2416"/>
          <w:sz w:val="22"/>
        </w:rPr>
        <w:t>Pour les organisations (entreprises) :</w:t>
      </w:r>
    </w:p>
    <w:p>
      <w:pPr>
        <w:pStyle w:val="ListBullet"/>
      </w:pPr>
      <w:r>
        <w:t>Publier des offres d'emploi et recevoir des candidatures qualifiees</w:t>
      </w:r>
    </w:p>
    <w:p>
      <w:pPr>
        <w:pStyle w:val="ListBullet"/>
      </w:pPr>
      <w:r>
        <w:t>Classer automatiquement les candidats par pertinence grace a l'IA</w:t>
      </w:r>
    </w:p>
    <w:p>
      <w:pPr>
        <w:pStyle w:val="ListBullet"/>
      </w:pPr>
      <w:r>
        <w:t>Creer et animer des communautes professionnelles</w:t>
      </w:r>
    </w:p>
    <w:p>
      <w:pPr>
        <w:pStyle w:val="ListBullet"/>
      </w:pPr>
      <w:r>
        <w:t>Generer des fiches de poste et rapports RH automatiquement</w:t>
      </w:r>
    </w:p>
    <w:p>
      <w:pPr>
        <w:pStyle w:val="ListBullet"/>
      </w:pPr>
      <w:r>
        <w:t>Acceder a un vivier de talents avec recherche intelligente par competences</w:t>
      </w:r>
    </w:p>
    <w:p/>
    <w:p>
      <w:pPr>
        <w:pStyle w:val="Heading2"/>
      </w:pPr>
      <w:r>
        <w:t>Ce qui nous differencie</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shd w:fill="3B2416" w:val="clear"/>
          </w:tcPr>
          <w:p>
            <w:r>
              <w:rPr>
                <w:b/>
                <w:color w:val="FFFFFF"/>
                <w:sz w:val="20"/>
              </w:rPr>
              <w:t>Critere</w:t>
            </w:r>
          </w:p>
        </w:tc>
        <w:tc>
          <w:tcPr>
            <w:tcW w:type="dxa" w:w="3135"/>
            <w:shd w:fill="3B2416" w:val="clear"/>
          </w:tcPr>
          <w:p>
            <w:r>
              <w:rPr>
                <w:b/>
                <w:color w:val="FFFFFF"/>
                <w:sz w:val="20"/>
              </w:rPr>
              <w:t>Plateformes existantes</w:t>
            </w:r>
          </w:p>
        </w:tc>
        <w:tc>
          <w:tcPr>
            <w:tcW w:type="dxa" w:w="3135"/>
            <w:shd w:fill="3B2416" w:val="clear"/>
          </w:tcPr>
          <w:p>
            <w:r>
              <w:rPr>
                <w:b/>
                <w:color w:val="FFFFFF"/>
                <w:sz w:val="20"/>
              </w:rPr>
              <w:t>Etudesk</w:t>
            </w:r>
          </w:p>
        </w:tc>
      </w:tr>
      <w:tr>
        <w:tc>
          <w:tcPr>
            <w:tcW w:type="dxa" w:w="3135"/>
          </w:tcPr>
          <w:p>
            <w:r>
              <w:rPr>
                <w:sz w:val="20"/>
              </w:rPr>
              <w:t>Langue</w:t>
            </w:r>
          </w:p>
        </w:tc>
        <w:tc>
          <w:tcPr>
            <w:tcW w:type="dxa" w:w="3135"/>
          </w:tcPr>
          <w:p>
            <w:r>
              <w:rPr>
                <w:sz w:val="20"/>
              </w:rPr>
              <w:t>Majoritairement anglais</w:t>
            </w:r>
          </w:p>
        </w:tc>
        <w:tc>
          <w:tcPr>
            <w:tcW w:type="dxa" w:w="3135"/>
          </w:tcPr>
          <w:p>
            <w:r>
              <w:rPr>
                <w:sz w:val="20"/>
              </w:rPr>
              <w:t>Francais natif</w:t>
            </w:r>
          </w:p>
        </w:tc>
      </w:tr>
      <w:tr>
        <w:tc>
          <w:tcPr>
            <w:tcW w:type="dxa" w:w="3135"/>
          </w:tcPr>
          <w:p>
            <w:r>
              <w:rPr>
                <w:sz w:val="20"/>
              </w:rPr>
              <w:t>Intelligence</w:t>
            </w:r>
          </w:p>
        </w:tc>
        <w:tc>
          <w:tcPr>
            <w:tcW w:type="dxa" w:w="3135"/>
          </w:tcPr>
          <w:p>
            <w:r>
              <w:rPr>
                <w:sz w:val="20"/>
              </w:rPr>
              <w:t>Listing statique</w:t>
            </w:r>
          </w:p>
        </w:tc>
        <w:tc>
          <w:tcPr>
            <w:tcW w:type="dxa" w:w="3135"/>
          </w:tcPr>
          <w:p>
            <w:r>
              <w:rPr>
                <w:sz w:val="20"/>
              </w:rPr>
              <w:t>IA conversationnelle (GPT-5)</w:t>
            </w:r>
          </w:p>
        </w:tc>
      </w:tr>
      <w:tr>
        <w:tc>
          <w:tcPr>
            <w:tcW w:type="dxa" w:w="3135"/>
          </w:tcPr>
          <w:p>
            <w:r>
              <w:rPr>
                <w:sz w:val="20"/>
              </w:rPr>
              <w:t>Approche</w:t>
            </w:r>
          </w:p>
        </w:tc>
        <w:tc>
          <w:tcPr>
            <w:tcW w:type="dxa" w:w="3135"/>
          </w:tcPr>
          <w:p>
            <w:r>
              <w:rPr>
                <w:sz w:val="20"/>
              </w:rPr>
              <w:t>Desktop-first</w:t>
            </w:r>
          </w:p>
        </w:tc>
        <w:tc>
          <w:tcPr>
            <w:tcW w:type="dxa" w:w="3135"/>
          </w:tcPr>
          <w:p>
            <w:r>
              <w:rPr>
                <w:sz w:val="20"/>
              </w:rPr>
              <w:t>Mobile-first (React Native)</w:t>
            </w:r>
          </w:p>
        </w:tc>
      </w:tr>
      <w:tr>
        <w:tc>
          <w:tcPr>
            <w:tcW w:type="dxa" w:w="3135"/>
          </w:tcPr>
          <w:p>
            <w:r>
              <w:rPr>
                <w:sz w:val="20"/>
              </w:rPr>
              <w:t>Scope</w:t>
            </w:r>
          </w:p>
        </w:tc>
        <w:tc>
          <w:tcPr>
            <w:tcW w:type="dxa" w:w="3135"/>
          </w:tcPr>
          <w:p>
            <w:r>
              <w:rPr>
                <w:sz w:val="20"/>
              </w:rPr>
              <w:t>Job board OU e-learning</w:t>
            </w:r>
          </w:p>
        </w:tc>
        <w:tc>
          <w:tcPr>
            <w:tcW w:type="dxa" w:w="3135"/>
          </w:tcPr>
          <w:p>
            <w:r>
              <w:rPr>
                <w:sz w:val="20"/>
              </w:rPr>
              <w:t>Emploi + Formation + Reseau + IA</w:t>
            </w:r>
          </w:p>
        </w:tc>
      </w:tr>
      <w:tr>
        <w:tc>
          <w:tcPr>
            <w:tcW w:type="dxa" w:w="3135"/>
          </w:tcPr>
          <w:p>
            <w:r>
              <w:rPr>
                <w:sz w:val="20"/>
              </w:rPr>
              <w:t>Personnalisation</w:t>
            </w:r>
          </w:p>
        </w:tc>
        <w:tc>
          <w:tcPr>
            <w:tcW w:type="dxa" w:w="3135"/>
          </w:tcPr>
          <w:p>
            <w:r>
              <w:rPr>
                <w:sz w:val="20"/>
              </w:rPr>
              <w:t>Aucune</w:t>
            </w:r>
          </w:p>
        </w:tc>
        <w:tc>
          <w:tcPr>
            <w:tcW w:type="dxa" w:w="3135"/>
          </w:tcPr>
          <w:p>
            <w:r>
              <w:rPr>
                <w:sz w:val="20"/>
              </w:rPr>
              <w:t>Copilote adapte au profil et objectifs</w:t>
            </w:r>
          </w:p>
        </w:tc>
      </w:tr>
      <w:tr>
        <w:tc>
          <w:tcPr>
            <w:tcW w:type="dxa" w:w="3135"/>
          </w:tcPr>
          <w:p>
            <w:r>
              <w:rPr>
                <w:sz w:val="20"/>
              </w:rPr>
              <w:t>Couverture</w:t>
            </w:r>
          </w:p>
        </w:tc>
        <w:tc>
          <w:tcPr>
            <w:tcW w:type="dxa" w:w="3135"/>
          </w:tcPr>
          <w:p>
            <w:r>
              <w:rPr>
                <w:sz w:val="20"/>
              </w:rPr>
              <w:t>Un seul pays</w:t>
            </w:r>
          </w:p>
        </w:tc>
        <w:tc>
          <w:tcPr>
            <w:tcW w:type="dxa" w:w="3135"/>
          </w:tcPr>
          <w:p>
            <w:r>
              <w:rPr>
                <w:sz w:val="20"/>
              </w:rPr>
              <w:t>8 pays UEMOA des le lancement</w:t>
            </w:r>
          </w:p>
        </w:tc>
      </w:tr>
    </w:tbl>
    <w:p>
      <w:r>
        <w:br w:type="page"/>
      </w:r>
    </w:p>
    <w:p>
      <w:pPr>
        <w:pStyle w:val="Heading1"/>
      </w:pPr>
      <w:r>
        <w:t>3. Le marche : 137 millions de personnes, un besoin immense</w:t>
      </w:r>
    </w:p>
    <w:p>
      <w:pPr>
        <w:pStyle w:val="Heading2"/>
      </w:pPr>
      <w:r>
        <w:t>La zone UEMOA en chiffres</w:t>
      </w:r>
    </w:p>
    <w:tbl>
      <w:tblPr>
        <w:tblStyle w:val="LightGrid-Accent1"/>
        <w:tblW w:type="auto" w:w="0"/>
        <w:jc w:val="center"/>
        <w:tblLook w:firstColumn="1" w:firstRow="1" w:lastColumn="0" w:lastRow="0" w:noHBand="0" w:noVBand="1" w:val="04A0"/>
      </w:tblPr>
      <w:tblGrid>
        <w:gridCol w:w="4703"/>
        <w:gridCol w:w="4703"/>
      </w:tblGrid>
      <w:tr>
        <w:tc>
          <w:tcPr>
            <w:tcW w:type="dxa" w:w="4703"/>
            <w:shd w:fill="3B2416" w:val="clear"/>
          </w:tcPr>
          <w:p>
            <w:r>
              <w:rPr>
                <w:b/>
                <w:color w:val="FFFFFF"/>
                <w:sz w:val="20"/>
              </w:rPr>
              <w:t>Indicateur</w:t>
            </w:r>
          </w:p>
        </w:tc>
        <w:tc>
          <w:tcPr>
            <w:tcW w:type="dxa" w:w="4703"/>
            <w:shd w:fill="3B2416" w:val="clear"/>
          </w:tcPr>
          <w:p>
            <w:r>
              <w:rPr>
                <w:b/>
                <w:color w:val="FFFFFF"/>
                <w:sz w:val="20"/>
              </w:rPr>
              <w:t>Donnees</w:t>
            </w:r>
          </w:p>
        </w:tc>
      </w:tr>
      <w:tr>
        <w:tc>
          <w:tcPr>
            <w:tcW w:type="dxa" w:w="4703"/>
          </w:tcPr>
          <w:p>
            <w:r>
              <w:rPr>
                <w:sz w:val="20"/>
              </w:rPr>
              <w:t>Population totale</w:t>
            </w:r>
          </w:p>
        </w:tc>
        <w:tc>
          <w:tcPr>
            <w:tcW w:type="dxa" w:w="4703"/>
          </w:tcPr>
          <w:p>
            <w:r>
              <w:rPr>
                <w:sz w:val="20"/>
              </w:rPr>
              <w:t>137 millions d'habitants</w:t>
            </w:r>
          </w:p>
        </w:tc>
      </w:tr>
      <w:tr>
        <w:tc>
          <w:tcPr>
            <w:tcW w:type="dxa" w:w="4703"/>
          </w:tcPr>
          <w:p>
            <w:r>
              <w:rPr>
                <w:sz w:val="20"/>
              </w:rPr>
              <w:t>PIB combine</w:t>
            </w:r>
          </w:p>
        </w:tc>
        <w:tc>
          <w:tcPr>
            <w:tcW w:type="dxa" w:w="4703"/>
          </w:tcPr>
          <w:p>
            <w:r>
              <w:rPr>
                <w:sz w:val="20"/>
              </w:rPr>
              <w:t>175 milliards USD</w:t>
            </w:r>
          </w:p>
        </w:tc>
      </w:tr>
      <w:tr>
        <w:tc>
          <w:tcPr>
            <w:tcW w:type="dxa" w:w="4703"/>
          </w:tcPr>
          <w:p>
            <w:r>
              <w:rPr>
                <w:sz w:val="20"/>
              </w:rPr>
              <w:t>Croissance moyenne</w:t>
            </w:r>
          </w:p>
        </w:tc>
        <w:tc>
          <w:tcPr>
            <w:tcW w:type="dxa" w:w="4703"/>
          </w:tcPr>
          <w:p>
            <w:r>
              <w:rPr>
                <w:sz w:val="20"/>
              </w:rPr>
              <w:t>5-6% par an</w:t>
            </w:r>
          </w:p>
        </w:tc>
      </w:tr>
      <w:tr>
        <w:tc>
          <w:tcPr>
            <w:tcW w:type="dxa" w:w="4703"/>
          </w:tcPr>
          <w:p>
            <w:r>
              <w:rPr>
                <w:sz w:val="20"/>
              </w:rPr>
              <w:t>Population &lt; 25 ans</w:t>
            </w:r>
          </w:p>
        </w:tc>
        <w:tc>
          <w:tcPr>
            <w:tcW w:type="dxa" w:w="4703"/>
          </w:tcPr>
          <w:p>
            <w:r>
              <w:rPr>
                <w:sz w:val="20"/>
              </w:rPr>
              <w:t>60%+</w:t>
            </w:r>
          </w:p>
        </w:tc>
      </w:tr>
      <w:tr>
        <w:tc>
          <w:tcPr>
            <w:tcW w:type="dxa" w:w="4703"/>
          </w:tcPr>
          <w:p>
            <w:r>
              <w:rPr>
                <w:sz w:val="20"/>
              </w:rPr>
              <w:t>Age median</w:t>
            </w:r>
          </w:p>
        </w:tc>
        <w:tc>
          <w:tcPr>
            <w:tcW w:type="dxa" w:w="4703"/>
          </w:tcPr>
          <w:p>
            <w:r>
              <w:rPr>
                <w:sz w:val="20"/>
              </w:rPr>
              <w:t>15-19 ans selon les pays</w:t>
            </w:r>
          </w:p>
        </w:tc>
      </w:tr>
      <w:tr>
        <w:tc>
          <w:tcPr>
            <w:tcW w:type="dxa" w:w="4703"/>
          </w:tcPr>
          <w:p>
            <w:r>
              <w:rPr>
                <w:sz w:val="20"/>
              </w:rPr>
              <w:t>Penetration mobile (CI)</w:t>
            </w:r>
          </w:p>
        </w:tc>
        <w:tc>
          <w:tcPr>
            <w:tcW w:type="dxa" w:w="4703"/>
          </w:tcPr>
          <w:p>
            <w:r>
              <w:rPr>
                <w:sz w:val="20"/>
              </w:rPr>
              <w:t>185% (58,7M abonnes)</w:t>
            </w:r>
          </w:p>
        </w:tc>
      </w:tr>
      <w:tr>
        <w:tc>
          <w:tcPr>
            <w:tcW w:type="dxa" w:w="4703"/>
          </w:tcPr>
          <w:p>
            <w:r>
              <w:rPr>
                <w:sz w:val="20"/>
              </w:rPr>
              <w:t>Couverture 4G (CI)</w:t>
            </w:r>
          </w:p>
        </w:tc>
        <w:tc>
          <w:tcPr>
            <w:tcW w:type="dxa" w:w="4703"/>
          </w:tcPr>
          <w:p>
            <w:r>
              <w:rPr>
                <w:sz w:val="20"/>
              </w:rPr>
              <w:t>88%+</w:t>
            </w:r>
          </w:p>
        </w:tc>
      </w:tr>
      <w:tr>
        <w:tc>
          <w:tcPr>
            <w:tcW w:type="dxa" w:w="4703"/>
          </w:tcPr>
          <w:p>
            <w:r>
              <w:rPr>
                <w:sz w:val="20"/>
              </w:rPr>
              <w:t>Chomage jeunes (Senegal)</w:t>
            </w:r>
          </w:p>
        </w:tc>
        <w:tc>
          <w:tcPr>
            <w:tcW w:type="dxa" w:w="4703"/>
          </w:tcPr>
          <w:p>
            <w:r>
              <w:rPr>
                <w:sz w:val="20"/>
              </w:rPr>
              <w:t>&gt; 50%</w:t>
            </w:r>
          </w:p>
        </w:tc>
      </w:tr>
    </w:tbl>
    <w:p/>
    <w:p>
      <w:pPr>
        <w:pStyle w:val="Heading2"/>
      </w:pPr>
      <w:r>
        <w:t>Un marche en pleine explosion</w:t>
      </w:r>
    </w:p>
    <w:p>
      <w:r>
        <w:rPr>
          <w:b/>
          <w:color w:val="3B2416"/>
          <w:sz w:val="22"/>
        </w:rPr>
        <w:t xml:space="preserve">EdTech Afrique : </w:t>
      </w:r>
      <w:r>
        <w:rPr>
          <w:sz w:val="22"/>
        </w:rPr>
        <w:t>7,3 milliards USD (2025) -&gt; 19,3 milliards USD (2034) (Source : IMARC Group)</w:t>
      </w:r>
    </w:p>
    <w:p>
      <w:r>
        <w:rPr>
          <w:b/>
          <w:color w:val="3B2416"/>
          <w:sz w:val="22"/>
        </w:rPr>
        <w:t xml:space="preserve">Financement tech Afrique : </w:t>
      </w:r>
      <w:r>
        <w:rPr>
          <w:sz w:val="22"/>
        </w:rPr>
        <w:t>4,1 milliards USD en 2025 (+25% vs 2024) (Source : Partech)</w:t>
      </w:r>
    </w:p>
    <w:p>
      <w:r>
        <w:rPr>
          <w:b/>
          <w:color w:val="3B2416"/>
          <w:sz w:val="22"/>
        </w:rPr>
        <w:t xml:space="preserve">Coworking Afrique : </w:t>
      </w:r>
      <w:r>
        <w:rPr>
          <w:sz w:val="22"/>
        </w:rPr>
        <w:t>447M USD (2023) -&gt; 1,56 milliards USD (2030) (Source : Coworking Europe)</w:t>
      </w:r>
    </w:p>
    <w:p>
      <w:r>
        <w:rPr>
          <w:b/>
          <w:color w:val="3B2416"/>
          <w:sz w:val="22"/>
        </w:rPr>
        <w:t xml:space="preserve">Startups Cote d'Ivoire : </w:t>
      </w:r>
      <w:r>
        <w:rPr>
          <w:sz w:val="22"/>
        </w:rPr>
        <w:t>350M USD leves en 2024 (+60% vs 2023) (Source : Stats &amp; Market Insights)</w:t>
      </w:r>
    </w:p>
    <w:p>
      <w:r>
        <w:rPr>
          <w:b/>
          <w:color w:val="3B2416"/>
          <w:sz w:val="22"/>
        </w:rPr>
        <w:t xml:space="preserve">Afrique francophone : </w:t>
      </w:r>
      <w:r>
        <w:rPr>
          <w:sz w:val="22"/>
        </w:rPr>
        <w:t>55% du volume de financement equity (hors Big 4) (Source : Partech 2025)</w:t>
      </w:r>
    </w:p>
    <w:p/>
    <w:p>
      <w:pPr>
        <w:pStyle w:val="Heading2"/>
      </w:pPr>
      <w:r>
        <w:t>Marche adressable par Etudesk</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shd w:fill="3B2416" w:val="clear"/>
          </w:tcPr>
          <w:p>
            <w:r>
              <w:rPr>
                <w:b/>
                <w:color w:val="FFFFFF"/>
                <w:sz w:val="20"/>
              </w:rPr>
              <w:t>Segment</w:t>
            </w:r>
          </w:p>
        </w:tc>
        <w:tc>
          <w:tcPr>
            <w:tcW w:type="dxa" w:w="3135"/>
            <w:shd w:fill="3B2416" w:val="clear"/>
          </w:tcPr>
          <w:p>
            <w:r>
              <w:rPr>
                <w:b/>
                <w:color w:val="FFFFFF"/>
                <w:sz w:val="20"/>
              </w:rPr>
              <w:t>TAM (UEMOA)</w:t>
            </w:r>
          </w:p>
        </w:tc>
        <w:tc>
          <w:tcPr>
            <w:tcW w:type="dxa" w:w="3135"/>
            <w:shd w:fill="3B2416" w:val="clear"/>
          </w:tcPr>
          <w:p>
            <w:r>
              <w:rPr>
                <w:b/>
                <w:color w:val="FFFFFF"/>
                <w:sz w:val="20"/>
              </w:rPr>
              <w:t>Objectif An 3</w:t>
            </w:r>
          </w:p>
        </w:tc>
      </w:tr>
      <w:tr>
        <w:tc>
          <w:tcPr>
            <w:tcW w:type="dxa" w:w="3135"/>
          </w:tcPr>
          <w:p>
            <w:r>
              <w:rPr>
                <w:sz w:val="20"/>
              </w:rPr>
              <w:t>Discover (gratuit)</w:t>
            </w:r>
          </w:p>
        </w:tc>
        <w:tc>
          <w:tcPr>
            <w:tcW w:type="dxa" w:w="3135"/>
          </w:tcPr>
          <w:p>
            <w:r>
              <w:rPr>
                <w:sz w:val="20"/>
              </w:rPr>
              <w:t>30M jeunes connectes</w:t>
            </w:r>
          </w:p>
        </w:tc>
        <w:tc>
          <w:tcPr>
            <w:tcW w:type="dxa" w:w="3135"/>
          </w:tcPr>
          <w:p>
            <w:r>
              <w:rPr>
                <w:sz w:val="20"/>
              </w:rPr>
              <w:t>1M utilisateurs</w:t>
            </w:r>
          </w:p>
        </w:tc>
      </w:tr>
      <w:tr>
        <w:tc>
          <w:tcPr>
            <w:tcW w:type="dxa" w:w="3135"/>
          </w:tcPr>
          <w:p>
            <w:r>
              <w:rPr>
                <w:sz w:val="20"/>
              </w:rPr>
              <w:t>Talent (5 000 FCFA/mois)</w:t>
            </w:r>
          </w:p>
        </w:tc>
        <w:tc>
          <w:tcPr>
            <w:tcW w:type="dxa" w:w="3135"/>
          </w:tcPr>
          <w:p>
            <w:r>
              <w:rPr>
                <w:sz w:val="20"/>
              </w:rPr>
              <w:t>3M professionnels mobile</w:t>
            </w:r>
          </w:p>
        </w:tc>
        <w:tc>
          <w:tcPr>
            <w:tcW w:type="dxa" w:w="3135"/>
          </w:tcPr>
          <w:p>
            <w:r>
              <w:rPr>
                <w:sz w:val="20"/>
              </w:rPr>
              <w:t>100K abonnes</w:t>
            </w:r>
          </w:p>
        </w:tc>
      </w:tr>
      <w:tr>
        <w:tc>
          <w:tcPr>
            <w:tcW w:type="dxa" w:w="3135"/>
          </w:tcPr>
          <w:p>
            <w:r>
              <w:rPr>
                <w:sz w:val="20"/>
              </w:rPr>
              <w:t>Pro (25 000 FCFA/mois)</w:t>
            </w:r>
          </w:p>
        </w:tc>
        <w:tc>
          <w:tcPr>
            <w:tcW w:type="dxa" w:w="3135"/>
          </w:tcPr>
          <w:p>
            <w:r>
              <w:rPr>
                <w:sz w:val="20"/>
              </w:rPr>
              <w:t>100K PME digitalisees</w:t>
            </w:r>
          </w:p>
        </w:tc>
        <w:tc>
          <w:tcPr>
            <w:tcW w:type="dxa" w:w="3135"/>
          </w:tcPr>
          <w:p>
            <w:r>
              <w:rPr>
                <w:sz w:val="20"/>
              </w:rPr>
              <w:t>10K abonnes</w:t>
            </w:r>
          </w:p>
        </w:tc>
      </w:tr>
      <w:tr>
        <w:tc>
          <w:tcPr>
            <w:tcW w:type="dxa" w:w="3135"/>
          </w:tcPr>
          <w:p>
            <w:r>
              <w:rPr>
                <w:sz w:val="20"/>
              </w:rPr>
              <w:t>Corporate (500 000 FCFA/mois)</w:t>
            </w:r>
          </w:p>
        </w:tc>
        <w:tc>
          <w:tcPr>
            <w:tcW w:type="dxa" w:w="3135"/>
          </w:tcPr>
          <w:p>
            <w:r>
              <w:rPr>
                <w:sz w:val="20"/>
              </w:rPr>
              <w:t>1 000 grandes entreprises</w:t>
            </w:r>
          </w:p>
        </w:tc>
        <w:tc>
          <w:tcPr>
            <w:tcW w:type="dxa" w:w="3135"/>
          </w:tcPr>
          <w:p>
            <w:r>
              <w:rPr>
                <w:sz w:val="20"/>
              </w:rPr>
              <w:t>500 clients</w:t>
            </w:r>
          </w:p>
        </w:tc>
      </w:tr>
    </w:tbl>
    <w:p/>
    <w:p>
      <w:pPr>
        <w:jc w:val="center"/>
      </w:pPr>
      <w:r>
        <w:rPr>
          <w:b/>
          <w:color w:val="3B2416"/>
          <w:sz w:val="26"/>
        </w:rPr>
        <w:t>Revenu potentiel annuel (An 3) : ~12 milliards FCFA (~18,3M USD)</w:t>
      </w:r>
    </w:p>
    <w:p>
      <w:r>
        <w:br w:type="page"/>
      </w:r>
    </w:p>
    <w:p>
      <w:pPr>
        <w:pStyle w:val="Heading1"/>
      </w:pPr>
      <w:r>
        <w:t>4. Le produit : comment ca marche concretement</w:t>
      </w:r>
    </w:p>
    <w:p>
      <w:r>
        <w:rPr>
          <w:sz w:val="22"/>
        </w:rPr>
        <w:t>Etudesk est une application mobile disponible sur iOS et Android. L'utilisateur telecharge l'app, cree son profil en 2 minutes, et accede immediatement a un assistant IA qui l'accompagne dans 3 modes :</w:t>
      </w:r>
    </w:p>
    <w:p/>
    <w:p>
      <w:r>
        <w:rPr>
          <w:b/>
          <w:color w:val="3B2416"/>
          <w:sz w:val="24"/>
        </w:rPr>
        <w:t xml:space="preserve">Mode Explorer : </w:t>
      </w:r>
      <w:r>
        <w:rPr>
          <w:sz w:val="22"/>
        </w:rPr>
        <w:t>L'utilisateur decouvre les opportunites (emplois, stages, freelance), les communautes professionnelles et les espaces de coworking. L'IA l'aide a chercher, postuler et generer son CV. C'est le "LinkedIn intelligent" de l'Afrique francophone.</w:t>
      </w:r>
    </w:p>
    <w:p>
      <w:r>
        <w:rPr>
          <w:b/>
          <w:color w:val="3B2416"/>
          <w:sz w:val="24"/>
        </w:rPr>
        <w:t xml:space="preserve">Mode Etudier : </w:t>
      </w:r>
      <w:r>
        <w:rPr>
          <w:sz w:val="22"/>
        </w:rPr>
        <w:t>L'IA devient un tuteur personnel. Elle enseigne, pose des quiz, cree des flashcards, des diagrammes et cherche des videos pertinentes. Elle evalue les competences de l'utilisateur et les enregistre dans son profil. C'est le "prof particulier IA" accessible a tous.</w:t>
      </w:r>
    </w:p>
    <w:p>
      <w:r>
        <w:rPr>
          <w:b/>
          <w:color w:val="3B2416"/>
          <w:sz w:val="24"/>
        </w:rPr>
        <w:t xml:space="preserve">Mode Organisation : </w:t>
      </w:r>
      <w:r>
        <w:rPr>
          <w:sz w:val="22"/>
        </w:rPr>
        <w:t>Les entreprises utilisent l'IA pour publier des offres, trier les candidatures, creer des communautes professionnelles et generer des rapports RH. C'est le "DRH augmente" pour les PME et grandes entreprises.</w:t>
      </w:r>
    </w:p>
    <w:p/>
    <w:p>
      <w:pPr>
        <w:pStyle w:val="Heading2"/>
      </w:pPr>
      <w:r>
        <w:t>La technologie derriere (en simple)</w:t>
      </w:r>
    </w:p>
    <w:p>
      <w:r>
        <w:rPr>
          <w:sz w:val="22"/>
        </w:rPr>
        <w:t>Etudesk utilise les modeles d'intelligence artificielle les plus avances (GPT-5 d'OpenAI) pour comprendre les besoins de chaque utilisateur et y repondre de facon personnalisee. L'application est construite en mobile-first (React Native/Expo) pour fonctionner parfaitement sur les smartphones les plus courants en Afrique de l'Ouest. Les donnees sont securisees et le systeme est concu pour passer a l'echelle.</w:t>
      </w:r>
    </w:p>
    <w:p/>
    <w:p>
      <w:r>
        <w:rPr>
          <w:b/>
          <w:color w:val="3B2416"/>
          <w:sz w:val="22"/>
        </w:rPr>
        <w:t xml:space="preserve">10 outils IA integres : </w:t>
      </w:r>
      <w:r>
        <w:rPr>
          <w:sz w:val="22"/>
        </w:rPr>
        <w:t>recherche intelligente, requetes de donnees, videos educatives, generation de documents (CV, rapports), generation d'images, diagrammes pedagogiques, lecture de documents, recherche web, gestion de competences, et execution d'actions (postuler, rejoindre, reserver).</w:t>
      </w:r>
    </w:p>
    <w:p>
      <w:r>
        <w:br w:type="page"/>
      </w:r>
    </w:p>
    <w:p>
      <w:pPr>
        <w:pStyle w:val="Heading1"/>
      </w:pPr>
      <w:r>
        <w:t>5. Le modele economique : comment Etudesk gagne de l'argent</w:t>
      </w:r>
    </w:p>
    <w:p>
      <w:pPr>
        <w:pStyle w:val="Heading2"/>
      </w:pPr>
      <w:r>
        <w:t>Abonnements (revenus recurrents)</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351"/>
            <w:shd w:fill="3B2416" w:val="clear"/>
          </w:tcPr>
          <w:p>
            <w:r>
              <w:rPr>
                <w:b/>
                <w:color w:val="FFFFFF"/>
                <w:sz w:val="20"/>
              </w:rPr>
              <w:t>Plan</w:t>
            </w:r>
          </w:p>
        </w:tc>
        <w:tc>
          <w:tcPr>
            <w:tcW w:type="dxa" w:w="2351"/>
            <w:shd w:fill="3B2416" w:val="clear"/>
          </w:tcPr>
          <w:p>
            <w:r>
              <w:rPr>
                <w:b/>
                <w:color w:val="FFFFFF"/>
                <w:sz w:val="20"/>
              </w:rPr>
              <w:t>Prix mensuel</w:t>
            </w:r>
          </w:p>
        </w:tc>
        <w:tc>
          <w:tcPr>
            <w:tcW w:type="dxa" w:w="2351"/>
            <w:shd w:fill="3B2416" w:val="clear"/>
          </w:tcPr>
          <w:p>
            <w:r>
              <w:rPr>
                <w:b/>
                <w:color w:val="FFFFFF"/>
                <w:sz w:val="20"/>
              </w:rPr>
              <w:t>Cible</w:t>
            </w:r>
          </w:p>
        </w:tc>
        <w:tc>
          <w:tcPr>
            <w:tcW w:type="dxa" w:w="2351"/>
            <w:shd w:fill="3B2416" w:val="clear"/>
          </w:tcPr>
          <w:p>
            <w:r>
              <w:rPr>
                <w:b/>
                <w:color w:val="FFFFFF"/>
                <w:sz w:val="20"/>
              </w:rPr>
              <w:t>Proposition de valeur</w:t>
            </w:r>
          </w:p>
        </w:tc>
      </w:tr>
      <w:tr>
        <w:tc>
          <w:tcPr>
            <w:tcW w:type="dxa" w:w="2351"/>
          </w:tcPr>
          <w:p>
            <w:r>
              <w:rPr>
                <w:sz w:val="20"/>
              </w:rPr>
              <w:t>Discover</w:t>
            </w:r>
          </w:p>
        </w:tc>
        <w:tc>
          <w:tcPr>
            <w:tcW w:type="dxa" w:w="2351"/>
          </w:tcPr>
          <w:p>
            <w:r>
              <w:rPr>
                <w:sz w:val="20"/>
              </w:rPr>
              <w:t>Gratuit</w:t>
            </w:r>
          </w:p>
        </w:tc>
        <w:tc>
          <w:tcPr>
            <w:tcW w:type="dxa" w:w="2351"/>
          </w:tcPr>
          <w:p>
            <w:r>
              <w:rPr>
                <w:sz w:val="20"/>
              </w:rPr>
              <w:t>Grand public</w:t>
            </w:r>
          </w:p>
        </w:tc>
        <w:tc>
          <w:tcPr>
            <w:tcW w:type="dxa" w:w="2351"/>
          </w:tcPr>
          <w:p>
            <w:r>
              <w:rPr>
                <w:sz w:val="20"/>
              </w:rPr>
              <w:t>5 credits IA/jour, decouverte</w:t>
            </w:r>
          </w:p>
        </w:tc>
      </w:tr>
      <w:tr>
        <w:tc>
          <w:tcPr>
            <w:tcW w:type="dxa" w:w="2351"/>
          </w:tcPr>
          <w:p>
            <w:r>
              <w:rPr>
                <w:sz w:val="20"/>
              </w:rPr>
              <w:t>Talent</w:t>
            </w:r>
          </w:p>
        </w:tc>
        <w:tc>
          <w:tcPr>
            <w:tcW w:type="dxa" w:w="2351"/>
          </w:tcPr>
          <w:p>
            <w:r>
              <w:rPr>
                <w:sz w:val="20"/>
              </w:rPr>
              <w:t>5 000 FCFA (~7,60 EUR)</w:t>
            </w:r>
          </w:p>
        </w:tc>
        <w:tc>
          <w:tcPr>
            <w:tcW w:type="dxa" w:w="2351"/>
          </w:tcPr>
          <w:p>
            <w:r>
              <w:rPr>
                <w:sz w:val="20"/>
              </w:rPr>
              <w:t>Professionnels</w:t>
            </w:r>
          </w:p>
        </w:tc>
        <w:tc>
          <w:tcPr>
            <w:tcW w:type="dxa" w:w="2351"/>
          </w:tcPr>
          <w:p>
            <w:r>
              <w:rPr>
                <w:sz w:val="20"/>
              </w:rPr>
              <w:t>30 credits/jour, CV, formation IA</w:t>
            </w:r>
          </w:p>
        </w:tc>
      </w:tr>
      <w:tr>
        <w:tc>
          <w:tcPr>
            <w:tcW w:type="dxa" w:w="2351"/>
          </w:tcPr>
          <w:p>
            <w:r>
              <w:rPr>
                <w:sz w:val="20"/>
              </w:rPr>
              <w:t>Pro</w:t>
            </w:r>
          </w:p>
        </w:tc>
        <w:tc>
          <w:tcPr>
            <w:tcW w:type="dxa" w:w="2351"/>
          </w:tcPr>
          <w:p>
            <w:r>
              <w:rPr>
                <w:sz w:val="20"/>
              </w:rPr>
              <w:t>25 000 FCFA (~38 EUR)</w:t>
            </w:r>
          </w:p>
        </w:tc>
        <w:tc>
          <w:tcPr>
            <w:tcW w:type="dxa" w:w="2351"/>
          </w:tcPr>
          <w:p>
            <w:r>
              <w:rPr>
                <w:sz w:val="20"/>
              </w:rPr>
              <w:t>PME &amp; Consultants</w:t>
            </w:r>
          </w:p>
        </w:tc>
        <w:tc>
          <w:tcPr>
            <w:tcW w:type="dxa" w:w="2351"/>
          </w:tcPr>
          <w:p>
            <w:r>
              <w:rPr>
                <w:sz w:val="20"/>
              </w:rPr>
              <w:t>100 credits/jour, recherche talents</w:t>
            </w:r>
          </w:p>
        </w:tc>
      </w:tr>
      <w:tr>
        <w:tc>
          <w:tcPr>
            <w:tcW w:type="dxa" w:w="2351"/>
          </w:tcPr>
          <w:p>
            <w:r>
              <w:rPr>
                <w:sz w:val="20"/>
              </w:rPr>
              <w:t>Corporate</w:t>
            </w:r>
          </w:p>
        </w:tc>
        <w:tc>
          <w:tcPr>
            <w:tcW w:type="dxa" w:w="2351"/>
          </w:tcPr>
          <w:p>
            <w:r>
              <w:rPr>
                <w:sz w:val="20"/>
              </w:rPr>
              <w:t>500 000 FCFA (~760 EUR)</w:t>
            </w:r>
          </w:p>
        </w:tc>
        <w:tc>
          <w:tcPr>
            <w:tcW w:type="dxa" w:w="2351"/>
          </w:tcPr>
          <w:p>
            <w:r>
              <w:rPr>
                <w:sz w:val="20"/>
              </w:rPr>
              <w:t>Grandes entreprises</w:t>
            </w:r>
          </w:p>
        </w:tc>
        <w:tc>
          <w:tcPr>
            <w:tcW w:type="dxa" w:w="2351"/>
          </w:tcPr>
          <w:p>
            <w:r>
              <w:rPr>
                <w:sz w:val="20"/>
              </w:rPr>
              <w:t>500 credits/jour, BI, integration</w:t>
            </w:r>
          </w:p>
        </w:tc>
      </w:tr>
    </w:tbl>
    <w:p/>
    <w:p>
      <w:pPr>
        <w:pStyle w:val="Heading2"/>
      </w:pPr>
      <w:r>
        <w:t>Pourquoi ce pricing fonctionne</w:t>
      </w:r>
    </w:p>
    <w:p>
      <w:pPr>
        <w:pStyle w:val="ListBullet"/>
      </w:pPr>
      <w:r>
        <w:t>5 000 FCFA/mois = le prix d'un sandwich au restaurant a Abidjan. C'est accessible pour un professionnel actif.</w:t>
      </w:r>
    </w:p>
    <w:p>
      <w:pPr>
        <w:pStyle w:val="ListBullet"/>
      </w:pPr>
      <w:r>
        <w:t>25 000 FCFA/mois = moins qu'une journee de consultant RH. ROI immediat pour une PME.</w:t>
      </w:r>
    </w:p>
    <w:p>
      <w:pPr>
        <w:pStyle w:val="ListBullet"/>
      </w:pPr>
      <w:r>
        <w:t>500 000 FCFA/mois = une fraction du budget recrutement d'une grande entreprise.</w:t>
      </w:r>
    </w:p>
    <w:p>
      <w:pPr>
        <w:pStyle w:val="ListBullet"/>
      </w:pPr>
      <w:r>
        <w:t>Le plan gratuit (Discover) sert de porte d'entree : l'utilisateur decouvre la valeur, puis convertit en payant.</w:t>
      </w:r>
    </w:p>
    <w:p/>
    <w:p>
      <w:pPr>
        <w:pStyle w:val="Heading2"/>
      </w:pPr>
      <w:r>
        <w:t>Programme d'affiliation (croissance virale)</w:t>
      </w:r>
    </w:p>
    <w:p>
      <w:r>
        <w:rPr>
          <w:sz w:val="22"/>
        </w:rPr>
        <w:t>Chaque utilisateur peut parrainer ses amis. Pour chaque parrainage aboutissant a un abonnement payant, le parrain recoit +10 credits IA/jour pendant 1 mois. Les clients Corporate recoivent en plus 15% de commission sur les revenus generes par leurs filleuls. Ce mecanisme cree une boucle de croissance organique.</w:t>
      </w:r>
    </w:p>
    <w:p/>
    <w:p>
      <w:pPr>
        <w:pStyle w:val="Heading2"/>
      </w:pPr>
      <w:r>
        <w:t>Paiement adapte au contexte UEMOA</w:t>
      </w:r>
    </w:p>
    <w:p>
      <w:r>
        <w:rPr>
          <w:sz w:val="22"/>
        </w:rPr>
        <w:t>Integration Paystack pour les paiements en FCFA. Compatible avec les moyens de paiement locaux (Orange Money, Wave, MTN Money, cartes bancaires). Facturation mensuelle avec factures telechargables depuis l'app.</w:t>
      </w:r>
    </w:p>
    <w:p>
      <w:r>
        <w:br w:type="page"/>
      </w:r>
    </w:p>
    <w:p>
      <w:pPr>
        <w:pStyle w:val="Heading1"/>
      </w:pPr>
      <w:r>
        <w:t>6. La traction et les preuves de concept</w:t>
      </w:r>
    </w:p>
    <w:p>
      <w:pPr>
        <w:pStyle w:val="Heading2"/>
      </w:pPr>
      <w:r>
        <w:t>Ce qui est deja construit</w:t>
      </w:r>
    </w:p>
    <w:p>
      <w:r>
        <w:rPr>
          <w:b/>
          <w:color w:val="3B2416"/>
          <w:sz w:val="22"/>
        </w:rPr>
        <w:t xml:space="preserve">Produit complet et fonctionnel. </w:t>
      </w:r>
      <w:r>
        <w:rPr>
          <w:sz w:val="22"/>
        </w:rPr>
        <w:t>Application mobile iOS/Android developpee, backend deploye, copilote IA operationnel avec 10 outils, 8 skills preconfigurees, systeme de guardrails de securite, et streaming en temps reel.</w:t>
      </w:r>
    </w:p>
    <w:p>
      <w:r>
        <w:rPr>
          <w:b/>
          <w:color w:val="3B2416"/>
          <w:sz w:val="22"/>
        </w:rPr>
        <w:t xml:space="preserve">Architecture scalable. </w:t>
      </w:r>
      <w:r>
        <w:rPr>
          <w:sz w:val="22"/>
        </w:rPr>
        <w:t>Monorepo avec backend Node.js/TypeScript, base de donnees PostgreSQL, recherche vectorielle Pinecone, API REST complete (50+ endpoints). L'architecture est concue pour supporter des millions d'utilisateurs.</w:t>
      </w:r>
    </w:p>
    <w:p>
      <w:r>
        <w:rPr>
          <w:b/>
          <w:color w:val="3B2416"/>
          <w:sz w:val="22"/>
        </w:rPr>
        <w:t xml:space="preserve">3 agents IA en production. </w:t>
      </w:r>
      <w:r>
        <w:rPr>
          <w:sz w:val="22"/>
        </w:rPr>
        <w:t>TalentAgent (explorer/etudier), OrgAgent (organisations) — chacun avec des guardrails de securite, des permissions granulaires et un systeme anti-fraude.</w:t>
      </w:r>
    </w:p>
    <w:p>
      <w:r>
        <w:rPr>
          <w:b/>
          <w:color w:val="3B2416"/>
          <w:sz w:val="22"/>
        </w:rPr>
        <w:t xml:space="preserve">Systeme de confirmation. </w:t>
      </w:r>
      <w:r>
        <w:rPr>
          <w:sz w:val="22"/>
        </w:rPr>
        <w:t>Protocole de validation pour toutes les actions sensibles (candidature, adhesion, reservation, publication d'offres) — securite enterprise-grade.</w:t>
      </w:r>
    </w:p>
    <w:p/>
    <w:p>
      <w:pPr>
        <w:pStyle w:val="Heading2"/>
      </w:pPr>
      <w:r>
        <w:t>Reconnaissance et credibilite</w:t>
      </w:r>
    </w:p>
    <w:p>
      <w:pPr>
        <w:pStyle w:val="ListBullet"/>
      </w:pPr>
      <w:r>
        <w:t>2x Laureat du Prix National d'Excellence (2019 et 2022) — Gouvernement de Cote d'Ivoire</w:t>
      </w:r>
    </w:p>
    <w:p>
      <w:pPr>
        <w:pStyle w:val="ListBullet"/>
      </w:pPr>
      <w:r>
        <w:t>Vainqueur local Seedstars World 2017 (concours dans 60 pays)</w:t>
      </w:r>
    </w:p>
    <w:p>
      <w:pPr>
        <w:pStyle w:val="ListBullet"/>
      </w:pPr>
      <w:r>
        <w:t>Top 10 African EdTech Startups — Forbes ('Next Billion' EdTech Prize, Dubai)</w:t>
      </w:r>
    </w:p>
    <w:p>
      <w:pPr>
        <w:pStyle w:val="ListBullet"/>
      </w:pPr>
      <w:r>
        <w:t>Couverture mediatique : Forbes, RFI, Africa Radio, CIO Mag</w:t>
      </w:r>
    </w:p>
    <w:p>
      <w:pPr>
        <w:pStyle w:val="ListBullet"/>
      </w:pPr>
      <w:r>
        <w:t>Missions avec AFD, Nations Unies, OIM, UNICEF, BOAD, BAD, Fondation Mastercard</w:t>
      </w:r>
    </w:p>
    <w:p>
      <w:pPr>
        <w:pStyle w:val="ListBullet"/>
      </w:pPr>
      <w:r>
        <w:t>Consultant Gouvernement CI : Primature, Ministere Economie Numerique, Ministere Jeunesse</w:t>
      </w:r>
    </w:p>
    <w:p>
      <w:pPr>
        <w:pStyle w:val="ListBullet"/>
      </w:pPr>
      <w:r>
        <w:t>Contribution aux cadres reglementaires : Strategie Nationale Data &amp; IA, Startup Act, Startup4Gouv</w:t>
      </w:r>
    </w:p>
    <w:p>
      <w:pPr>
        <w:pStyle w:val="ListBullet"/>
      </w:pPr>
      <w:r>
        <w:t>HEC Paris — 2e Prix du Meilleur Etudiant HEC-Paris Afrique 2022</w:t>
      </w:r>
    </w:p>
    <w:p>
      <w:r>
        <w:br w:type="page"/>
      </w:r>
    </w:p>
    <w:p>
      <w:pPr>
        <w:pStyle w:val="Heading1"/>
      </w:pPr>
      <w:r>
        <w:t>7. L'equipe : pourquoi nous</w:t>
      </w:r>
    </w:p>
    <w:p>
      <w:pPr>
        <w:pStyle w:val="Heading2"/>
      </w:pPr>
      <w:r>
        <w:t>Lamine BARRO — PDG &amp; Fondateur</w:t>
      </w:r>
    </w:p>
    <w:p>
      <w:r>
        <w:rPr>
          <w:sz w:val="22"/>
        </w:rPr>
        <w:t>Lamine Barro dirige Etudesk depuis sa creation en 2016. Il combine une expertise technique en intelligence artificielle, une connaissance approfondie du terrain (36 pays africains visites), et un reseau institutionnel de premier plan.</w:t>
      </w:r>
    </w:p>
    <w:p/>
    <w:p>
      <w:pPr>
        <w:pStyle w:val="ListBullet"/>
      </w:pPr>
      <w:r>
        <w:t>Executive-MBA HEC Paris (Challenge Plus Afrique, 2022) — 2e Prix Meilleur Etudiant</w:t>
      </w:r>
    </w:p>
    <w:p>
      <w:pPr>
        <w:pStyle w:val="ListBullet"/>
      </w:pPr>
      <w:r>
        <w:t>Certifie Founder Institute (Silicon Valley, 2016) — plus jeune certifie a 21 ans</w:t>
      </w:r>
    </w:p>
    <w:p>
      <w:pPr>
        <w:pStyle w:val="ListBullet"/>
      </w:pPr>
      <w:r>
        <w:t>Licence Sciences Biologiques, specialisation Bio-informatique — publication internationale</w:t>
      </w:r>
    </w:p>
    <w:p>
      <w:pPr>
        <w:pStyle w:val="ListBullet"/>
      </w:pPr>
      <w:r>
        <w:t>Consultant &amp; Ambassadeur de l'Innovation pour le Gouvernement de Cote d'Ivoire (depuis 2021)</w:t>
      </w:r>
    </w:p>
    <w:p>
      <w:pPr>
        <w:pStyle w:val="ListBullet"/>
      </w:pPr>
      <w:r>
        <w:t>Vice-President du #CI20 (association des startups d'excellence ivoiriennes)</w:t>
      </w:r>
    </w:p>
    <w:p>
      <w:pPr>
        <w:pStyle w:val="ListBullet"/>
      </w:pPr>
      <w:r>
        <w:t>Membre du Conseil Scientifique de la Mission Laique Francaise</w:t>
      </w:r>
    </w:p>
    <w:p>
      <w:pPr>
        <w:pStyle w:val="ListBullet"/>
      </w:pPr>
      <w:r>
        <w:t>88 chefs de gouvernements et diplomates rencontres</w:t>
      </w:r>
    </w:p>
    <w:p>
      <w:pPr>
        <w:pStyle w:val="ListBullet"/>
      </w:pPr>
      <w:r>
        <w:t>12+ milliards FCFA mobilises pour l'ecosysteme tech en Cote d'Ivoire</w:t>
      </w:r>
    </w:p>
    <w:p>
      <w:pPr>
        <w:pStyle w:val="ListBullet"/>
      </w:pPr>
      <w:r>
        <w:t>Interventions : Sommet Francophonie, BAD, Banque Mondiale, Mastercard Foundation, MWC Kigali</w:t>
      </w:r>
    </w:p>
    <w:p/>
    <w:p>
      <w:pPr>
        <w:pStyle w:val="Heading2"/>
      </w:pPr>
      <w:r>
        <w:t>Postes a recruter avec les fonds</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shd w:fill="3B2416" w:val="clear"/>
          </w:tcPr>
          <w:p>
            <w:r>
              <w:rPr>
                <w:b/>
                <w:color w:val="FFFFFF"/>
                <w:sz w:val="20"/>
              </w:rPr>
              <w:t>Poste</w:t>
            </w:r>
          </w:p>
        </w:tc>
        <w:tc>
          <w:tcPr>
            <w:tcW w:type="dxa" w:w="3135"/>
            <w:shd w:fill="3B2416" w:val="clear"/>
          </w:tcPr>
          <w:p>
            <w:r>
              <w:rPr>
                <w:b/>
                <w:color w:val="FFFFFF"/>
                <w:sz w:val="20"/>
              </w:rPr>
              <w:t>Profil</w:t>
            </w:r>
          </w:p>
        </w:tc>
        <w:tc>
          <w:tcPr>
            <w:tcW w:type="dxa" w:w="3135"/>
            <w:shd w:fill="3B2416" w:val="clear"/>
          </w:tcPr>
          <w:p>
            <w:r>
              <w:rPr>
                <w:b/>
                <w:color w:val="FFFFFF"/>
                <w:sz w:val="20"/>
              </w:rPr>
              <w:t>Objectif</w:t>
            </w:r>
          </w:p>
        </w:tc>
      </w:tr>
      <w:tr>
        <w:tc>
          <w:tcPr>
            <w:tcW w:type="dxa" w:w="3135"/>
          </w:tcPr>
          <w:p>
            <w:r>
              <w:rPr>
                <w:sz w:val="20"/>
              </w:rPr>
              <w:t>CTO / Lead Developer</w:t>
            </w:r>
          </w:p>
        </w:tc>
        <w:tc>
          <w:tcPr>
            <w:tcW w:type="dxa" w:w="3135"/>
          </w:tcPr>
          <w:p>
            <w:r>
              <w:rPr>
                <w:sz w:val="20"/>
              </w:rPr>
              <w:t>Ingenieur senior full-stack</w:t>
            </w:r>
          </w:p>
        </w:tc>
        <w:tc>
          <w:tcPr>
            <w:tcW w:type="dxa" w:w="3135"/>
          </w:tcPr>
          <w:p>
            <w:r>
              <w:rPr>
                <w:sz w:val="20"/>
              </w:rPr>
              <w:t>Piloter le dev produit &amp; IA</w:t>
            </w:r>
          </w:p>
        </w:tc>
      </w:tr>
      <w:tr>
        <w:tc>
          <w:tcPr>
            <w:tcW w:type="dxa" w:w="3135"/>
          </w:tcPr>
          <w:p>
            <w:r>
              <w:rPr>
                <w:sz w:val="20"/>
              </w:rPr>
              <w:t>Growth Manager</w:t>
            </w:r>
          </w:p>
        </w:tc>
        <w:tc>
          <w:tcPr>
            <w:tcW w:type="dxa" w:w="3135"/>
          </w:tcPr>
          <w:p>
            <w:r>
              <w:rPr>
                <w:sz w:val="20"/>
              </w:rPr>
              <w:t>Marketing digital UEMOA</w:t>
            </w:r>
          </w:p>
        </w:tc>
        <w:tc>
          <w:tcPr>
            <w:tcW w:type="dxa" w:w="3135"/>
          </w:tcPr>
          <w:p>
            <w:r>
              <w:rPr>
                <w:sz w:val="20"/>
              </w:rPr>
              <w:t>Acquisition &amp; retention utilisateurs</w:t>
            </w:r>
          </w:p>
        </w:tc>
      </w:tr>
      <w:tr>
        <w:tc>
          <w:tcPr>
            <w:tcW w:type="dxa" w:w="3135"/>
          </w:tcPr>
          <w:p>
            <w:r>
              <w:rPr>
                <w:sz w:val="20"/>
              </w:rPr>
              <w:t>Community Manager</w:t>
            </w:r>
          </w:p>
        </w:tc>
        <w:tc>
          <w:tcPr>
            <w:tcW w:type="dxa" w:w="3135"/>
          </w:tcPr>
          <w:p>
            <w:r>
              <w:rPr>
                <w:sz w:val="20"/>
              </w:rPr>
              <w:t>Bilingue FR/EN, reseaux sociaux</w:t>
            </w:r>
          </w:p>
        </w:tc>
        <w:tc>
          <w:tcPr>
            <w:tcW w:type="dxa" w:w="3135"/>
          </w:tcPr>
          <w:p>
            <w:r>
              <w:rPr>
                <w:sz w:val="20"/>
              </w:rPr>
              <w:t>Animation communaute &amp; contenu</w:t>
            </w:r>
          </w:p>
        </w:tc>
      </w:tr>
      <w:tr>
        <w:tc>
          <w:tcPr>
            <w:tcW w:type="dxa" w:w="3135"/>
          </w:tcPr>
          <w:p>
            <w:r>
              <w:rPr>
                <w:sz w:val="20"/>
              </w:rPr>
              <w:t>Charge(e) Partenariats</w:t>
            </w:r>
          </w:p>
        </w:tc>
        <w:tc>
          <w:tcPr>
            <w:tcW w:type="dxa" w:w="3135"/>
          </w:tcPr>
          <w:p>
            <w:r>
              <w:rPr>
                <w:sz w:val="20"/>
              </w:rPr>
              <w:t>Reseau corporate UEMOA</w:t>
            </w:r>
          </w:p>
        </w:tc>
        <w:tc>
          <w:tcPr>
            <w:tcW w:type="dxa" w:w="3135"/>
          </w:tcPr>
          <w:p>
            <w:r>
              <w:rPr>
                <w:sz w:val="20"/>
              </w:rPr>
              <w:t>Clients enterprise &amp; institutionnels</w:t>
            </w:r>
          </w:p>
        </w:tc>
      </w:tr>
    </w:tbl>
    <w:p>
      <w:r>
        <w:br w:type="page"/>
      </w:r>
    </w:p>
    <w:p>
      <w:pPr>
        <w:pStyle w:val="Heading1"/>
      </w:pPr>
      <w:r>
        <w:t>8. Utilisation des fonds : 60 millions FCFA</w:t>
      </w:r>
    </w:p>
    <w:p>
      <w:r>
        <w:rPr>
          <w:sz w:val="22"/>
        </w:rPr>
        <w:t>Les 60 millions FCFA leves serviront a structurer la societe et deployer un pilote commercial sur 10 villes UEMOA sur une periode de 18 mois.</w:t>
      </w:r>
    </w:p>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351"/>
            <w:shd w:fill="3B2416" w:val="clear"/>
          </w:tcPr>
          <w:p>
            <w:r>
              <w:rPr>
                <w:b/>
                <w:color w:val="FFFFFF"/>
                <w:sz w:val="20"/>
              </w:rPr>
              <w:t>Poste de depense</w:t>
            </w:r>
          </w:p>
        </w:tc>
        <w:tc>
          <w:tcPr>
            <w:tcW w:type="dxa" w:w="2351"/>
            <w:shd w:fill="3B2416" w:val="clear"/>
          </w:tcPr>
          <w:p>
            <w:r>
              <w:rPr>
                <w:b/>
                <w:color w:val="FFFFFF"/>
                <w:sz w:val="20"/>
              </w:rPr>
              <w:t>Montant (FCFA)</w:t>
            </w:r>
          </w:p>
        </w:tc>
        <w:tc>
          <w:tcPr>
            <w:tcW w:type="dxa" w:w="2351"/>
            <w:shd w:fill="3B2416" w:val="clear"/>
          </w:tcPr>
          <w:p>
            <w:r>
              <w:rPr>
                <w:b/>
                <w:color w:val="FFFFFF"/>
                <w:sz w:val="20"/>
              </w:rPr>
              <w:t>% du total</w:t>
            </w:r>
          </w:p>
        </w:tc>
        <w:tc>
          <w:tcPr>
            <w:tcW w:type="dxa" w:w="2351"/>
            <w:shd w:fill="3B2416" w:val="clear"/>
          </w:tcPr>
          <w:p>
            <w:r>
              <w:rPr>
                <w:b/>
                <w:color w:val="FFFFFF"/>
                <w:sz w:val="20"/>
              </w:rPr>
              <w:t>Details</w:t>
            </w:r>
          </w:p>
        </w:tc>
      </w:tr>
      <w:tr>
        <w:tc>
          <w:tcPr>
            <w:tcW w:type="dxa" w:w="2351"/>
          </w:tcPr>
          <w:p>
            <w:r>
              <w:rPr>
                <w:sz w:val="20"/>
              </w:rPr>
              <w:t>Equipe &amp; Recrutement</w:t>
            </w:r>
          </w:p>
        </w:tc>
        <w:tc>
          <w:tcPr>
            <w:tcW w:type="dxa" w:w="2351"/>
          </w:tcPr>
          <w:p>
            <w:r>
              <w:rPr>
                <w:sz w:val="20"/>
              </w:rPr>
              <w:t>22 000 000</w:t>
            </w:r>
          </w:p>
        </w:tc>
        <w:tc>
          <w:tcPr>
            <w:tcW w:type="dxa" w:w="2351"/>
          </w:tcPr>
          <w:p>
            <w:r>
              <w:rPr>
                <w:sz w:val="20"/>
              </w:rPr>
              <w:t>37%</w:t>
            </w:r>
          </w:p>
        </w:tc>
        <w:tc>
          <w:tcPr>
            <w:tcW w:type="dxa" w:w="2351"/>
          </w:tcPr>
          <w:p>
            <w:r>
              <w:rPr>
                <w:sz w:val="20"/>
              </w:rPr>
              <w:t>CTO, Growth, Community, Partenariats (salaires 18 mois)</w:t>
            </w:r>
          </w:p>
        </w:tc>
      </w:tr>
      <w:tr>
        <w:tc>
          <w:tcPr>
            <w:tcW w:type="dxa" w:w="2351"/>
          </w:tcPr>
          <w:p>
            <w:r>
              <w:rPr>
                <w:sz w:val="20"/>
              </w:rPr>
              <w:t>Infrastructure technique</w:t>
            </w:r>
          </w:p>
        </w:tc>
        <w:tc>
          <w:tcPr>
            <w:tcW w:type="dxa" w:w="2351"/>
          </w:tcPr>
          <w:p>
            <w:r>
              <w:rPr>
                <w:sz w:val="20"/>
              </w:rPr>
              <w:t>10 000 000</w:t>
            </w:r>
          </w:p>
        </w:tc>
        <w:tc>
          <w:tcPr>
            <w:tcW w:type="dxa" w:w="2351"/>
          </w:tcPr>
          <w:p>
            <w:r>
              <w:rPr>
                <w:sz w:val="20"/>
              </w:rPr>
              <w:t>17%</w:t>
            </w:r>
          </w:p>
        </w:tc>
        <w:tc>
          <w:tcPr>
            <w:tcW w:type="dxa" w:w="2351"/>
          </w:tcPr>
          <w:p>
            <w:r>
              <w:rPr>
                <w:sz w:val="20"/>
              </w:rPr>
              <w:t>Serveurs, API IA (OpenAI), Pinecone, hebergement, Paystack</w:t>
            </w:r>
          </w:p>
        </w:tc>
      </w:tr>
      <w:tr>
        <w:tc>
          <w:tcPr>
            <w:tcW w:type="dxa" w:w="2351"/>
          </w:tcPr>
          <w:p>
            <w:r>
              <w:rPr>
                <w:sz w:val="20"/>
              </w:rPr>
              <w:t>Deploiement 10 villes</w:t>
            </w:r>
          </w:p>
        </w:tc>
        <w:tc>
          <w:tcPr>
            <w:tcW w:type="dxa" w:w="2351"/>
          </w:tcPr>
          <w:p>
            <w:r>
              <w:rPr>
                <w:sz w:val="20"/>
              </w:rPr>
              <w:t>12 000 000</w:t>
            </w:r>
          </w:p>
        </w:tc>
        <w:tc>
          <w:tcPr>
            <w:tcW w:type="dxa" w:w="2351"/>
          </w:tcPr>
          <w:p>
            <w:r>
              <w:rPr>
                <w:sz w:val="20"/>
              </w:rPr>
              <w:t>20%</w:t>
            </w:r>
          </w:p>
        </w:tc>
        <w:tc>
          <w:tcPr>
            <w:tcW w:type="dxa" w:w="2351"/>
          </w:tcPr>
          <w:p>
            <w:r>
              <w:rPr>
                <w:sz w:val="20"/>
              </w:rPr>
              <w:t>Marketing local, ambassadeurs, evenements, partenariats universites</w:t>
            </w:r>
          </w:p>
        </w:tc>
      </w:tr>
      <w:tr>
        <w:tc>
          <w:tcPr>
            <w:tcW w:type="dxa" w:w="2351"/>
          </w:tcPr>
          <w:p>
            <w:r>
              <w:rPr>
                <w:sz w:val="20"/>
              </w:rPr>
              <w:t>Operations &amp; Juridique</w:t>
            </w:r>
          </w:p>
        </w:tc>
        <w:tc>
          <w:tcPr>
            <w:tcW w:type="dxa" w:w="2351"/>
          </w:tcPr>
          <w:p>
            <w:r>
              <w:rPr>
                <w:sz w:val="20"/>
              </w:rPr>
              <w:t>6 000 000</w:t>
            </w:r>
          </w:p>
        </w:tc>
        <w:tc>
          <w:tcPr>
            <w:tcW w:type="dxa" w:w="2351"/>
          </w:tcPr>
          <w:p>
            <w:r>
              <w:rPr>
                <w:sz w:val="20"/>
              </w:rPr>
              <w:t>10%</w:t>
            </w:r>
          </w:p>
        </w:tc>
        <w:tc>
          <w:tcPr>
            <w:tcW w:type="dxa" w:w="2351"/>
          </w:tcPr>
          <w:p>
            <w:r>
              <w:rPr>
                <w:sz w:val="20"/>
              </w:rPr>
              <w:t>Structuration societe, comptabilite, PI, conformite UEMOA</w:t>
            </w:r>
          </w:p>
        </w:tc>
      </w:tr>
      <w:tr>
        <w:tc>
          <w:tcPr>
            <w:tcW w:type="dxa" w:w="2351"/>
          </w:tcPr>
          <w:p>
            <w:r>
              <w:rPr>
                <w:sz w:val="20"/>
              </w:rPr>
              <w:t>Marketing digital</w:t>
            </w:r>
          </w:p>
        </w:tc>
        <w:tc>
          <w:tcPr>
            <w:tcW w:type="dxa" w:w="2351"/>
          </w:tcPr>
          <w:p>
            <w:r>
              <w:rPr>
                <w:sz w:val="20"/>
              </w:rPr>
              <w:t>7 000 000</w:t>
            </w:r>
          </w:p>
        </w:tc>
        <w:tc>
          <w:tcPr>
            <w:tcW w:type="dxa" w:w="2351"/>
          </w:tcPr>
          <w:p>
            <w:r>
              <w:rPr>
                <w:sz w:val="20"/>
              </w:rPr>
              <w:t>12%</w:t>
            </w:r>
          </w:p>
        </w:tc>
        <w:tc>
          <w:tcPr>
            <w:tcW w:type="dxa" w:w="2351"/>
          </w:tcPr>
          <w:p>
            <w:r>
              <w:rPr>
                <w:sz w:val="20"/>
              </w:rPr>
              <w:t>Publicite mobile, reseaux sociaux, SEO, contenu</w:t>
            </w:r>
          </w:p>
        </w:tc>
      </w:tr>
      <w:tr>
        <w:tc>
          <w:tcPr>
            <w:tcW w:type="dxa" w:w="2351"/>
          </w:tcPr>
          <w:p>
            <w:r>
              <w:rPr>
                <w:sz w:val="20"/>
              </w:rPr>
              <w:t>Reserve &amp; Imprevus</w:t>
            </w:r>
          </w:p>
        </w:tc>
        <w:tc>
          <w:tcPr>
            <w:tcW w:type="dxa" w:w="2351"/>
          </w:tcPr>
          <w:p>
            <w:r>
              <w:rPr>
                <w:sz w:val="20"/>
              </w:rPr>
              <w:t>3 000 000</w:t>
            </w:r>
          </w:p>
        </w:tc>
        <w:tc>
          <w:tcPr>
            <w:tcW w:type="dxa" w:w="2351"/>
          </w:tcPr>
          <w:p>
            <w:r>
              <w:rPr>
                <w:sz w:val="20"/>
              </w:rPr>
              <w:t>5%</w:t>
            </w:r>
          </w:p>
        </w:tc>
        <w:tc>
          <w:tcPr>
            <w:tcW w:type="dxa" w:w="2351"/>
          </w:tcPr>
          <w:p>
            <w:r>
              <w:rPr>
                <w:sz w:val="20"/>
              </w:rPr>
              <w:t>Marge de securite operationnelle</w:t>
            </w:r>
          </w:p>
        </w:tc>
      </w:tr>
    </w:tbl>
    <w:p/>
    <w:p>
      <w:pPr>
        <w:jc w:val="center"/>
      </w:pPr>
      <w:r>
        <w:rPr>
          <w:b/>
          <w:color w:val="3B2416"/>
          <w:sz w:val="28"/>
        </w:rPr>
        <w:t>TOTAL : 60 000 000 FCFA</w:t>
      </w:r>
    </w:p>
    <w:p/>
    <w:p>
      <w:pPr>
        <w:pStyle w:val="Heading2"/>
      </w:pPr>
      <w:r>
        <w:t>Pourquoi 60 millions FCFA suffisent</w:t>
      </w:r>
    </w:p>
    <w:p>
      <w:pPr>
        <w:pStyle w:val="ListBullet"/>
      </w:pPr>
      <w:r>
        <w:t>Le produit est deja construit. Nous ne partons pas de zero — l'application, le backend et le copilote IA sont operationnels. Cet investissement sert a commercialiser et deployer, pas a developper.</w:t>
      </w:r>
    </w:p>
    <w:p>
      <w:pPr>
        <w:pStyle w:val="ListBullet"/>
      </w:pPr>
      <w:r>
        <w:t>Le fondateur est operationnel et auto-finance depuis 10 ans. Les couts salariaux fondateur sont minimaux.</w:t>
      </w:r>
    </w:p>
    <w:p>
      <w:pPr>
        <w:pStyle w:val="ListBullet"/>
      </w:pPr>
      <w:r>
        <w:t>L'infrastructure cloud est pay-per-use. Les couts IA (OpenAI) sont proportionnels a l'usage : ~0,02-0,05 USD par interaction. A 10 000 utilisateurs actifs, le cout IA mensuel est d'environ 2M FCFA — maitrise.</w:t>
      </w:r>
    </w:p>
    <w:p>
      <w:pPr>
        <w:pStyle w:val="ListBullet"/>
      </w:pPr>
      <w:r>
        <w:t>Le deploiement UEMOA est facilite par la monnaie commune (FCFA), le systeme de paiement interoperable (BCEAO PI-SPI) et la libre circulation des personnes et services.</w:t>
      </w:r>
    </w:p>
    <w:p>
      <w:r>
        <w:br w:type="page"/>
      </w:r>
    </w:p>
    <w:p>
      <w:pPr>
        <w:pStyle w:val="Heading1"/>
      </w:pPr>
      <w:r>
        <w:t>9. Plan de deploiement : 10 villes, 18 mois</w:t>
      </w:r>
    </w:p>
    <w:p>
      <w:pPr>
        <w:pStyle w:val="Heading2"/>
      </w:pPr>
      <w:r>
        <w:t>Phase 1 — Fondation (Mois 1-4)</w:t>
      </w:r>
    </w:p>
    <w:p>
      <w:pPr>
        <w:pStyle w:val="ListBullet"/>
      </w:pPr>
      <w:r>
        <w:t>Structuration juridique de la SAS et mise en conformite</w:t>
      </w:r>
    </w:p>
    <w:p>
      <w:pPr>
        <w:pStyle w:val="ListBullet"/>
      </w:pPr>
      <w:r>
        <w:t>Recrutement CTO et Growth Manager</w:t>
      </w:r>
    </w:p>
    <w:p>
      <w:pPr>
        <w:pStyle w:val="ListBullet"/>
      </w:pPr>
      <w:r>
        <w:t>Lancement officiel app sur App Store et Google Play</w:t>
      </w:r>
    </w:p>
    <w:p>
      <w:pPr>
        <w:pStyle w:val="ListBullet"/>
      </w:pPr>
      <w:r>
        <w:t>Deploiement pilote Abidjan + Dakar (2 villes)</w:t>
      </w:r>
    </w:p>
    <w:p>
      <w:pPr>
        <w:pStyle w:val="ListBullet"/>
      </w:pPr>
      <w:r>
        <w:t>Partenariats avec 5 universites (CI + Senegal)</w:t>
      </w:r>
    </w:p>
    <w:p>
      <w:pPr>
        <w:pStyle w:val="ListBullet"/>
      </w:pPr>
      <w:r>
        <w:t>Objectif : 5 000 utilisateurs, 200 abonnes payants</w:t>
      </w:r>
    </w:p>
    <w:p/>
    <w:p>
      <w:pPr>
        <w:pStyle w:val="Heading2"/>
      </w:pPr>
      <w:r>
        <w:t>Phase 2 — Expansion (Mois 5-10)</w:t>
      </w:r>
    </w:p>
    <w:p>
      <w:pPr>
        <w:pStyle w:val="ListBullet"/>
      </w:pPr>
      <w:r>
        <w:t>Deploiement Bamako, Ouagadougou, Lome, Cotonou (+4 villes)</w:t>
      </w:r>
    </w:p>
    <w:p>
      <w:pPr>
        <w:pStyle w:val="ListBullet"/>
      </w:pPr>
      <w:r>
        <w:t>Recrutement Community Manager et Charge Partenariats</w:t>
      </w:r>
    </w:p>
    <w:p>
      <w:pPr>
        <w:pStyle w:val="ListBullet"/>
      </w:pPr>
      <w:r>
        <w:t>Signature 5 premiers clients Corporate</w:t>
      </w:r>
    </w:p>
    <w:p>
      <w:pPr>
        <w:pStyle w:val="ListBullet"/>
      </w:pPr>
      <w:r>
        <w:t>Partenariats espaces de coworking dans chaque ville</w:t>
      </w:r>
    </w:p>
    <w:p>
      <w:pPr>
        <w:pStyle w:val="ListBullet"/>
      </w:pPr>
      <w:r>
        <w:t>Programme ambassadeurs etudiants (1 par universite)</w:t>
      </w:r>
    </w:p>
    <w:p>
      <w:pPr>
        <w:pStyle w:val="ListBullet"/>
      </w:pPr>
      <w:r>
        <w:t>Objectif : 30 000 utilisateurs, 2 000 abonnes payants</w:t>
      </w:r>
    </w:p>
    <w:p/>
    <w:p>
      <w:pPr>
        <w:pStyle w:val="Heading2"/>
      </w:pPr>
      <w:r>
        <w:t>Phase 3 — Acceleration (Mois 11-18)</w:t>
      </w:r>
    </w:p>
    <w:p>
      <w:pPr>
        <w:pStyle w:val="ListBullet"/>
      </w:pPr>
      <w:r>
        <w:t>Deploiement Niamey, Conakry, Bissau, Nouakchott (+4 villes pour couvrir sous-region)</w:t>
      </w:r>
    </w:p>
    <w:p>
      <w:pPr>
        <w:pStyle w:val="ListBullet"/>
      </w:pPr>
      <w:r>
        <w:t>Premier chiffre d'affaires recurrent significatif</w:t>
      </w:r>
    </w:p>
    <w:p>
      <w:pPr>
        <w:pStyle w:val="ListBullet"/>
      </w:pPr>
      <w:r>
        <w:t>Lancement programme d'affiliation a grande echelle</w:t>
      </w:r>
    </w:p>
    <w:p>
      <w:pPr>
        <w:pStyle w:val="ListBullet"/>
      </w:pPr>
      <w:r>
        <w:t>Preparation Serie A (objectif : 300-500M FCFA)</w:t>
      </w:r>
    </w:p>
    <w:p>
      <w:pPr>
        <w:pStyle w:val="ListBullet"/>
      </w:pPr>
      <w:r>
        <w:t>Objectif : 100 000 utilisateurs, 8 000 abonnes payants, 50 clients Corporate</w:t>
      </w:r>
    </w:p>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351"/>
            <w:shd w:fill="3B2416" w:val="clear"/>
          </w:tcPr>
          <w:p>
            <w:r>
              <w:rPr>
                <w:b/>
                <w:color w:val="FFFFFF"/>
                <w:sz w:val="20"/>
              </w:rPr>
              <w:t>Ville</w:t>
            </w:r>
          </w:p>
        </w:tc>
        <w:tc>
          <w:tcPr>
            <w:tcW w:type="dxa" w:w="2351"/>
            <w:shd w:fill="3B2416" w:val="clear"/>
          </w:tcPr>
          <w:p>
            <w:r>
              <w:rPr>
                <w:b/>
                <w:color w:val="FFFFFF"/>
                <w:sz w:val="20"/>
              </w:rPr>
              <w:t>Pays</w:t>
            </w:r>
          </w:p>
        </w:tc>
        <w:tc>
          <w:tcPr>
            <w:tcW w:type="dxa" w:w="2351"/>
            <w:shd w:fill="3B2416" w:val="clear"/>
          </w:tcPr>
          <w:p>
            <w:r>
              <w:rPr>
                <w:b/>
                <w:color w:val="FFFFFF"/>
                <w:sz w:val="20"/>
              </w:rPr>
              <w:t>Phase</w:t>
            </w:r>
          </w:p>
        </w:tc>
        <w:tc>
          <w:tcPr>
            <w:tcW w:type="dxa" w:w="2351"/>
            <w:shd w:fill="3B2416" w:val="clear"/>
          </w:tcPr>
          <w:p>
            <w:r>
              <w:rPr>
                <w:b/>
                <w:color w:val="FFFFFF"/>
                <w:sz w:val="20"/>
              </w:rPr>
              <w:t>Justification</w:t>
            </w:r>
          </w:p>
        </w:tc>
      </w:tr>
      <w:tr>
        <w:tc>
          <w:tcPr>
            <w:tcW w:type="dxa" w:w="2351"/>
          </w:tcPr>
          <w:p>
            <w:r>
              <w:rPr>
                <w:sz w:val="20"/>
              </w:rPr>
              <w:t>Abidjan</w:t>
            </w:r>
          </w:p>
        </w:tc>
        <w:tc>
          <w:tcPr>
            <w:tcW w:type="dxa" w:w="2351"/>
          </w:tcPr>
          <w:p>
            <w:r>
              <w:rPr>
                <w:sz w:val="20"/>
              </w:rPr>
              <w:t>Cote d'Ivoire</w:t>
            </w:r>
          </w:p>
        </w:tc>
        <w:tc>
          <w:tcPr>
            <w:tcW w:type="dxa" w:w="2351"/>
          </w:tcPr>
          <w:p>
            <w:r>
              <w:rPr>
                <w:sz w:val="20"/>
              </w:rPr>
              <w:t>1</w:t>
            </w:r>
          </w:p>
        </w:tc>
        <w:tc>
          <w:tcPr>
            <w:tcW w:type="dxa" w:w="2351"/>
          </w:tcPr>
          <w:p>
            <w:r>
              <w:rPr>
                <w:sz w:val="20"/>
              </w:rPr>
              <w:t>Siege social, ecosysteme tech le plus dynamique UEMOA</w:t>
            </w:r>
          </w:p>
        </w:tc>
      </w:tr>
      <w:tr>
        <w:tc>
          <w:tcPr>
            <w:tcW w:type="dxa" w:w="2351"/>
          </w:tcPr>
          <w:p>
            <w:r>
              <w:rPr>
                <w:sz w:val="20"/>
              </w:rPr>
              <w:t>Dakar</w:t>
            </w:r>
          </w:p>
        </w:tc>
        <w:tc>
          <w:tcPr>
            <w:tcW w:type="dxa" w:w="2351"/>
          </w:tcPr>
          <w:p>
            <w:r>
              <w:rPr>
                <w:sz w:val="20"/>
              </w:rPr>
              <w:t>Senegal</w:t>
            </w:r>
          </w:p>
        </w:tc>
        <w:tc>
          <w:tcPr>
            <w:tcW w:type="dxa" w:w="2351"/>
          </w:tcPr>
          <w:p>
            <w:r>
              <w:rPr>
                <w:sz w:val="20"/>
              </w:rPr>
              <w:t>1</w:t>
            </w:r>
          </w:p>
        </w:tc>
        <w:tc>
          <w:tcPr>
            <w:tcW w:type="dxa" w:w="2351"/>
          </w:tcPr>
          <w:p>
            <w:r>
              <w:rPr>
                <w:sz w:val="20"/>
              </w:rPr>
              <w:t>2e economie UEMOA, hub tech francophone majeur</w:t>
            </w:r>
          </w:p>
        </w:tc>
      </w:tr>
      <w:tr>
        <w:tc>
          <w:tcPr>
            <w:tcW w:type="dxa" w:w="2351"/>
          </w:tcPr>
          <w:p>
            <w:r>
              <w:rPr>
                <w:sz w:val="20"/>
              </w:rPr>
              <w:t>Bamako</w:t>
            </w:r>
          </w:p>
        </w:tc>
        <w:tc>
          <w:tcPr>
            <w:tcW w:type="dxa" w:w="2351"/>
          </w:tcPr>
          <w:p>
            <w:r>
              <w:rPr>
                <w:sz w:val="20"/>
              </w:rPr>
              <w:t>Mali</w:t>
            </w:r>
          </w:p>
        </w:tc>
        <w:tc>
          <w:tcPr>
            <w:tcW w:type="dxa" w:w="2351"/>
          </w:tcPr>
          <w:p>
            <w:r>
              <w:rPr>
                <w:sz w:val="20"/>
              </w:rPr>
              <w:t>2</w:t>
            </w:r>
          </w:p>
        </w:tc>
        <w:tc>
          <w:tcPr>
            <w:tcW w:type="dxa" w:w="2351"/>
          </w:tcPr>
          <w:p>
            <w:r>
              <w:rPr>
                <w:sz w:val="20"/>
              </w:rPr>
              <w:t>3e PIB UEMOA, 23M habitants, forte demande jeunesse</w:t>
            </w:r>
          </w:p>
        </w:tc>
      </w:tr>
      <w:tr>
        <w:tc>
          <w:tcPr>
            <w:tcW w:type="dxa" w:w="2351"/>
          </w:tcPr>
          <w:p>
            <w:r>
              <w:rPr>
                <w:sz w:val="20"/>
              </w:rPr>
              <w:t>Ouagadougou</w:t>
            </w:r>
          </w:p>
        </w:tc>
        <w:tc>
          <w:tcPr>
            <w:tcW w:type="dxa" w:w="2351"/>
          </w:tcPr>
          <w:p>
            <w:r>
              <w:rPr>
                <w:sz w:val="20"/>
              </w:rPr>
              <w:t>Burkina Faso</w:t>
            </w:r>
          </w:p>
        </w:tc>
        <w:tc>
          <w:tcPr>
            <w:tcW w:type="dxa" w:w="2351"/>
          </w:tcPr>
          <w:p>
            <w:r>
              <w:rPr>
                <w:sz w:val="20"/>
              </w:rPr>
              <w:t>2</w:t>
            </w:r>
          </w:p>
        </w:tc>
        <w:tc>
          <w:tcPr>
            <w:tcW w:type="dxa" w:w="2351"/>
          </w:tcPr>
          <w:p>
            <w:r>
              <w:rPr>
                <w:sz w:val="20"/>
              </w:rPr>
              <w:t>23M habitants, ecosysteme tech en croissance</w:t>
            </w:r>
          </w:p>
        </w:tc>
      </w:tr>
      <w:tr>
        <w:tc>
          <w:tcPr>
            <w:tcW w:type="dxa" w:w="2351"/>
          </w:tcPr>
          <w:p>
            <w:r>
              <w:rPr>
                <w:sz w:val="20"/>
              </w:rPr>
              <w:t>Lome</w:t>
            </w:r>
          </w:p>
        </w:tc>
        <w:tc>
          <w:tcPr>
            <w:tcW w:type="dxa" w:w="2351"/>
          </w:tcPr>
          <w:p>
            <w:r>
              <w:rPr>
                <w:sz w:val="20"/>
              </w:rPr>
              <w:t>Togo</w:t>
            </w:r>
          </w:p>
        </w:tc>
        <w:tc>
          <w:tcPr>
            <w:tcW w:type="dxa" w:w="2351"/>
          </w:tcPr>
          <w:p>
            <w:r>
              <w:rPr>
                <w:sz w:val="20"/>
              </w:rPr>
              <w:t>2</w:t>
            </w:r>
          </w:p>
        </w:tc>
        <w:tc>
          <w:tcPr>
            <w:tcW w:type="dxa" w:w="2351"/>
          </w:tcPr>
          <w:p>
            <w:r>
              <w:rPr>
                <w:sz w:val="20"/>
              </w:rPr>
              <w:t>Hub logistique, gouvernement pro-digital</w:t>
            </w:r>
          </w:p>
        </w:tc>
      </w:tr>
      <w:tr>
        <w:tc>
          <w:tcPr>
            <w:tcW w:type="dxa" w:w="2351"/>
          </w:tcPr>
          <w:p>
            <w:r>
              <w:rPr>
                <w:sz w:val="20"/>
              </w:rPr>
              <w:t>Cotonou</w:t>
            </w:r>
          </w:p>
        </w:tc>
        <w:tc>
          <w:tcPr>
            <w:tcW w:type="dxa" w:w="2351"/>
          </w:tcPr>
          <w:p>
            <w:r>
              <w:rPr>
                <w:sz w:val="20"/>
              </w:rPr>
              <w:t>Benin</w:t>
            </w:r>
          </w:p>
        </w:tc>
        <w:tc>
          <w:tcPr>
            <w:tcW w:type="dxa" w:w="2351"/>
          </w:tcPr>
          <w:p>
            <w:r>
              <w:rPr>
                <w:sz w:val="20"/>
              </w:rPr>
              <w:t>2</w:t>
            </w:r>
          </w:p>
        </w:tc>
        <w:tc>
          <w:tcPr>
            <w:tcW w:type="dxa" w:w="2351"/>
          </w:tcPr>
          <w:p>
            <w:r>
              <w:rPr>
                <w:sz w:val="20"/>
              </w:rPr>
              <w:t>Croissance 6%, hub commercial regional</w:t>
            </w:r>
          </w:p>
        </w:tc>
      </w:tr>
      <w:tr>
        <w:tc>
          <w:tcPr>
            <w:tcW w:type="dxa" w:w="2351"/>
          </w:tcPr>
          <w:p>
            <w:r>
              <w:rPr>
                <w:sz w:val="20"/>
              </w:rPr>
              <w:t>Niamey</w:t>
            </w:r>
          </w:p>
        </w:tc>
        <w:tc>
          <w:tcPr>
            <w:tcW w:type="dxa" w:w="2351"/>
          </w:tcPr>
          <w:p>
            <w:r>
              <w:rPr>
                <w:sz w:val="20"/>
              </w:rPr>
              <w:t>Niger</w:t>
            </w:r>
          </w:p>
        </w:tc>
        <w:tc>
          <w:tcPr>
            <w:tcW w:type="dxa" w:w="2351"/>
          </w:tcPr>
          <w:p>
            <w:r>
              <w:rPr>
                <w:sz w:val="20"/>
              </w:rPr>
              <w:t>3</w:t>
            </w:r>
          </w:p>
        </w:tc>
        <w:tc>
          <w:tcPr>
            <w:tcW w:type="dxa" w:w="2351"/>
          </w:tcPr>
          <w:p>
            <w:r>
              <w:rPr>
                <w:sz w:val="20"/>
              </w:rPr>
              <w:t>Plus grande population UEMOA (27M), besoin massif</w:t>
            </w:r>
          </w:p>
        </w:tc>
      </w:tr>
      <w:tr>
        <w:tc>
          <w:tcPr>
            <w:tcW w:type="dxa" w:w="2351"/>
          </w:tcPr>
          <w:p>
            <w:r>
              <w:rPr>
                <w:sz w:val="20"/>
              </w:rPr>
              <w:t>Conakry</w:t>
            </w:r>
          </w:p>
        </w:tc>
        <w:tc>
          <w:tcPr>
            <w:tcW w:type="dxa" w:w="2351"/>
          </w:tcPr>
          <w:p>
            <w:r>
              <w:rPr>
                <w:sz w:val="20"/>
              </w:rPr>
              <w:t>Guinee</w:t>
            </w:r>
          </w:p>
        </w:tc>
        <w:tc>
          <w:tcPr>
            <w:tcW w:type="dxa" w:w="2351"/>
          </w:tcPr>
          <w:p>
            <w:r>
              <w:rPr>
                <w:sz w:val="20"/>
              </w:rPr>
              <w:t>3</w:t>
            </w:r>
          </w:p>
        </w:tc>
        <w:tc>
          <w:tcPr>
            <w:tcW w:type="dxa" w:w="2351"/>
          </w:tcPr>
          <w:p>
            <w:r>
              <w:rPr>
                <w:sz w:val="20"/>
              </w:rPr>
              <w:t>Extension zone francophone hors UEMOA</w:t>
            </w:r>
          </w:p>
        </w:tc>
      </w:tr>
      <w:tr>
        <w:tc>
          <w:tcPr>
            <w:tcW w:type="dxa" w:w="2351"/>
          </w:tcPr>
          <w:p>
            <w:r>
              <w:rPr>
                <w:sz w:val="20"/>
              </w:rPr>
              <w:t>Bissau</w:t>
            </w:r>
          </w:p>
        </w:tc>
        <w:tc>
          <w:tcPr>
            <w:tcW w:type="dxa" w:w="2351"/>
          </w:tcPr>
          <w:p>
            <w:r>
              <w:rPr>
                <w:sz w:val="20"/>
              </w:rPr>
              <w:t>Guinee-Bissau</w:t>
            </w:r>
          </w:p>
        </w:tc>
        <w:tc>
          <w:tcPr>
            <w:tcW w:type="dxa" w:w="2351"/>
          </w:tcPr>
          <w:p>
            <w:r>
              <w:rPr>
                <w:sz w:val="20"/>
              </w:rPr>
              <w:t>3</w:t>
            </w:r>
          </w:p>
        </w:tc>
        <w:tc>
          <w:tcPr>
            <w:tcW w:type="dxa" w:w="2351"/>
          </w:tcPr>
          <w:p>
            <w:r>
              <w:rPr>
                <w:sz w:val="20"/>
              </w:rPr>
              <w:t>Couverture UEMOA complete</w:t>
            </w:r>
          </w:p>
        </w:tc>
      </w:tr>
      <w:tr>
        <w:tc>
          <w:tcPr>
            <w:tcW w:type="dxa" w:w="2351"/>
          </w:tcPr>
          <w:p>
            <w:r>
              <w:rPr>
                <w:sz w:val="20"/>
              </w:rPr>
              <w:t>Nouakchott</w:t>
            </w:r>
          </w:p>
        </w:tc>
        <w:tc>
          <w:tcPr>
            <w:tcW w:type="dxa" w:w="2351"/>
          </w:tcPr>
          <w:p>
            <w:r>
              <w:rPr>
                <w:sz w:val="20"/>
              </w:rPr>
              <w:t>Mauritanie</w:t>
            </w:r>
          </w:p>
        </w:tc>
        <w:tc>
          <w:tcPr>
            <w:tcW w:type="dxa" w:w="2351"/>
          </w:tcPr>
          <w:p>
            <w:r>
              <w:rPr>
                <w:sz w:val="20"/>
              </w:rPr>
              <w:t>3</w:t>
            </w:r>
          </w:p>
        </w:tc>
        <w:tc>
          <w:tcPr>
            <w:tcW w:type="dxa" w:w="2351"/>
          </w:tcPr>
          <w:p>
            <w:r>
              <w:rPr>
                <w:sz w:val="20"/>
              </w:rPr>
              <w:t>Extension strategique Afrique de l'Ouest francophone</w:t>
            </w:r>
          </w:p>
        </w:tc>
      </w:tr>
    </w:tbl>
    <w:p>
      <w:r>
        <w:br w:type="page"/>
      </w:r>
    </w:p>
    <w:p>
      <w:pPr>
        <w:pStyle w:val="Heading1"/>
      </w:pPr>
      <w:r>
        <w:t>10. Projections financieres</w:t>
      </w:r>
    </w:p>
    <w:p>
      <w:r>
        <w:rPr>
          <w:sz w:val="22"/>
        </w:rPr>
        <w:t>Hypotheses conservatrices basees sur un taux de conversion free-to-paid de 8% et un churn mensuel de 5%.</w:t>
      </w:r>
    </w:p>
    <w:p/>
    <w:p>
      <w:pPr>
        <w:pStyle w:val="Heading2"/>
      </w:pPr>
      <w:r>
        <w:t>Projection sur 3 ans</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351"/>
            <w:shd w:fill="3B2416" w:val="clear"/>
          </w:tcPr>
          <w:p>
            <w:r>
              <w:rPr>
                <w:b/>
                <w:color w:val="FFFFFF"/>
                <w:sz w:val="20"/>
              </w:rPr>
              <w:t>Indicateur</w:t>
            </w:r>
          </w:p>
        </w:tc>
        <w:tc>
          <w:tcPr>
            <w:tcW w:type="dxa" w:w="2351"/>
            <w:shd w:fill="3B2416" w:val="clear"/>
          </w:tcPr>
          <w:p>
            <w:r>
              <w:rPr>
                <w:b/>
                <w:color w:val="FFFFFF"/>
                <w:sz w:val="20"/>
              </w:rPr>
              <w:t>An 1</w:t>
            </w:r>
          </w:p>
        </w:tc>
        <w:tc>
          <w:tcPr>
            <w:tcW w:type="dxa" w:w="2351"/>
            <w:shd w:fill="3B2416" w:val="clear"/>
          </w:tcPr>
          <w:p>
            <w:r>
              <w:rPr>
                <w:b/>
                <w:color w:val="FFFFFF"/>
                <w:sz w:val="20"/>
              </w:rPr>
              <w:t>An 2</w:t>
            </w:r>
          </w:p>
        </w:tc>
        <w:tc>
          <w:tcPr>
            <w:tcW w:type="dxa" w:w="2351"/>
            <w:shd w:fill="3B2416" w:val="clear"/>
          </w:tcPr>
          <w:p>
            <w:r>
              <w:rPr>
                <w:b/>
                <w:color w:val="FFFFFF"/>
                <w:sz w:val="20"/>
              </w:rPr>
              <w:t>An 3</w:t>
            </w:r>
          </w:p>
        </w:tc>
      </w:tr>
      <w:tr>
        <w:tc>
          <w:tcPr>
            <w:tcW w:type="dxa" w:w="2351"/>
          </w:tcPr>
          <w:p>
            <w:r>
              <w:rPr>
                <w:sz w:val="20"/>
              </w:rPr>
              <w:t>Utilisateurs totaux</w:t>
            </w:r>
          </w:p>
        </w:tc>
        <w:tc>
          <w:tcPr>
            <w:tcW w:type="dxa" w:w="2351"/>
          </w:tcPr>
          <w:p>
            <w:r>
              <w:rPr>
                <w:sz w:val="20"/>
              </w:rPr>
              <w:t>30 000</w:t>
            </w:r>
          </w:p>
        </w:tc>
        <w:tc>
          <w:tcPr>
            <w:tcW w:type="dxa" w:w="2351"/>
          </w:tcPr>
          <w:p>
            <w:r>
              <w:rPr>
                <w:sz w:val="20"/>
              </w:rPr>
              <w:t>150 000</w:t>
            </w:r>
          </w:p>
        </w:tc>
        <w:tc>
          <w:tcPr>
            <w:tcW w:type="dxa" w:w="2351"/>
          </w:tcPr>
          <w:p>
            <w:r>
              <w:rPr>
                <w:sz w:val="20"/>
              </w:rPr>
              <w:t>500 000</w:t>
            </w:r>
          </w:p>
        </w:tc>
      </w:tr>
      <w:tr>
        <w:tc>
          <w:tcPr>
            <w:tcW w:type="dxa" w:w="2351"/>
          </w:tcPr>
          <w:p>
            <w:r>
              <w:rPr>
                <w:sz w:val="20"/>
              </w:rPr>
              <w:t>Abonnes payants Talent</w:t>
            </w:r>
          </w:p>
        </w:tc>
        <w:tc>
          <w:tcPr>
            <w:tcW w:type="dxa" w:w="2351"/>
          </w:tcPr>
          <w:p>
            <w:r>
              <w:rPr>
                <w:sz w:val="20"/>
              </w:rPr>
              <w:t>1 500</w:t>
            </w:r>
          </w:p>
        </w:tc>
        <w:tc>
          <w:tcPr>
            <w:tcW w:type="dxa" w:w="2351"/>
          </w:tcPr>
          <w:p>
            <w:r>
              <w:rPr>
                <w:sz w:val="20"/>
              </w:rPr>
              <w:t>12 000</w:t>
            </w:r>
          </w:p>
        </w:tc>
        <w:tc>
          <w:tcPr>
            <w:tcW w:type="dxa" w:w="2351"/>
          </w:tcPr>
          <w:p>
            <w:r>
              <w:rPr>
                <w:sz w:val="20"/>
              </w:rPr>
              <w:t>40 000</w:t>
            </w:r>
          </w:p>
        </w:tc>
      </w:tr>
      <w:tr>
        <w:tc>
          <w:tcPr>
            <w:tcW w:type="dxa" w:w="2351"/>
          </w:tcPr>
          <w:p>
            <w:r>
              <w:rPr>
                <w:sz w:val="20"/>
              </w:rPr>
              <w:t>Abonnes payants Pro</w:t>
            </w:r>
          </w:p>
        </w:tc>
        <w:tc>
          <w:tcPr>
            <w:tcW w:type="dxa" w:w="2351"/>
          </w:tcPr>
          <w:p>
            <w:r>
              <w:rPr>
                <w:sz w:val="20"/>
              </w:rPr>
              <w:t>100</w:t>
            </w:r>
          </w:p>
        </w:tc>
        <w:tc>
          <w:tcPr>
            <w:tcW w:type="dxa" w:w="2351"/>
          </w:tcPr>
          <w:p>
            <w:r>
              <w:rPr>
                <w:sz w:val="20"/>
              </w:rPr>
              <w:t>800</w:t>
            </w:r>
          </w:p>
        </w:tc>
        <w:tc>
          <w:tcPr>
            <w:tcW w:type="dxa" w:w="2351"/>
          </w:tcPr>
          <w:p>
            <w:r>
              <w:rPr>
                <w:sz w:val="20"/>
              </w:rPr>
              <w:t>3 000</w:t>
            </w:r>
          </w:p>
        </w:tc>
      </w:tr>
      <w:tr>
        <w:tc>
          <w:tcPr>
            <w:tcW w:type="dxa" w:w="2351"/>
          </w:tcPr>
          <w:p>
            <w:r>
              <w:rPr>
                <w:sz w:val="20"/>
              </w:rPr>
              <w:t>Clients Corporate</w:t>
            </w:r>
          </w:p>
        </w:tc>
        <w:tc>
          <w:tcPr>
            <w:tcW w:type="dxa" w:w="2351"/>
          </w:tcPr>
          <w:p>
            <w:r>
              <w:rPr>
                <w:sz w:val="20"/>
              </w:rPr>
              <w:t>5</w:t>
            </w:r>
          </w:p>
        </w:tc>
        <w:tc>
          <w:tcPr>
            <w:tcW w:type="dxa" w:w="2351"/>
          </w:tcPr>
          <w:p>
            <w:r>
              <w:rPr>
                <w:sz w:val="20"/>
              </w:rPr>
              <w:t>25</w:t>
            </w:r>
          </w:p>
        </w:tc>
        <w:tc>
          <w:tcPr>
            <w:tcW w:type="dxa" w:w="2351"/>
          </w:tcPr>
          <w:p>
            <w:r>
              <w:rPr>
                <w:sz w:val="20"/>
              </w:rPr>
              <w:t>100</w:t>
            </w:r>
          </w:p>
        </w:tc>
      </w:tr>
      <w:tr>
        <w:tc>
          <w:tcPr>
            <w:tcW w:type="dxa" w:w="2351"/>
          </w:tcPr>
          <w:p>
            <w:r>
              <w:rPr>
                <w:sz w:val="20"/>
              </w:rPr>
              <w:t>CA mensuel recurrent (MRR)</w:t>
            </w:r>
          </w:p>
        </w:tc>
        <w:tc>
          <w:tcPr>
            <w:tcW w:type="dxa" w:w="2351"/>
          </w:tcPr>
          <w:p>
            <w:r>
              <w:rPr>
                <w:sz w:val="20"/>
              </w:rPr>
              <w:t>12M FCFA</w:t>
            </w:r>
          </w:p>
        </w:tc>
        <w:tc>
          <w:tcPr>
            <w:tcW w:type="dxa" w:w="2351"/>
          </w:tcPr>
          <w:p>
            <w:r>
              <w:rPr>
                <w:sz w:val="20"/>
              </w:rPr>
              <w:t>65M FCFA</w:t>
            </w:r>
          </w:p>
        </w:tc>
        <w:tc>
          <w:tcPr>
            <w:tcW w:type="dxa" w:w="2351"/>
          </w:tcPr>
          <w:p>
            <w:r>
              <w:rPr>
                <w:sz w:val="20"/>
              </w:rPr>
              <w:t>290M FCFA</w:t>
            </w:r>
          </w:p>
        </w:tc>
      </w:tr>
      <w:tr>
        <w:tc>
          <w:tcPr>
            <w:tcW w:type="dxa" w:w="2351"/>
          </w:tcPr>
          <w:p>
            <w:r>
              <w:rPr>
                <w:sz w:val="20"/>
              </w:rPr>
              <w:t>CA annuel (ARR)</w:t>
            </w:r>
          </w:p>
        </w:tc>
        <w:tc>
          <w:tcPr>
            <w:tcW w:type="dxa" w:w="2351"/>
          </w:tcPr>
          <w:p>
            <w:r>
              <w:rPr>
                <w:sz w:val="20"/>
              </w:rPr>
              <w:t>90M FCFA</w:t>
            </w:r>
          </w:p>
        </w:tc>
        <w:tc>
          <w:tcPr>
            <w:tcW w:type="dxa" w:w="2351"/>
          </w:tcPr>
          <w:p>
            <w:r>
              <w:rPr>
                <w:sz w:val="20"/>
              </w:rPr>
              <w:t>780M FCFA</w:t>
            </w:r>
          </w:p>
        </w:tc>
        <w:tc>
          <w:tcPr>
            <w:tcW w:type="dxa" w:w="2351"/>
          </w:tcPr>
          <w:p>
            <w:r>
              <w:rPr>
                <w:sz w:val="20"/>
              </w:rPr>
              <w:t>3,5 Mds FCFA</w:t>
            </w:r>
          </w:p>
        </w:tc>
      </w:tr>
      <w:tr>
        <w:tc>
          <w:tcPr>
            <w:tcW w:type="dxa" w:w="2351"/>
          </w:tcPr>
          <w:p>
            <w:r>
              <w:rPr>
                <w:sz w:val="20"/>
              </w:rPr>
              <w:t>Couts IA mensuels</w:t>
            </w:r>
          </w:p>
        </w:tc>
        <w:tc>
          <w:tcPr>
            <w:tcW w:type="dxa" w:w="2351"/>
          </w:tcPr>
          <w:p>
            <w:r>
              <w:rPr>
                <w:sz w:val="20"/>
              </w:rPr>
              <w:t>2M FCFA</w:t>
            </w:r>
          </w:p>
        </w:tc>
        <w:tc>
          <w:tcPr>
            <w:tcW w:type="dxa" w:w="2351"/>
          </w:tcPr>
          <w:p>
            <w:r>
              <w:rPr>
                <w:sz w:val="20"/>
              </w:rPr>
              <w:t>8M FCFA</w:t>
            </w:r>
          </w:p>
        </w:tc>
        <w:tc>
          <w:tcPr>
            <w:tcW w:type="dxa" w:w="2351"/>
          </w:tcPr>
          <w:p>
            <w:r>
              <w:rPr>
                <w:sz w:val="20"/>
              </w:rPr>
              <w:t>25M FCFA</w:t>
            </w:r>
          </w:p>
        </w:tc>
      </w:tr>
      <w:tr>
        <w:tc>
          <w:tcPr>
            <w:tcW w:type="dxa" w:w="2351"/>
          </w:tcPr>
          <w:p>
            <w:r>
              <w:rPr>
                <w:sz w:val="20"/>
              </w:rPr>
              <w:t>Marge brute</w:t>
            </w:r>
          </w:p>
        </w:tc>
        <w:tc>
          <w:tcPr>
            <w:tcW w:type="dxa" w:w="2351"/>
          </w:tcPr>
          <w:p>
            <w:r>
              <w:rPr>
                <w:sz w:val="20"/>
              </w:rPr>
              <w:t>~60%</w:t>
            </w:r>
          </w:p>
        </w:tc>
        <w:tc>
          <w:tcPr>
            <w:tcW w:type="dxa" w:w="2351"/>
          </w:tcPr>
          <w:p>
            <w:r>
              <w:rPr>
                <w:sz w:val="20"/>
              </w:rPr>
              <w:t>~70%</w:t>
            </w:r>
          </w:p>
        </w:tc>
        <w:tc>
          <w:tcPr>
            <w:tcW w:type="dxa" w:w="2351"/>
          </w:tcPr>
          <w:p>
            <w:r>
              <w:rPr>
                <w:sz w:val="20"/>
              </w:rPr>
              <w:t>~75%</w:t>
            </w:r>
          </w:p>
        </w:tc>
      </w:tr>
      <w:tr>
        <w:tc>
          <w:tcPr>
            <w:tcW w:type="dxa" w:w="2351"/>
          </w:tcPr>
          <w:p>
            <w:r>
              <w:rPr>
                <w:sz w:val="20"/>
              </w:rPr>
              <w:t>Point mort mensuel</w:t>
            </w:r>
          </w:p>
        </w:tc>
        <w:tc>
          <w:tcPr>
            <w:tcW w:type="dxa" w:w="2351"/>
          </w:tcPr>
          <w:p>
            <w:r>
              <w:rPr>
                <w:sz w:val="20"/>
              </w:rPr>
              <w:t>-</w:t>
            </w:r>
          </w:p>
        </w:tc>
        <w:tc>
          <w:tcPr>
            <w:tcW w:type="dxa" w:w="2351"/>
          </w:tcPr>
          <w:p>
            <w:r>
              <w:rPr>
                <w:sz w:val="20"/>
              </w:rPr>
              <w:t>Mois 18-20</w:t>
            </w:r>
          </w:p>
        </w:tc>
        <w:tc>
          <w:tcPr>
            <w:tcW w:type="dxa" w:w="2351"/>
          </w:tcPr>
          <w:p>
            <w:r>
              <w:rPr>
                <w:sz w:val="20"/>
              </w:rPr>
              <w:t>Atteint</w:t>
            </w:r>
          </w:p>
        </w:tc>
      </w:tr>
    </w:tbl>
    <w:p/>
    <w:p>
      <w:pPr>
        <w:pStyle w:val="Heading2"/>
      </w:pPr>
      <w:r>
        <w:t>Composition du CA (An 3)</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351"/>
            <w:shd w:fill="3B2416" w:val="clear"/>
          </w:tcPr>
          <w:p>
            <w:r>
              <w:rPr>
                <w:b/>
                <w:color w:val="FFFFFF"/>
                <w:sz w:val="20"/>
              </w:rPr>
              <w:t>Source</w:t>
            </w:r>
          </w:p>
        </w:tc>
        <w:tc>
          <w:tcPr>
            <w:tcW w:type="dxa" w:w="2351"/>
            <w:shd w:fill="3B2416" w:val="clear"/>
          </w:tcPr>
          <w:p>
            <w:r>
              <w:rPr>
                <w:b/>
                <w:color w:val="FFFFFF"/>
                <w:sz w:val="20"/>
              </w:rPr>
              <w:t>Volume</w:t>
            </w:r>
          </w:p>
        </w:tc>
        <w:tc>
          <w:tcPr>
            <w:tcW w:type="dxa" w:w="2351"/>
            <w:shd w:fill="3B2416" w:val="clear"/>
          </w:tcPr>
          <w:p>
            <w:r>
              <w:rPr>
                <w:b/>
                <w:color w:val="FFFFFF"/>
                <w:sz w:val="20"/>
              </w:rPr>
              <w:t>Prix unitaire</w:t>
            </w:r>
          </w:p>
        </w:tc>
        <w:tc>
          <w:tcPr>
            <w:tcW w:type="dxa" w:w="2351"/>
            <w:shd w:fill="3B2416" w:val="clear"/>
          </w:tcPr>
          <w:p>
            <w:r>
              <w:rPr>
                <w:b/>
                <w:color w:val="FFFFFF"/>
                <w:sz w:val="20"/>
              </w:rPr>
              <w:t>CA annuel</w:t>
            </w:r>
          </w:p>
        </w:tc>
      </w:tr>
      <w:tr>
        <w:tc>
          <w:tcPr>
            <w:tcW w:type="dxa" w:w="2351"/>
          </w:tcPr>
          <w:p>
            <w:r>
              <w:rPr>
                <w:sz w:val="20"/>
              </w:rPr>
              <w:t>Talent</w:t>
            </w:r>
          </w:p>
        </w:tc>
        <w:tc>
          <w:tcPr>
            <w:tcW w:type="dxa" w:w="2351"/>
          </w:tcPr>
          <w:p>
            <w:r>
              <w:rPr>
                <w:sz w:val="20"/>
              </w:rPr>
              <w:t>40 000 abonnes</w:t>
            </w:r>
          </w:p>
        </w:tc>
        <w:tc>
          <w:tcPr>
            <w:tcW w:type="dxa" w:w="2351"/>
          </w:tcPr>
          <w:p>
            <w:r>
              <w:rPr>
                <w:sz w:val="20"/>
              </w:rPr>
              <w:t>5 000 FCFA/mois</w:t>
            </w:r>
          </w:p>
        </w:tc>
        <w:tc>
          <w:tcPr>
            <w:tcW w:type="dxa" w:w="2351"/>
          </w:tcPr>
          <w:p>
            <w:r>
              <w:rPr>
                <w:sz w:val="20"/>
              </w:rPr>
              <w:t>2,4 Mds FCFA</w:t>
            </w:r>
          </w:p>
        </w:tc>
      </w:tr>
      <w:tr>
        <w:tc>
          <w:tcPr>
            <w:tcW w:type="dxa" w:w="2351"/>
          </w:tcPr>
          <w:p>
            <w:r>
              <w:rPr>
                <w:sz w:val="20"/>
              </w:rPr>
              <w:t>Pro</w:t>
            </w:r>
          </w:p>
        </w:tc>
        <w:tc>
          <w:tcPr>
            <w:tcW w:type="dxa" w:w="2351"/>
          </w:tcPr>
          <w:p>
            <w:r>
              <w:rPr>
                <w:sz w:val="20"/>
              </w:rPr>
              <w:t>3 000 abonnes</w:t>
            </w:r>
          </w:p>
        </w:tc>
        <w:tc>
          <w:tcPr>
            <w:tcW w:type="dxa" w:w="2351"/>
          </w:tcPr>
          <w:p>
            <w:r>
              <w:rPr>
                <w:sz w:val="20"/>
              </w:rPr>
              <w:t>25 000 FCFA/mois</w:t>
            </w:r>
          </w:p>
        </w:tc>
        <w:tc>
          <w:tcPr>
            <w:tcW w:type="dxa" w:w="2351"/>
          </w:tcPr>
          <w:p>
            <w:r>
              <w:rPr>
                <w:sz w:val="20"/>
              </w:rPr>
              <w:t>900M FCFA</w:t>
            </w:r>
          </w:p>
        </w:tc>
      </w:tr>
      <w:tr>
        <w:tc>
          <w:tcPr>
            <w:tcW w:type="dxa" w:w="2351"/>
          </w:tcPr>
          <w:p>
            <w:r>
              <w:rPr>
                <w:sz w:val="20"/>
              </w:rPr>
              <w:t>Corporate</w:t>
            </w:r>
          </w:p>
        </w:tc>
        <w:tc>
          <w:tcPr>
            <w:tcW w:type="dxa" w:w="2351"/>
          </w:tcPr>
          <w:p>
            <w:r>
              <w:rPr>
                <w:sz w:val="20"/>
              </w:rPr>
              <w:t>100 clients</w:t>
            </w:r>
          </w:p>
        </w:tc>
        <w:tc>
          <w:tcPr>
            <w:tcW w:type="dxa" w:w="2351"/>
          </w:tcPr>
          <w:p>
            <w:r>
              <w:rPr>
                <w:sz w:val="20"/>
              </w:rPr>
              <w:t>500 000 FCFA/mois</w:t>
            </w:r>
          </w:p>
        </w:tc>
        <w:tc>
          <w:tcPr>
            <w:tcW w:type="dxa" w:w="2351"/>
          </w:tcPr>
          <w:p>
            <w:r>
              <w:rPr>
                <w:sz w:val="20"/>
              </w:rPr>
              <w:t>600M FCFA</w:t>
            </w:r>
          </w:p>
        </w:tc>
      </w:tr>
      <w:tr>
        <w:tc>
          <w:tcPr>
            <w:tcW w:type="dxa" w:w="2351"/>
          </w:tcPr>
          <w:p>
            <w:r>
              <w:rPr>
                <w:sz w:val="20"/>
              </w:rPr>
              <w:t>TOTAL</w:t>
            </w:r>
          </w:p>
        </w:tc>
        <w:tc>
          <w:tcPr>
            <w:tcW w:type="dxa" w:w="2351"/>
          </w:tcPr>
          <w:p>
            <w:r>
              <w:rPr>
                <w:sz w:val="20"/>
              </w:rPr>
            </w:r>
          </w:p>
        </w:tc>
        <w:tc>
          <w:tcPr>
            <w:tcW w:type="dxa" w:w="2351"/>
          </w:tcPr>
          <w:p>
            <w:r>
              <w:rPr>
                <w:sz w:val="20"/>
              </w:rPr>
            </w:r>
          </w:p>
        </w:tc>
        <w:tc>
          <w:tcPr>
            <w:tcW w:type="dxa" w:w="2351"/>
          </w:tcPr>
          <w:p>
            <w:r>
              <w:rPr>
                <w:sz w:val="20"/>
              </w:rPr>
              <w:t>~3,9 Mds FCFA (~6M USD)</w:t>
            </w:r>
          </w:p>
        </w:tc>
      </w:tr>
    </w:tbl>
    <w:p/>
    <w:p>
      <w:r>
        <w:rPr>
          <w:sz w:val="20"/>
        </w:rPr>
        <w:t>Note : Ces projections sont conservatrices. Le potentiel maximal en An 3 (documentation technique) est de 12 milliards FCFA. Nous presentons ici un scenario prudent a ~30% de ce potentiel.</w:t>
      </w:r>
    </w:p>
    <w:p>
      <w:r>
        <w:br w:type="page"/>
      </w:r>
    </w:p>
    <w:p>
      <w:pPr>
        <w:pStyle w:val="Heading1"/>
      </w:pPr>
      <w:r>
        <w:t>11. Pourquoi investir maintenant</w:t>
      </w:r>
    </w:p>
    <w:p>
      <w:pPr>
        <w:pStyle w:val="Heading2"/>
      </w:pPr>
      <w:r>
        <w:t>7 raisons de croire en Etudesk aujourd'hui</w:t>
      </w:r>
    </w:p>
    <w:p>
      <w:r>
        <w:rPr>
          <w:b/>
          <w:color w:val="3B2416"/>
          <w:sz w:val="22"/>
        </w:rPr>
        <w:t xml:space="preserve">1. Le produit est pret. </w:t>
      </w:r>
      <w:r>
        <w:rPr>
          <w:sz w:val="22"/>
        </w:rPr>
        <w:t>Contrairement a la majorite des startups early-stage, Etudesk a deja son produit complet et fonctionnel. L'investissement va a la commercialisation, pas au developpement. Le risque technique est elimine.</w:t>
      </w:r>
    </w:p>
    <w:p>
      <w:r>
        <w:rPr>
          <w:b/>
          <w:color w:val="3B2416"/>
          <w:sz w:val="22"/>
        </w:rPr>
        <w:t xml:space="preserve">2. Le timing est parfait. </w:t>
      </w:r>
      <w:r>
        <w:rPr>
          <w:sz w:val="22"/>
        </w:rPr>
        <w:t>L'IA generative (GPT-5) rend possible aujourd'hui ce qui etait impossible il y a 2 ans : un tuteur personnalise et un assistant RH intelligent, accessibles en francais, sur mobile, pour une fraction du cout d'un professeur ou d'un recruteur.</w:t>
      </w:r>
    </w:p>
    <w:p>
      <w:r>
        <w:rPr>
          <w:b/>
          <w:color w:val="3B2416"/>
          <w:sz w:val="22"/>
        </w:rPr>
        <w:t xml:space="preserve">3. Le marche est vierge. </w:t>
      </w:r>
      <w:r>
        <w:rPr>
          <w:sz w:val="22"/>
        </w:rPr>
        <w:t>Aucun acteur ne combine emploi + formation + reseau + IA en Afrique francophone. LinkedIn est absent, les job boards locaux sont basiques. Le premier entrant serieux capturera le marche.</w:t>
      </w:r>
    </w:p>
    <w:p>
      <w:r>
        <w:rPr>
          <w:b/>
          <w:color w:val="3B2416"/>
          <w:sz w:val="22"/>
        </w:rPr>
        <w:t xml:space="preserve">4. Le dividende demographique est maintenant. </w:t>
      </w:r>
      <w:r>
        <w:rPr>
          <w:sz w:val="22"/>
        </w:rPr>
        <w:t>60% de la population UEMOA a moins de 25 ans. 10-12M de jeunes arrivent sur le marche chaque annee. Ce n'est pas un marche futur — c'est un besoin urgent et present.</w:t>
      </w:r>
    </w:p>
    <w:p>
      <w:r>
        <w:rPr>
          <w:b/>
          <w:color w:val="3B2416"/>
          <w:sz w:val="22"/>
        </w:rPr>
        <w:t xml:space="preserve">5. L'infrastructure digitale est prete. </w:t>
      </w:r>
      <w:r>
        <w:rPr>
          <w:sz w:val="22"/>
        </w:rPr>
        <w:t>185% de penetration mobile en CI, Starlink dans 25+ pays, BCEAO PI-SPI pour les paiements interoperables, strategies numeriques gouvernementales dans tous les pays UEMOA.</w:t>
      </w:r>
    </w:p>
    <w:p>
      <w:r>
        <w:rPr>
          <w:b/>
          <w:color w:val="3B2416"/>
          <w:sz w:val="22"/>
        </w:rPr>
        <w:t xml:space="preserve">6. Le fondateur a le reseau institutionnel. </w:t>
      </w:r>
      <w:r>
        <w:rPr>
          <w:sz w:val="22"/>
        </w:rPr>
        <w:t>Lamine Barro a travaille avec la Primature ivoirienne, la BAD, la Banque Mondiale, l'AFD, les Nations Unies. Ce reseau est un atout competitif impossible a reproduire — il ouvre les portes des ministeres et des grands comptes.</w:t>
      </w:r>
    </w:p>
    <w:p>
      <w:r>
        <w:rPr>
          <w:b/>
          <w:color w:val="3B2416"/>
          <w:sz w:val="22"/>
        </w:rPr>
        <w:t xml:space="preserve">7. Un retour sur investissement clair. </w:t>
      </w:r>
      <w:r>
        <w:rPr>
          <w:sz w:val="22"/>
        </w:rPr>
        <w:t>Avec 60M FCFA, l'objectif est d'atteindre le point mort en 18-20 mois, puis de lever une Serie A de 300-500M FCFA pour accelerer dans toute l'Afrique francophone. La valorisation cible de la Serie A represente un multiple significatif pour les investisseurs late seed.</w:t>
      </w:r>
    </w:p>
    <w:p>
      <w:r>
        <w:br w:type="page"/>
      </w:r>
    </w:p>
    <w:p>
      <w:pPr>
        <w:pStyle w:val="Heading1"/>
      </w:pPr>
      <w:r>
        <w:t>Synthese de l'opportunite</w:t>
      </w:r>
    </w:p>
    <w:tbl>
      <w:tblPr>
        <w:tblStyle w:val="LightGrid-Accent1"/>
        <w:tblW w:type="auto" w:w="0"/>
        <w:jc w:val="center"/>
        <w:tblLook w:firstColumn="1" w:firstRow="1" w:lastColumn="0" w:lastRow="0" w:noHBand="0" w:noVBand="1" w:val="04A0"/>
      </w:tblPr>
      <w:tblGrid>
        <w:gridCol w:w="4703"/>
        <w:gridCol w:w="4703"/>
      </w:tblGrid>
      <w:tr>
        <w:tc>
          <w:tcPr>
            <w:tcW w:type="dxa" w:w="4703"/>
            <w:shd w:fill="3B2416" w:val="clear"/>
          </w:tcPr>
          <w:p>
            <w:r>
              <w:rPr>
                <w:b/>
                <w:color w:val="FFFFFF"/>
                <w:sz w:val="20"/>
              </w:rPr>
              <w:t>Element</w:t>
            </w:r>
          </w:p>
        </w:tc>
        <w:tc>
          <w:tcPr>
            <w:tcW w:type="dxa" w:w="4703"/>
            <w:shd w:fill="3B2416" w:val="clear"/>
          </w:tcPr>
          <w:p>
            <w:r>
              <w:rPr>
                <w:b/>
                <w:color w:val="FFFFFF"/>
                <w:sz w:val="20"/>
              </w:rPr>
              <w:t>Detail</w:t>
            </w:r>
          </w:p>
        </w:tc>
      </w:tr>
      <w:tr>
        <w:tc>
          <w:tcPr>
            <w:tcW w:type="dxa" w:w="4703"/>
          </w:tcPr>
          <w:p>
            <w:r>
              <w:rPr>
                <w:sz w:val="20"/>
              </w:rPr>
              <w:t>Societe</w:t>
            </w:r>
          </w:p>
        </w:tc>
        <w:tc>
          <w:tcPr>
            <w:tcW w:type="dxa" w:w="4703"/>
          </w:tcPr>
          <w:p>
            <w:r>
              <w:rPr>
                <w:sz w:val="20"/>
              </w:rPr>
              <w:t>ETUDESK SAS (en cours de structuration)</w:t>
            </w:r>
          </w:p>
        </w:tc>
      </w:tr>
      <w:tr>
        <w:tc>
          <w:tcPr>
            <w:tcW w:type="dxa" w:w="4703"/>
          </w:tcPr>
          <w:p>
            <w:r>
              <w:rPr>
                <w:sz w:val="20"/>
              </w:rPr>
              <w:t>Siege</w:t>
            </w:r>
          </w:p>
        </w:tc>
        <w:tc>
          <w:tcPr>
            <w:tcW w:type="dxa" w:w="4703"/>
          </w:tcPr>
          <w:p>
            <w:r>
              <w:rPr>
                <w:sz w:val="20"/>
              </w:rPr>
              <w:t>Abidjan, Cote d'Ivoire</w:t>
            </w:r>
          </w:p>
        </w:tc>
      </w:tr>
      <w:tr>
        <w:tc>
          <w:tcPr>
            <w:tcW w:type="dxa" w:w="4703"/>
          </w:tcPr>
          <w:p>
            <w:r>
              <w:rPr>
                <w:sz w:val="20"/>
              </w:rPr>
              <w:t>Fondateur</w:t>
            </w:r>
          </w:p>
        </w:tc>
        <w:tc>
          <w:tcPr>
            <w:tcW w:type="dxa" w:w="4703"/>
          </w:tcPr>
          <w:p>
            <w:r>
              <w:rPr>
                <w:sz w:val="20"/>
              </w:rPr>
              <w:t>Lamine BARRO (PDG depuis 2016)</w:t>
            </w:r>
          </w:p>
        </w:tc>
      </w:tr>
      <w:tr>
        <w:tc>
          <w:tcPr>
            <w:tcW w:type="dxa" w:w="4703"/>
          </w:tcPr>
          <w:p>
            <w:r>
              <w:rPr>
                <w:sz w:val="20"/>
              </w:rPr>
              <w:t>Montant recherche</w:t>
            </w:r>
          </w:p>
        </w:tc>
        <w:tc>
          <w:tcPr>
            <w:tcW w:type="dxa" w:w="4703"/>
          </w:tcPr>
          <w:p>
            <w:r>
              <w:rPr>
                <w:sz w:val="20"/>
              </w:rPr>
              <w:t>60 000 000 FCFA (~91 500 EUR)</w:t>
            </w:r>
          </w:p>
        </w:tc>
      </w:tr>
      <w:tr>
        <w:tc>
          <w:tcPr>
            <w:tcW w:type="dxa" w:w="4703"/>
          </w:tcPr>
          <w:p>
            <w:r>
              <w:rPr>
                <w:sz w:val="20"/>
              </w:rPr>
              <w:t>Type</w:t>
            </w:r>
          </w:p>
        </w:tc>
        <w:tc>
          <w:tcPr>
            <w:tcW w:type="dxa" w:w="4703"/>
          </w:tcPr>
          <w:p>
            <w:r>
              <w:rPr>
                <w:sz w:val="20"/>
              </w:rPr>
              <w:t>Late Seed / Bridge Capital</w:t>
            </w:r>
          </w:p>
        </w:tc>
      </w:tr>
      <w:tr>
        <w:tc>
          <w:tcPr>
            <w:tcW w:type="dxa" w:w="4703"/>
          </w:tcPr>
          <w:p>
            <w:r>
              <w:rPr>
                <w:sz w:val="20"/>
              </w:rPr>
              <w:t>Utilisation</w:t>
            </w:r>
          </w:p>
        </w:tc>
        <w:tc>
          <w:tcPr>
            <w:tcW w:type="dxa" w:w="4703"/>
          </w:tcPr>
          <w:p>
            <w:r>
              <w:rPr>
                <w:sz w:val="20"/>
              </w:rPr>
              <w:t>Structuration + Deploiement pilote 10 villes UEMOA</w:t>
            </w:r>
          </w:p>
        </w:tc>
      </w:tr>
      <w:tr>
        <w:tc>
          <w:tcPr>
            <w:tcW w:type="dxa" w:w="4703"/>
          </w:tcPr>
          <w:p>
            <w:r>
              <w:rPr>
                <w:sz w:val="20"/>
              </w:rPr>
              <w:t>Horizon</w:t>
            </w:r>
          </w:p>
        </w:tc>
        <w:tc>
          <w:tcPr>
            <w:tcW w:type="dxa" w:w="4703"/>
          </w:tcPr>
          <w:p>
            <w:r>
              <w:rPr>
                <w:sz w:val="20"/>
              </w:rPr>
              <w:t>18 mois</w:t>
            </w:r>
          </w:p>
        </w:tc>
      </w:tr>
      <w:tr>
        <w:tc>
          <w:tcPr>
            <w:tcW w:type="dxa" w:w="4703"/>
          </w:tcPr>
          <w:p>
            <w:r>
              <w:rPr>
                <w:sz w:val="20"/>
              </w:rPr>
              <w:t>Objectif cle</w:t>
            </w:r>
          </w:p>
        </w:tc>
        <w:tc>
          <w:tcPr>
            <w:tcW w:type="dxa" w:w="4703"/>
          </w:tcPr>
          <w:p>
            <w:r>
              <w:rPr>
                <w:sz w:val="20"/>
              </w:rPr>
              <w:t>100 000 utilisateurs, 8 000 payants, 50 Corporate</w:t>
            </w:r>
          </w:p>
        </w:tc>
      </w:tr>
      <w:tr>
        <w:tc>
          <w:tcPr>
            <w:tcW w:type="dxa" w:w="4703"/>
          </w:tcPr>
          <w:p>
            <w:r>
              <w:rPr>
                <w:sz w:val="20"/>
              </w:rPr>
              <w:t>Point mort</w:t>
            </w:r>
          </w:p>
        </w:tc>
        <w:tc>
          <w:tcPr>
            <w:tcW w:type="dxa" w:w="4703"/>
          </w:tcPr>
          <w:p>
            <w:r>
              <w:rPr>
                <w:sz w:val="20"/>
              </w:rPr>
              <w:t>Mois 18-20</w:t>
            </w:r>
          </w:p>
        </w:tc>
      </w:tr>
      <w:tr>
        <w:tc>
          <w:tcPr>
            <w:tcW w:type="dxa" w:w="4703"/>
          </w:tcPr>
          <w:p>
            <w:r>
              <w:rPr>
                <w:sz w:val="20"/>
              </w:rPr>
              <w:t>Prochaine levee</w:t>
            </w:r>
          </w:p>
        </w:tc>
        <w:tc>
          <w:tcPr>
            <w:tcW w:type="dxa" w:w="4703"/>
          </w:tcPr>
          <w:p>
            <w:r>
              <w:rPr>
                <w:sz w:val="20"/>
              </w:rPr>
              <w:t>Serie A : 300-500M FCFA (horizon 18-24 mois)</w:t>
            </w:r>
          </w:p>
        </w:tc>
      </w:tr>
      <w:tr>
        <w:tc>
          <w:tcPr>
            <w:tcW w:type="dxa" w:w="4703"/>
          </w:tcPr>
          <w:p>
            <w:r>
              <w:rPr>
                <w:sz w:val="20"/>
              </w:rPr>
              <w:t>Secteur</w:t>
            </w:r>
          </w:p>
        </w:tc>
        <w:tc>
          <w:tcPr>
            <w:tcW w:type="dxa" w:w="4703"/>
          </w:tcPr>
          <w:p>
            <w:r>
              <w:rPr>
                <w:sz w:val="20"/>
              </w:rPr>
              <w:t>EdTech / HRTech / AI</w:t>
            </w:r>
          </w:p>
        </w:tc>
      </w:tr>
      <w:tr>
        <w:tc>
          <w:tcPr>
            <w:tcW w:type="dxa" w:w="4703"/>
          </w:tcPr>
          <w:p>
            <w:r>
              <w:rPr>
                <w:sz w:val="20"/>
              </w:rPr>
              <w:t>Marche cible</w:t>
            </w:r>
          </w:p>
        </w:tc>
        <w:tc>
          <w:tcPr>
            <w:tcW w:type="dxa" w:w="4703"/>
          </w:tcPr>
          <w:p>
            <w:r>
              <w:rPr>
                <w:sz w:val="20"/>
              </w:rPr>
              <w:t>Zone UEMOA (137M habitants, 8 pays)</w:t>
            </w:r>
          </w:p>
        </w:tc>
      </w:tr>
      <w:tr>
        <w:tc>
          <w:tcPr>
            <w:tcW w:type="dxa" w:w="4703"/>
          </w:tcPr>
          <w:p>
            <w:r>
              <w:rPr>
                <w:sz w:val="20"/>
              </w:rPr>
              <w:t>Avantage competitif</w:t>
            </w:r>
          </w:p>
        </w:tc>
        <w:tc>
          <w:tcPr>
            <w:tcW w:type="dxa" w:w="4703"/>
          </w:tcPr>
          <w:p>
            <w:r>
              <w:rPr>
                <w:sz w:val="20"/>
              </w:rPr>
              <w:t>1er copilote IA emploi+formation en francais, mobile-first, UEMOA</w:t>
            </w:r>
          </w:p>
        </w:tc>
      </w:tr>
    </w:tbl>
    <w:p/>
    <w:p/>
    <w:p>
      <w:pPr>
        <w:jc w:val="center"/>
      </w:pPr>
      <w:r>
        <w:rPr>
          <w:b/>
          <w:i/>
          <w:color w:val="3B2416"/>
          <w:sz w:val="28"/>
        </w:rPr>
        <w:t>"Democratiser l'acces aux opportunites professionnelles</w:t>
        <w:br/>
        <w:t>en Afrique de l'Ouest grace a l'intelligence artificielle."</w:t>
      </w:r>
    </w:p>
    <w:p/>
    <w:p/>
    <w:p>
      <w:pPr>
        <w:jc w:val="center"/>
      </w:pPr>
      <w:r>
        <w:rPr>
          <w:b/>
          <w:color w:val="3B2416"/>
          <w:sz w:val="28"/>
        </w:rPr>
        <w:t>CONTACT</w:t>
      </w:r>
    </w:p>
    <w:p>
      <w:pPr>
        <w:jc w:val="center"/>
      </w:pPr>
      <w:r>
        <w:rPr>
          <w:sz w:val="24"/>
        </w:rPr>
        <w:t>Lamine BARRO — PDG &amp; Fondateur</w:t>
      </w:r>
    </w:p>
    <w:p>
      <w:pPr>
        <w:jc w:val="center"/>
      </w:pPr>
      <w:r>
        <w:rPr>
          <w:sz w:val="22"/>
        </w:rPr>
        <w:t>lamine.barro@etudesk.org  |  +225 05 74 63 11 48</w:t>
      </w:r>
    </w:p>
    <w:p>
      <w:pPr>
        <w:jc w:val="center"/>
      </w:pPr>
      <w:r>
        <w:rPr>
          <w:sz w:val="22"/>
        </w:rPr>
        <w:t>Abidjan, Cote d'Ivoire</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B2416"/>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3B2416"/>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5A3E2B"/>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