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Wikipedia Entity Identification and Relationship Integration</w:t>
      </w:r>
    </w:p>
    <w:p>
      <w:r>
        <w:t>Methodology decision memo | Companion to SEM + EventKG Event Identification | 10 October 2026</w:t>
      </w:r>
    </w:p>
    <w:p>
      <w:r>
        <w:t>Decision: Implement in two development phases. Phase A uses EventKG alone as a practical end-to-end baseline. Phase B enriches the graph with canonical Wikidata identity and relationships, while assessing YAGO as an optional curated layer.</w:t>
      </w:r>
    </w:p>
    <w:p>
      <w:pPr>
        <w:pStyle w:val="Heading1"/>
      </w:pPr>
      <w:r>
        <w:t>1. Executive decision</w:t>
      </w:r>
    </w:p>
    <w:p>
      <w:r>
        <w:t>The earlier event research selected the Simple Event Model (SEM) as the conceptual event framework, and EventKG as the ready-to-use event inventory and event-centered relationship source. The subsequent question was whether equally mature public inventories exist for Wikipedia entities and their relationships. The answer is yes: EventKG itself publishes entity datasets, while Wikidata and YAGO provide complementary, reusable knowledge graphs.</w:t>
      </w:r>
    </w:p>
    <w:p>
      <w:r>
        <w:t>The engineering decision is deliberately phased: begin with EventKG-only extraction to validate feasibility and mapping; add Wikidata only where measurable gaps justify additional integration complexity. YAGO is an optional consistency-oriented source, not a mandatory dependency.</w:t>
      </w:r>
    </w:p>
    <w:p>
      <w:pPr>
        <w:pStyle w:val="Heading1"/>
      </w:pPr>
      <w:r>
        <w:t>2. Exploration and rationale</w:t>
      </w:r>
    </w:p>
    <w:p>
      <w:pPr>
        <w:pStyle w:val="Heading2"/>
      </w:pPr>
      <w:r>
        <w:t>2.1 Starting point: EventKG includes more than events</w:t>
      </w:r>
    </w:p>
    <w:p>
      <w:r>
        <w:t>EventKG V3.2 publishes entities, entity types, entity-to-entity non-temporal and temporal relations, event-to-event / event-to-entity relations, and separate link / co-mention datasets. It is therefore feasible to test a graph containing all three edge families without building custom NLP entity extraction first. The presence of a relation family in a published dump does not guarantee comprehensive per-entity coverage.</w:t>
      </w:r>
    </w:p>
    <w:p>
      <w:pPr>
        <w:pStyle w:val="Heading2"/>
      </w:pPr>
      <w:r>
        <w:t>2.2 Alternatives assessed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Source</w:t>
            </w:r>
          </w:p>
        </w:tc>
        <w:tc>
          <w:tcPr>
            <w:tcW w:type="dxa" w:w="2880"/>
          </w:tcPr>
          <w:p>
            <w:r>
              <w:t>Primary benefit</w:t>
            </w:r>
          </w:p>
        </w:tc>
        <w:tc>
          <w:tcPr>
            <w:tcW w:type="dxa" w:w="2880"/>
          </w:tcPr>
          <w:p>
            <w:r>
              <w:t>Constraint / trade-off</w:t>
            </w:r>
          </w:p>
        </w:tc>
      </w:tr>
      <w:tr>
        <w:tc>
          <w:tcPr>
            <w:tcW w:type="dxa" w:w="2880"/>
          </w:tcPr>
          <w:p>
            <w:r>
              <w:t>EventKG</w:t>
            </w:r>
          </w:p>
        </w:tc>
        <w:tc>
          <w:tcPr>
            <w:tcW w:type="dxa" w:w="2880"/>
          </w:tcPr>
          <w:p>
            <w:r>
              <w:t>Unified event-centric graph, prepackaged entity and event relations, named-graph provenance</w:t>
            </w:r>
          </w:p>
        </w:tc>
        <w:tc>
          <w:tcPr>
            <w:tcW w:type="dxa" w:w="2880"/>
          </w:tcPr>
          <w:p>
            <w:r>
              <w:t>Entity coverage may be selective; published snapshot may lag Wikipedia</w:t>
            </w:r>
          </w:p>
        </w:tc>
      </w:tr>
      <w:tr>
        <w:tc>
          <w:tcPr>
            <w:tcW w:type="dxa" w:w="2880"/>
          </w:tcPr>
          <w:p>
            <w:r>
              <w:t>Wikidata</w:t>
            </w:r>
          </w:p>
        </w:tc>
        <w:tc>
          <w:tcPr>
            <w:tcW w:type="dxa" w:w="2880"/>
          </w:tcPr>
          <w:p>
            <w:r>
              <w:t>Canonical QIDs, Wikipedia sitelinks, extensive typed claims, qualifiers and references</w:t>
            </w:r>
          </w:p>
        </w:tc>
        <w:tc>
          <w:tcPr>
            <w:tcW w:type="dxa" w:w="2880"/>
          </w:tcPr>
          <w:p>
            <w:r>
              <w:t>Complex, uneven ontology; large dumps and integration overhead</w:t>
            </w:r>
          </w:p>
        </w:tc>
      </w:tr>
      <w:tr>
        <w:tc>
          <w:tcPr>
            <w:tcW w:type="dxa" w:w="2880"/>
          </w:tcPr>
          <w:p>
            <w:r>
              <w:t>YAGO 4.6</w:t>
            </w:r>
          </w:p>
        </w:tc>
        <w:tc>
          <w:tcPr>
            <w:tcW w:type="dxa" w:w="2880"/>
          </w:tcPr>
          <w:p>
            <w:r>
              <w:t>Curated, constrained knowledge graph grounded in Wikidata</w:t>
            </w:r>
          </w:p>
        </w:tc>
        <w:tc>
          <w:tcPr>
            <w:tcW w:type="dxa" w:w="2880"/>
          </w:tcPr>
          <w:p>
            <w:r>
              <w:t>Filtered subset; additional identity and license checks</w:t>
            </w:r>
          </w:p>
        </w:tc>
      </w:tr>
      <w:tr>
        <w:tc>
          <w:tcPr>
            <w:tcW w:type="dxa" w:w="2880"/>
          </w:tcPr>
          <w:p>
            <w:r>
              <w:t>DBpedia</w:t>
            </w:r>
          </w:p>
        </w:tc>
        <w:tc>
          <w:tcPr>
            <w:tcW w:type="dxa" w:w="2880"/>
          </w:tcPr>
          <w:p>
            <w:r>
              <w:t>Wikipedia-derived semantic relations and ontology</w:t>
            </w:r>
          </w:p>
        </w:tc>
        <w:tc>
          <w:tcPr>
            <w:tcW w:type="dxa" w:w="2880"/>
          </w:tcPr>
          <w:p>
            <w:r>
              <w:t>Mapping quality and coverage vary by extraction and release</w:t>
            </w:r>
          </w:p>
        </w:tc>
      </w:tr>
    </w:tbl>
    <w:p>
      <w:pPr>
        <w:pStyle w:val="Heading2"/>
      </w:pPr>
      <w:r>
        <w:t>2.3 Why staged integration is preferable</w:t>
      </w:r>
    </w:p>
    <w:p>
      <w:r>
        <w:t>A larger number of integrated sources is not itself evidence of a better graph. Adding Wikidata increases ingestion and deduplication work, may introduce conflicting facts, and may undermine traceability unless claims retain their original provenance. A two-phase design establishes a controlled baseline and permits evidence-based enrichment.</w:t>
      </w:r>
    </w:p>
    <w:p>
      <w:pPr>
        <w:pStyle w:val="Heading1"/>
      </w:pPr>
      <w:r>
        <w:t>3. Conceptual foundations and data contract</w:t>
      </w:r>
    </w:p>
    <w:p>
      <w:r>
        <w:t>Keep the selected event semantics: SEM defines the event representation; EventKG supplies event instances and pre-existing event relationships. For non-event entities, use Wikidata QIDs as preferred canonical identifiers when available. Do not conflate a Wikipedia page URL, an EventKG URI, a Wikidata item, and a textual mention: these refer to distinct layers of representation, even if linked.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Object / relation</w:t>
            </w:r>
          </w:p>
        </w:tc>
        <w:tc>
          <w:tcPr>
            <w:tcW w:type="dxa" w:w="2880"/>
          </w:tcPr>
          <w:p>
            <w:r>
              <w:t>Initial authority</w:t>
            </w:r>
          </w:p>
        </w:tc>
        <w:tc>
          <w:tcPr>
            <w:tcW w:type="dxa" w:w="2880"/>
          </w:tcPr>
          <w:p>
            <w:r>
              <w:t>Target authority</w:t>
            </w:r>
          </w:p>
        </w:tc>
      </w:tr>
      <w:tr>
        <w:tc>
          <w:tcPr>
            <w:tcW w:type="dxa" w:w="2880"/>
          </w:tcPr>
          <w:p>
            <w:r>
              <w:t>Event identity</w:t>
            </w:r>
          </w:p>
        </w:tc>
        <w:tc>
          <w:tcPr>
            <w:tcW w:type="dxa" w:w="2880"/>
          </w:tcPr>
          <w:p>
            <w:r>
              <w:t>EventKG URI + source mappings</w:t>
            </w:r>
          </w:p>
        </w:tc>
        <w:tc>
          <w:tcPr>
            <w:tcW w:type="dxa" w:w="2880"/>
          </w:tcPr>
          <w:p>
            <w:r>
              <w:t>EventKG URI, linked to validated QID</w:t>
            </w:r>
          </w:p>
        </w:tc>
      </w:tr>
      <w:tr>
        <w:tc>
          <w:tcPr>
            <w:tcW w:type="dxa" w:w="2880"/>
          </w:tcPr>
          <w:p>
            <w:r>
              <w:t>Entity identity</w:t>
            </w:r>
          </w:p>
        </w:tc>
        <w:tc>
          <w:tcPr>
            <w:tcW w:type="dxa" w:w="2880"/>
          </w:tcPr>
          <w:p>
            <w:r>
              <w:t>EventKG URI</w:t>
            </w:r>
          </w:p>
        </w:tc>
        <w:tc>
          <w:tcPr>
            <w:tcW w:type="dxa" w:w="2880"/>
          </w:tcPr>
          <w:p>
            <w:r>
              <w:t>Wikidata QID (where confidently matched)</w:t>
            </w:r>
          </w:p>
        </w:tc>
      </w:tr>
      <w:tr>
        <w:tc>
          <w:tcPr>
            <w:tcW w:type="dxa" w:w="2880"/>
          </w:tcPr>
          <w:p>
            <w:r>
              <w:t>Event–event relations</w:t>
            </w:r>
          </w:p>
        </w:tc>
        <w:tc>
          <w:tcPr>
            <w:tcW w:type="dxa" w:w="2880"/>
          </w:tcPr>
          <w:p>
            <w:r>
              <w:t>EventKG typed predicates</w:t>
            </w:r>
          </w:p>
        </w:tc>
        <w:tc>
          <w:tcPr>
            <w:tcW w:type="dxa" w:w="2880"/>
          </w:tcPr>
          <w:p>
            <w:r>
              <w:t>EventKG with optional claim-level enrichment</w:t>
            </w:r>
          </w:p>
        </w:tc>
      </w:tr>
      <w:tr>
        <w:tc>
          <w:tcPr>
            <w:tcW w:type="dxa" w:w="2880"/>
          </w:tcPr>
          <w:p>
            <w:r>
              <w:t>Event–entity relations</w:t>
            </w:r>
          </w:p>
        </w:tc>
        <w:tc>
          <w:tcPr>
            <w:tcW w:type="dxa" w:w="2880"/>
          </w:tcPr>
          <w:p>
            <w:r>
              <w:t>EventKG typed predicates</w:t>
            </w:r>
          </w:p>
        </w:tc>
        <w:tc>
          <w:tcPr>
            <w:tcW w:type="dxa" w:w="2880"/>
          </w:tcPr>
          <w:p>
            <w:r>
              <w:t>EventKG + verified Wikidata statements</w:t>
            </w:r>
          </w:p>
        </w:tc>
      </w:tr>
      <w:tr>
        <w:tc>
          <w:tcPr>
            <w:tcW w:type="dxa" w:w="2880"/>
          </w:tcPr>
          <w:p>
            <w:r>
              <w:t>Entity–entity relations</w:t>
            </w:r>
          </w:p>
        </w:tc>
        <w:tc>
          <w:tcPr>
            <w:tcW w:type="dxa" w:w="2880"/>
          </w:tcPr>
          <w:p>
            <w:r>
              <w:t>EventKG typed relations</w:t>
            </w:r>
          </w:p>
        </w:tc>
        <w:tc>
          <w:tcPr>
            <w:tcW w:type="dxa" w:w="2880"/>
          </w:tcPr>
          <w:p>
            <w:r>
              <w:t>Wikidata claims; optional YAGO normalization</w:t>
            </w:r>
          </w:p>
        </w:tc>
      </w:tr>
      <w:tr>
        <w:tc>
          <w:tcPr>
            <w:tcW w:type="dxa" w:w="2880"/>
          </w:tcPr>
          <w:p>
            <w:r>
              <w:t>Provenance</w:t>
            </w:r>
          </w:p>
        </w:tc>
        <w:tc>
          <w:tcPr>
            <w:tcW w:type="dxa" w:w="2880"/>
          </w:tcPr>
          <w:p>
            <w:r>
              <w:t>EventKG named graph/source data</w:t>
            </w:r>
          </w:p>
        </w:tc>
        <w:tc>
          <w:tcPr>
            <w:tcW w:type="dxa" w:w="2880"/>
          </w:tcPr>
          <w:p>
            <w:r>
              <w:t>Source-specific statement, reference, version and extraction path</w:t>
            </w:r>
          </w:p>
        </w:tc>
      </w:tr>
    </w:tbl>
    <w:p>
      <w:r>
        <w:t>A link or co-mention is an association signal, not automatically an asserted semantic relation. Direct typed relations, temporal relations, Wikipedia hyperlinks, and co-mentions must remain distinguishable.</w:t>
      </w:r>
    </w:p>
    <w:p>
      <w:pPr>
        <w:pStyle w:val="Heading1"/>
      </w:pPr>
      <w:r>
        <w:t>4. Phase A — EventKG-only baseline</w:t>
      </w:r>
    </w:p>
    <w:p>
      <w:pPr>
        <w:pStyle w:val="Heading2"/>
      </w:pPr>
      <w:r>
        <w:t>4.1 Purpose</w:t>
      </w:r>
    </w:p>
    <w:p>
      <w:r>
        <w:t>Demonstrate a reproducible graph with existing entity and event identities, typed relationships, basic attributes, and available provenance, using a single dataset family. Avoid unneeded custom extraction while testing actual coverage.</w:t>
      </w:r>
    </w:p>
    <w:p>
      <w:pPr>
        <w:pStyle w:val="Heading2"/>
      </w:pPr>
      <w:r>
        <w:t>4.2 Published input datasets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EventKG V3.2 file</w:t>
            </w:r>
          </w:p>
        </w:tc>
        <w:tc>
          <w:tcPr>
            <w:tcW w:type="dxa" w:w="4320"/>
          </w:tcPr>
          <w:p>
            <w:r>
              <w:t>Intended use</w:t>
            </w:r>
          </w:p>
        </w:tc>
      </w:tr>
      <w:tr>
        <w:tc>
          <w:tcPr>
            <w:tcW w:type="dxa" w:w="4320"/>
          </w:tcPr>
          <w:p>
            <w:r>
              <w:t>events.nq; entities.nq</w:t>
            </w:r>
          </w:p>
        </w:tc>
        <w:tc>
          <w:tcPr>
            <w:tcW w:type="dxa" w:w="4320"/>
          </w:tcPr>
          <w:p>
            <w:r>
              <w:t>Base event/entity identifiers, labels, descriptions where supplied</w:t>
            </w:r>
          </w:p>
        </w:tc>
      </w:tr>
      <w:tr>
        <w:tc>
          <w:tcPr>
            <w:tcW w:type="dxa" w:w="4320"/>
          </w:tcPr>
          <w:p>
            <w:r>
              <w:t>types.nq; types_wikidata.nq</w:t>
            </w:r>
          </w:p>
        </w:tc>
        <w:tc>
          <w:tcPr>
            <w:tcW w:type="dxa" w:w="4320"/>
          </w:tcPr>
          <w:p>
            <w:r>
              <w:t>Type assignments and available ontology alignment</w:t>
            </w:r>
          </w:p>
        </w:tc>
      </w:tr>
      <w:tr>
        <w:tc>
          <w:tcPr>
            <w:tcW w:type="dxa" w:w="4320"/>
          </w:tcPr>
          <w:p>
            <w:r>
              <w:t>relations_events_base.nq</w:t>
            </w:r>
          </w:p>
        </w:tc>
        <w:tc>
          <w:tcPr>
            <w:tcW w:type="dxa" w:w="4320"/>
          </w:tcPr>
          <w:p>
            <w:r>
              <w:t>Event places, start and end times</w:t>
            </w:r>
          </w:p>
        </w:tc>
      </w:tr>
      <w:tr>
        <w:tc>
          <w:tcPr>
            <w:tcW w:type="dxa" w:w="4320"/>
          </w:tcPr>
          <w:p>
            <w:r>
              <w:t>relations_events_other.nq</w:t>
            </w:r>
          </w:p>
        </w:tc>
        <w:tc>
          <w:tcPr>
            <w:tcW w:type="dxa" w:w="4320"/>
          </w:tcPr>
          <w:p>
            <w:r>
              <w:t>Typed event-to-event and event-to-entity relationships</w:t>
            </w:r>
          </w:p>
        </w:tc>
      </w:tr>
      <w:tr>
        <w:tc>
          <w:tcPr>
            <w:tcW w:type="dxa" w:w="4320"/>
          </w:tcPr>
          <w:p>
            <w:r>
              <w:t>relations_entities_base.nq</w:t>
            </w:r>
          </w:p>
        </w:tc>
        <w:tc>
          <w:tcPr>
            <w:tcW w:type="dxa" w:w="4320"/>
          </w:tcPr>
          <w:p>
            <w:r>
              <w:t>Entity locations and temporal attributes</w:t>
            </w:r>
          </w:p>
        </w:tc>
      </w:tr>
      <w:tr>
        <w:tc>
          <w:tcPr>
            <w:tcW w:type="dxa" w:w="4320"/>
          </w:tcPr>
          <w:p>
            <w:r>
              <w:t>relations_entities_other.nq</w:t>
            </w:r>
          </w:p>
        </w:tc>
        <w:tc>
          <w:tcPr>
            <w:tcW w:type="dxa" w:w="4320"/>
          </w:tcPr>
          <w:p>
            <w:r>
              <w:t>Non-temporal entity–entity relationships</w:t>
            </w:r>
          </w:p>
        </w:tc>
      </w:tr>
      <w:tr>
        <w:tc>
          <w:tcPr>
            <w:tcW w:type="dxa" w:w="4320"/>
          </w:tcPr>
          <w:p>
            <w:r>
              <w:t>relations_entities_temporal.nq</w:t>
            </w:r>
          </w:p>
        </w:tc>
        <w:tc>
          <w:tcPr>
            <w:tcW w:type="dxa" w:w="4320"/>
          </w:tcPr>
          <w:p>
            <w:r>
              <w:t>Temporal entity–entity relationships</w:t>
            </w:r>
          </w:p>
        </w:tc>
      </w:tr>
      <w:tr>
        <w:tc>
          <w:tcPr>
            <w:tcW w:type="dxa" w:w="4320"/>
          </w:tcPr>
          <w:p>
            <w:r>
              <w:t>event_links.nq; entity_links.nq</w:t>
            </w:r>
          </w:p>
        </w:tc>
        <w:tc>
          <w:tcPr>
            <w:tcW w:type="dxa" w:w="4320"/>
          </w:tcPr>
          <w:p>
            <w:r>
              <w:t>Hyperlink-based associative evidence, separately tagged</w:t>
            </w:r>
          </w:p>
        </w:tc>
      </w:tr>
      <w:tr>
        <w:tc>
          <w:tcPr>
            <w:tcW w:type="dxa" w:w="4320"/>
          </w:tcPr>
          <w:p>
            <w:r>
              <w:t>event_mentions.nq; entity_mentions.nq</w:t>
            </w:r>
          </w:p>
        </w:tc>
        <w:tc>
          <w:tcPr>
            <w:tcW w:type="dxa" w:w="4320"/>
          </w:tcPr>
          <w:p>
            <w:r>
              <w:t>Co-mention evidence, separately tagged</w:t>
            </w:r>
          </w:p>
        </w:tc>
      </w:tr>
      <w:tr>
        <w:tc>
          <w:tcPr>
            <w:tcW w:type="dxa" w:w="4320"/>
          </w:tcPr>
          <w:p>
            <w:r>
              <w:t>schema.ttl; graphs.ttl</w:t>
            </w:r>
          </w:p>
        </w:tc>
        <w:tc>
          <w:tcPr>
            <w:tcW w:type="dxa" w:w="4320"/>
          </w:tcPr>
          <w:p>
            <w:r>
              <w:t>Vocabulary and named-graph/source interpretation</w:t>
            </w:r>
          </w:p>
        </w:tc>
      </w:tr>
    </w:tbl>
    <w:p>
      <w:pPr>
        <w:pStyle w:val="Heading2"/>
      </w:pPr>
      <w:r>
        <w:t>4.3 Execution steps</w:t>
      </w:r>
    </w:p>
    <w:p>
      <w:pPr>
        <w:pStyle w:val="ListBullet"/>
      </w:pPr>
      <w:r>
        <w:t>Pin the exact EventKG release and retrieval date; store source checksums and licensing metadata.</w:t>
      </w:r>
    </w:p>
    <w:p>
      <w:pPr>
        <w:pStyle w:val="ListBullet"/>
      </w:pPr>
      <w:r>
        <w:t>Read schema.ttl and sample source N-Quads to map actual predicates before designing graph transformations.</w:t>
      </w:r>
    </w:p>
    <w:p>
      <w:pPr>
        <w:pStyle w:val="ListBullet"/>
      </w:pPr>
      <w:r>
        <w:t>Import event and entity IDs, labels, types and canonical/source mappings.</w:t>
      </w:r>
    </w:p>
    <w:p>
      <w:pPr>
        <w:pStyle w:val="ListBullet"/>
      </w:pPr>
      <w:r>
        <w:t>Parse typed Event–Event, Event–Entity and Entity–Entity edges into normalized records, preserving raw predicate and source graph.</w:t>
      </w:r>
    </w:p>
    <w:p>
      <w:pPr>
        <w:pStyle w:val="ListBullet"/>
      </w:pPr>
      <w:r>
        <w:t>Import temporal and spatial attributes without assuming missing values imply unknown events/entities are invalid.</w:t>
      </w:r>
    </w:p>
    <w:p>
      <w:pPr>
        <w:pStyle w:val="ListBullet"/>
      </w:pPr>
      <w:r>
        <w:t>Keep hyperlink/co-mention edges in a separate evidence layer; never merge them into factual participation or causality.</w:t>
      </w:r>
    </w:p>
    <w:p>
      <w:pPr>
        <w:pStyle w:val="ListBullet"/>
      </w:pPr>
      <w:r>
        <w:t>Run small-sample manual checks on identity correctness, predicate meaning, duplicate facts and provenance availability.</w:t>
      </w:r>
    </w:p>
    <w:p>
      <w:pPr>
        <w:pStyle w:val="Heading2"/>
      </w:pPr>
      <w:r>
        <w:t>4.4 Deliverables and phase gate</w:t>
      </w:r>
    </w:p>
    <w:p>
      <w:r>
        <w:t>Deliverables: reproducible ingestion scripts, a source inventory, normalized nodes and edges, explicit predicate mapping, a relationship-coverage report and an error log. Proceed to Phase B only after the EventKG-only graph can be rebuilt and its gaps have been measured.</w:t>
      </w:r>
    </w:p>
    <w:p>
      <w:pPr>
        <w:pStyle w:val="Heading1"/>
      </w:pPr>
      <w:r>
        <w:t>5. Phase B — Wikidata enrichment; YAGO optional</w:t>
      </w:r>
    </w:p>
    <w:p>
      <w:pPr>
        <w:pStyle w:val="Heading2"/>
      </w:pPr>
      <w:r>
        <w:t>5.1 Purpose</w:t>
      </w:r>
    </w:p>
    <w:p>
      <w:r>
        <w:t>Close verified limitations of EventKG baseline, especially canonical identity coverage, entity typing, and missing entity–entity facts. Retain EventKG as the primary event-centric source rather than replacing its event semantics.</w:t>
      </w:r>
    </w:p>
    <w:p>
      <w:pPr>
        <w:pStyle w:val="Heading2"/>
      </w:pPr>
      <w:r>
        <w:t>5.2 Integration steps</w:t>
      </w:r>
    </w:p>
    <w:p>
      <w:pPr>
        <w:pStyle w:val="ListBullet"/>
      </w:pPr>
      <w:r>
        <w:t>Resolve EventKG entity/event URIs to Wikidata QIDs using explicit source mappings; ambiguous matches are queued for review.</w:t>
      </w:r>
    </w:p>
    <w:p>
      <w:pPr>
        <w:pStyle w:val="ListBullet"/>
      </w:pPr>
      <w:r>
        <w:t>Select a bounded set of Wikidata claim predicates relevant to project scope (e.g., part of, organization membership, geographic membership, participant).</w:t>
      </w:r>
    </w:p>
    <w:p>
      <w:pPr>
        <w:pStyle w:val="ListBullet"/>
      </w:pPr>
      <w:r>
        <w:t>Retrieve claims through targeted queries or a reproducible dump-based subset; store qualifiers, rank and references when available.</w:t>
      </w:r>
    </w:p>
    <w:p>
      <w:pPr>
        <w:pStyle w:val="ListBullet"/>
      </w:pPr>
      <w:r>
        <w:t>Align source property semantics to the graph vocabulary; never treat all predicates as interchangeable.</w:t>
      </w:r>
    </w:p>
    <w:p>
      <w:pPr>
        <w:pStyle w:val="ListBullet"/>
      </w:pPr>
      <w:r>
        <w:t>Deduplicate only semantically equivalent claims, retaining separate evidence records and original source identifiers.</w:t>
      </w:r>
    </w:p>
    <w:p>
      <w:pPr>
        <w:pStyle w:val="ListBullet"/>
      </w:pPr>
      <w:r>
        <w:t>Flag conflicting times, participant roles or entity matches rather than silently choosing a winner.</w:t>
      </w:r>
    </w:p>
    <w:p>
      <w:pPr>
        <w:pStyle w:val="ListBullet"/>
      </w:pPr>
      <w:r>
        <w:t>Evaluate YAGO 4.6 as an optional curated second view for typing or constrained relations; admit it only if it improves measured precision/consistency.</w:t>
      </w:r>
    </w:p>
    <w:p>
      <w:pPr>
        <w:pStyle w:val="Heading2"/>
      </w:pPr>
      <w:r>
        <w:t>5.3 Explicit decision rules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Observed result</w:t>
            </w:r>
          </w:p>
        </w:tc>
        <w:tc>
          <w:tcPr>
            <w:tcW w:type="dxa" w:w="4320"/>
          </w:tcPr>
          <w:p>
            <w:r>
              <w:t>Action</w:t>
            </w:r>
          </w:p>
        </w:tc>
      </w:tr>
      <w:tr>
        <w:tc>
          <w:tcPr>
            <w:tcW w:type="dxa" w:w="4320"/>
          </w:tcPr>
          <w:p>
            <w:r>
              <w:t>EventKG meets target coverage and quality</w:t>
            </w:r>
          </w:p>
        </w:tc>
        <w:tc>
          <w:tcPr>
            <w:tcW w:type="dxa" w:w="4320"/>
          </w:tcPr>
          <w:p>
            <w:r>
              <w:t>Do not import extra relations merely for volume</w:t>
            </w:r>
          </w:p>
        </w:tc>
      </w:tr>
      <w:tr>
        <w:tc>
          <w:tcPr>
            <w:tcW w:type="dxa" w:w="4320"/>
          </w:tcPr>
          <w:p>
            <w:r>
              <w:t>Missing canonical QIDs for important entities</w:t>
            </w:r>
          </w:p>
        </w:tc>
        <w:tc>
          <w:tcPr>
            <w:tcW w:type="dxa" w:w="4320"/>
          </w:tcPr>
          <w:p>
            <w:r>
              <w:t>Implement identity enrichment first</w:t>
            </w:r>
          </w:p>
        </w:tc>
      </w:tr>
      <w:tr>
        <w:tc>
          <w:tcPr>
            <w:tcW w:type="dxa" w:w="4320"/>
          </w:tcPr>
          <w:p>
            <w:r>
              <w:t>Important typed entity–entity edges absent</w:t>
            </w:r>
          </w:p>
        </w:tc>
        <w:tc>
          <w:tcPr>
            <w:tcW w:type="dxa" w:w="4320"/>
          </w:tcPr>
          <w:p>
            <w:r>
              <w:t>Import selected Wikidata predicates</w:t>
            </w:r>
          </w:p>
        </w:tc>
      </w:tr>
      <w:tr>
        <w:tc>
          <w:tcPr>
            <w:tcW w:type="dxa" w:w="4320"/>
          </w:tcPr>
          <w:p>
            <w:r>
              <w:t>Wikidata increases contradictory or poorly typed edges</w:t>
            </w:r>
          </w:p>
        </w:tc>
        <w:tc>
          <w:tcPr>
            <w:tcW w:type="dxa" w:w="4320"/>
          </w:tcPr>
          <w:p>
            <w:r>
              <w:t>Tighten constraints; consider YAGO as filtering aid</w:t>
            </w:r>
          </w:p>
        </w:tc>
      </w:tr>
      <w:tr>
        <w:tc>
          <w:tcPr>
            <w:tcW w:type="dxa" w:w="4320"/>
          </w:tcPr>
          <w:p>
            <w:r>
              <w:t>No measurable improvement from YAGO</w:t>
            </w:r>
          </w:p>
        </w:tc>
        <w:tc>
          <w:tcPr>
            <w:tcW w:type="dxa" w:w="4320"/>
          </w:tcPr>
          <w:p>
            <w:r>
              <w:t>Leave YAGO optional / out of production</w:t>
            </w:r>
          </w:p>
        </w:tc>
      </w:tr>
    </w:tbl>
    <w:p>
      <w:pPr>
        <w:pStyle w:val="Heading1"/>
      </w:pPr>
      <w:r>
        <w:t>6. Comparative evaluation plan</w:t>
      </w:r>
    </w:p>
    <w:p>
      <w:r>
        <w:t>Use a stratified sample spanning persons, organizations, places, artifacts, military units and domain-specific entities, plus major and minor events. Establish a gold subset independently of the evaluated sources. Compare Phase A with Phase B on the same sample and fixed predicate inventory.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Definition / diagnostic</w:t>
            </w:r>
          </w:p>
        </w:tc>
      </w:tr>
      <w:tr>
        <w:tc>
          <w:tcPr>
            <w:tcW w:type="dxa" w:w="4320"/>
          </w:tcPr>
          <w:p>
            <w:r>
              <w:t>Identity coverage</w:t>
            </w:r>
          </w:p>
        </w:tc>
        <w:tc>
          <w:tcPr>
            <w:tcW w:type="dxa" w:w="4320"/>
          </w:tcPr>
          <w:p>
            <w:r>
              <w:t>Share of gold entities with a correct canonical ID</w:t>
            </w:r>
          </w:p>
        </w:tc>
      </w:tr>
      <w:tr>
        <w:tc>
          <w:tcPr>
            <w:tcW w:type="dxa" w:w="4320"/>
          </w:tcPr>
          <w:p>
            <w:r>
              <w:t>Entity precision</w:t>
            </w:r>
          </w:p>
        </w:tc>
        <w:tc>
          <w:tcPr>
            <w:tcW w:type="dxa" w:w="4320"/>
          </w:tcPr>
          <w:p>
            <w:r>
              <w:t>Correctly accepted entities / accepted entity candidates</w:t>
            </w:r>
          </w:p>
        </w:tc>
      </w:tr>
      <w:tr>
        <w:tc>
          <w:tcPr>
            <w:tcW w:type="dxa" w:w="4320"/>
          </w:tcPr>
          <w:p>
            <w:r>
              <w:t>Typed-relation precision</w:t>
            </w:r>
          </w:p>
        </w:tc>
        <w:tc>
          <w:tcPr>
            <w:tcW w:type="dxa" w:w="4320"/>
          </w:tcPr>
          <w:p>
            <w:r>
              <w:t>Correct asserted typed edges / sampled asserted edges</w:t>
            </w:r>
          </w:p>
        </w:tc>
      </w:tr>
      <w:tr>
        <w:tc>
          <w:tcPr>
            <w:tcW w:type="dxa" w:w="4320"/>
          </w:tcPr>
          <w:p>
            <w:r>
              <w:t>Typed-relation recall</w:t>
            </w:r>
          </w:p>
        </w:tc>
        <w:tc>
          <w:tcPr>
            <w:tcW w:type="dxa" w:w="4320"/>
          </w:tcPr>
          <w:p>
            <w:r>
              <w:t>Observed gold edges recovered / independently annotated gold edges</w:t>
            </w:r>
          </w:p>
        </w:tc>
      </w:tr>
      <w:tr>
        <w:tc>
          <w:tcPr>
            <w:tcW w:type="dxa" w:w="4320"/>
          </w:tcPr>
          <w:p>
            <w:r>
              <w:t>Event–entity coverage</w:t>
            </w:r>
          </w:p>
        </w:tc>
        <w:tc>
          <w:tcPr>
            <w:tcW w:type="dxa" w:w="4320"/>
          </w:tcPr>
          <w:p>
            <w:r>
              <w:t>Known participant/place/role facts recovered for sampled events</w:t>
            </w:r>
          </w:p>
        </w:tc>
      </w:tr>
      <w:tr>
        <w:tc>
          <w:tcPr>
            <w:tcW w:type="dxa" w:w="4320"/>
          </w:tcPr>
          <w:p>
            <w:r>
              <w:t>Alignment conflict rate</w:t>
            </w:r>
          </w:p>
        </w:tc>
        <w:tc>
          <w:tcPr>
            <w:tcW w:type="dxa" w:w="4320"/>
          </w:tcPr>
          <w:p>
            <w:r>
              <w:t>Ambiguous or contradictory cross-source matches per mapped item</w:t>
            </w:r>
          </w:p>
        </w:tc>
      </w:tr>
      <w:tr>
        <w:tc>
          <w:tcPr>
            <w:tcW w:type="dxa" w:w="4320"/>
          </w:tcPr>
          <w:p>
            <w:r>
              <w:t>Provenance completeness</w:t>
            </w:r>
          </w:p>
        </w:tc>
        <w:tc>
          <w:tcPr>
            <w:tcW w:type="dxa" w:w="4320"/>
          </w:tcPr>
          <w:p>
            <w:r>
              <w:t>Share of edges with traceable source and statement-level evidence</w:t>
            </w:r>
          </w:p>
        </w:tc>
      </w:tr>
      <w:tr>
        <w:tc>
          <w:tcPr>
            <w:tcW w:type="dxa" w:w="4320"/>
          </w:tcPr>
          <w:p>
            <w:r>
              <w:t>Operational cost</w:t>
            </w:r>
          </w:p>
        </w:tc>
        <w:tc>
          <w:tcPr>
            <w:tcW w:type="dxa" w:w="4320"/>
          </w:tcPr>
          <w:p>
            <w:r>
              <w:t>Ingest time, storage, update complexity and maintenance effort</w:t>
            </w:r>
          </w:p>
        </w:tc>
      </w:tr>
    </w:tbl>
    <w:p>
      <w:r>
        <w:t>Set numerical go/no-go thresholds after a pilot; no quantitative gain or completeness guarantee is claimed before evaluation.</w:t>
      </w:r>
    </w:p>
    <w:p>
      <w:pPr>
        <w:pStyle w:val="Heading1"/>
      </w:pPr>
      <w:r>
        <w:t>7. Risks and safeguards</w:t>
      </w:r>
    </w:p>
    <w:p>
      <w:pPr>
        <w:pStyle w:val="ListBullet"/>
      </w:pPr>
      <w:r>
        <w:t>Snapshot mismatch: record source versions, acquisition dates and Wikidata dump/API retrieval dates; revalidate important changed identifiers.</w:t>
      </w:r>
    </w:p>
    <w:p>
      <w:pPr>
        <w:pStyle w:val="ListBullet"/>
      </w:pPr>
      <w:r>
        <w:t>Non-equivalence of relations: predicate mapping must be reviewed, especially roles, chronology, and part–whole semantics.</w:t>
      </w:r>
    </w:p>
    <w:p>
      <w:pPr>
        <w:pStyle w:val="ListBullet"/>
      </w:pPr>
      <w:r>
        <w:t>Identity leakage: avoid merging items just because labels match, or treating redirects and page links as verified equivalence.</w:t>
      </w:r>
    </w:p>
    <w:p>
      <w:pPr>
        <w:pStyle w:val="ListBullet"/>
      </w:pPr>
      <w:r>
        <w:t>Incomplete relations: absence from EventKG or Wikidata is not evidence of a false claim.</w:t>
      </w:r>
    </w:p>
    <w:p>
      <w:pPr>
        <w:pStyle w:val="ListBullet"/>
      </w:pPr>
      <w:r>
        <w:t>Provenance granularity: RDF named graphs may indicate the source dataset but not a pinpoint textual citation. Retain whatever evidence exists, and mark its granularity.</w:t>
      </w:r>
    </w:p>
    <w:p>
      <w:pPr>
        <w:pStyle w:val="ListBullet"/>
      </w:pPr>
      <w:r>
        <w:t>Sampling bias: separate evaluation by type, frequency and geographic/temporal domain.</w:t>
      </w:r>
    </w:p>
    <w:p>
      <w:pPr>
        <w:pStyle w:val="Heading1"/>
      </w:pPr>
      <w:r>
        <w:t>8. Final methodology recommendation</w:t>
      </w:r>
    </w:p>
    <w:p>
      <w:r>
        <w:t>Adopt Phase A as the mandatory development baseline: build the event/entity graph directly from EventKG and characterize its actual entity and relationship coverage. Phase B is the planned enrichment stage: use Wikidata QIDs for canonical entity identity and selected Wikidata claims for missing typed relationships. Consider YAGO 4.6 only when its curated constraints demonstrably improve quality. This staging preserves the academically grounded SEM + EventKG event framework while adding extensibility without prematurely increasing system complexity.</w:t>
      </w:r>
    </w:p>
    <w:p>
      <w:pPr>
        <w:pStyle w:val="Heading1"/>
      </w:pPr>
      <w:r>
        <w:t>9. Source references and implementation links</w:t>
      </w:r>
    </w:p>
    <w:p>
      <w:r>
        <w:t>EventKG V3.2 datasets and file descriptions — https://eventkg.l3s.uni-hannover.de/data.html</w:t>
      </w:r>
    </w:p>
    <w:p>
      <w:r>
        <w:t>EventKG schema and documentation — https://eventkg.l3s.uni-hannover.de/</w:t>
      </w:r>
    </w:p>
    <w:p>
      <w:r>
        <w:t>Wikidata database downloads and JSON/RDF dump distinctions — https://www.wikidata.org/wiki/Wikidata:Database_download</w:t>
      </w:r>
    </w:p>
    <w:p>
      <w:r>
        <w:t>Wikidata query service — https://query.wikidata.org/</w:t>
      </w:r>
    </w:p>
    <w:p>
      <w:r>
        <w:t>YAGO 4.6 official downloads — https://yago-knowledge.org/downloads/yago-4-6</w:t>
      </w:r>
    </w:p>
    <w:p>
      <w:r>
        <w:t>Simple Event Model (van Hage et al., 2011) — https://doi.org/10.1016/j.websem.2011.03.003</w:t>
      </w:r>
    </w:p>
    <w:p>
      <w:r>
        <w:t>WEC original paper (Eirew et al., 2021) — https://aclanthology.org/2021.naacl-main.198/</w:t>
      </w:r>
    </w:p>
    <w:p>
      <w:r>
        <w:t>Evidence note: Dataset availability and file names were verified against the official EventKG download listing; dump formats against official Wikidata documentation; YAGO release against its official site. Proposed phase gates, quality criteria, and integration procedures are architectural recommendations, not published measurements.</w:t>
      </w:r>
    </w:p>
    <w:sectPr w:rsidR="00FC693F" w:rsidRPr="0006063C" w:rsidSect="00034616">
      <w:footerReference w:type="default" r:id="rId9"/>
      <w:pgSz w:w="12240" w:h="15840"/>
      <w:pgMar w:top="1037" w:right="1800" w:bottom="936"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methodology | Entity inventory and relations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F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4F5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4F5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