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WWII Knowledge Graph: Relation Alignment &amp; Enrichment</w:t>
      </w:r>
    </w:p>
    <w:p>
      <w:pPr>
        <w:pStyle w:val="Subtitle"/>
      </w:pPr>
      <w:r>
        <w:t>Conceptual approach  |  POC-first  |  October 2026</w:t>
      </w:r>
    </w:p>
    <w:p>
      <w:pPr>
        <w:pStyle w:val="Heading1"/>
      </w:pPr>
      <w:r>
        <w:t>1. Objective</w:t>
      </w:r>
    </w:p>
    <w:p>
      <w:r>
        <w:t>Enrich the existing World War II knowledge graph with consistent, interpretable military relationship semantics, while keeping EventKG and Wikidata as the backbone and preserving their original facts, predicate identifiers, and provenance.</w:t>
      </w:r>
    </w:p>
    <w:p>
      <w:pPr>
        <w:pStyle w:val="Heading1"/>
      </w:pPr>
      <w:r>
        <w:t>2. Core idea</w:t>
      </w:r>
    </w:p>
    <w:p>
      <w:r>
        <w:t>Reuse existing ontology mappings where available, and discover additional candidate mappings from overlapping relationships. When the same aligned entity pair is linked by one predicate in EventKG/Wikidata and another in WarSampo across sufficiently many examples, treat the repeated pattern as evidence for a potential mapping—not automatic proof of equivalence.</w:t>
      </w:r>
    </w:p>
    <w:p>
      <w:pPr>
        <w:pStyle w:val="Heading1"/>
      </w:pPr>
      <w:r>
        <w:t>3. Roles of the knowledge sources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Resource</w:t>
            </w:r>
          </w:p>
        </w:tc>
        <w:tc>
          <w:tcPr>
            <w:tcW w:type="dxa" w:w="4939"/>
          </w:tcPr>
          <w:p>
            <w:r>
              <w:t>Role</w:t>
            </w:r>
          </w:p>
        </w:tc>
      </w:tr>
      <w:tr>
        <w:tc>
          <w:tcPr>
            <w:tcW w:type="dxa" w:w="4939"/>
          </w:tcPr>
          <w:p>
            <w:r>
              <w:t>EventKG + Wikidata</w:t>
            </w:r>
          </w:p>
        </w:tc>
        <w:tc>
          <w:tcPr>
            <w:tcW w:type="dxa" w:w="4939"/>
          </w:tcPr>
          <w:p>
            <w:r>
              <w:t>Primary entity, event, and relationship data; source facts remain unchanged.</w:t>
            </w:r>
          </w:p>
        </w:tc>
      </w:tr>
      <w:tr>
        <w:tc>
          <w:tcPr>
            <w:tcW w:type="dxa" w:w="4939"/>
          </w:tcPr>
          <w:p>
            <w:r>
              <w:t>WarSampo</w:t>
            </w:r>
          </w:p>
        </w:tc>
        <w:tc>
          <w:tcPr>
            <w:tcW w:type="dxa" w:w="4939"/>
          </w:tcPr>
          <w:p>
            <w:r>
              <w:t>Military-history concepts, specialized predicates, and overlapping WWII facts for alignment.</w:t>
            </w:r>
          </w:p>
        </w:tc>
      </w:tr>
      <w:tr>
        <w:tc>
          <w:tcPr>
            <w:tcW w:type="dxa" w:w="4939"/>
          </w:tcPr>
          <w:p>
            <w:r>
              <w:t>CIDOC CRM</w:t>
            </w:r>
          </w:p>
        </w:tc>
        <w:tc>
          <w:tcPr>
            <w:tcW w:type="dxa" w:w="4939"/>
          </w:tcPr>
          <w:p>
            <w:r>
              <w:t>Formal semantic foundation for interpreting and validating relationship meanings.</w:t>
            </w:r>
          </w:p>
        </w:tc>
      </w:tr>
      <w:tr>
        <w:tc>
          <w:tcPr>
            <w:tcW w:type="dxa" w:w="4939"/>
          </w:tcPr>
          <w:p>
            <w:r>
              <w:t>Existing mapping resources</w:t>
            </w:r>
          </w:p>
        </w:tc>
        <w:tc>
          <w:tcPr>
            <w:tcW w:type="dxa" w:w="4939"/>
          </w:tcPr>
          <w:p>
            <w:r>
              <w:t>Starting seeds, including EventKG’s source mappings and Wikidata–CIDOC interoperability work.</w:t>
            </w:r>
          </w:p>
        </w:tc>
      </w:tr>
    </w:tbl>
    <w:p>
      <w:pPr>
        <w:pStyle w:val="Heading1"/>
      </w:pPr>
      <w:r>
        <w:t>4. Proposed method</w:t>
      </w:r>
    </w:p>
    <w:p>
      <w:pPr>
        <w:pStyle w:val="ListNumber"/>
      </w:pPr>
      <w:r>
        <w:t>Collect existing EventKG, Wikidata, WarSampo, and CIDOC CRM predicate mappings and definitions.</w:t>
      </w:r>
    </w:p>
    <w:p>
      <w:pPr>
        <w:pStyle w:val="ListNumber"/>
      </w:pPr>
      <w:r>
        <w:t>Match shared entities and events across EventKG/Wikidata and WarSampo using stable identifiers and carefully verified entity alignment.</w:t>
      </w:r>
    </w:p>
    <w:p>
      <w:pPr>
        <w:pStyle w:val="ListNumber"/>
      </w:pPr>
      <w:r>
        <w:t>Compare predicates over shared subject–object pairs, including reverse-direction matches and relevant temporal context.</w:t>
      </w:r>
    </w:p>
    <w:p>
      <w:pPr>
        <w:pStyle w:val="ListNumber"/>
      </w:pPr>
      <w:r>
        <w:t>Rank candidate mappings using frequency, overlap coverage, direction, entity-type compatibility, and temporal consistency.</w:t>
      </w:r>
    </w:p>
    <w:p>
      <w:pPr>
        <w:pStyle w:val="ListNumber"/>
      </w:pPr>
      <w:r>
        <w:t>Classify relationships as equivalent, narrower/broader, inverse, related, or unresolved; validate candidate semantics against ontology definitions.</w:t>
      </w:r>
    </w:p>
    <w:p>
      <w:pPr>
        <w:pStyle w:val="ListNumber"/>
      </w:pPr>
      <w:r>
        <w:t>Publish accepted mappings in a reusable registry, with supporting evidence and provenance; annotate the original graph without overwriting source statements.</w:t>
      </w:r>
    </w:p>
    <w:p>
      <w:pPr>
        <w:pStyle w:val="Heading1"/>
      </w:pPr>
      <w:r>
        <w:t>5. POC and acceptance principle</w:t>
      </w:r>
    </w:p>
    <w:p>
      <w:r>
        <w:t>Start with a limited sample of shared WWII entities and relations. Evaluate whether the overlap is sufficiently large and informative, then review the highest-ranked candidate mappings. Scale only if the POC demonstrates meaningful mapping quality. Exact thresholds, algorithms, datasets, schemas, and implementation choices will be determined during the POCs.</w:t>
      </w:r>
    </w:p>
    <w:p>
      <w:pPr>
        <w:pStyle w:val="Heading1"/>
      </w:pPr>
      <w:r>
        <w:t>6. Important safeguards</w:t>
      </w:r>
    </w:p>
    <w:p>
      <w:r>
        <w:t>Co-occurrence does not establish semantic equivalence. Missing facts in one graph are not reliable negative examples. Specific military roles (such as attacker or defender) must not be inferred solely from generic participation edges. Every enrichment should preserve source evidence and distinguish direct facts, rule-based inferences, and unverified suggestions.</w:t>
      </w:r>
    </w:p>
    <w:p>
      <w:pPr>
        <w:pStyle w:val="Heading1"/>
      </w:pPr>
      <w:r>
        <w:t>7. Expected outcome</w:t>
      </w:r>
    </w:p>
    <w:p>
      <w:r>
        <w:t>A versioned relation mapping registry that links EventKG/Wikidata predicates to compatible CIDOC CRM properties and, when justified, WarSampo-derived military semantics. This registry will later support consistent graph enrichment, validation, and downstream relation extraction.</w:t>
      </w:r>
    </w:p>
    <w:p>
      <w:pPr>
        <w:pStyle w:val="Heading1"/>
      </w:pPr>
      <w:r>
        <w:t>Reference starting points</w:t>
      </w:r>
    </w:p>
    <w:p>
      <w:pPr>
        <w:spacing w:after="40"/>
      </w:pPr>
      <w:r>
        <w:t>EventKG: https://github.com/sgottsch/eventkg</w:t>
      </w:r>
    </w:p>
    <w:p>
      <w:pPr>
        <w:spacing w:after="40"/>
      </w:pPr>
      <w:r>
        <w:t>WarSampo schema: https://github.com/SemanticComputing/Warsampo-schema</w:t>
      </w:r>
    </w:p>
    <w:p>
      <w:pPr>
        <w:spacing w:after="40"/>
      </w:pPr>
      <w:r>
        <w:t>Wikidata–CIDOC interoperability: https://www.wikidata.org/wiki/Wikidata:WikiProject_CIDOC/Wikidata_Interoperability</w:t>
      </w:r>
    </w:p>
    <w:p>
      <w:pPr>
        <w:spacing w:after="40"/>
      </w:pPr>
      <w:r>
        <w:t>CIDOC CRM: https://cidoc-crm.org/</w:t>
      </w:r>
    </w:p>
    <w:p>
      <w:pPr>
        <w:spacing w:after="40"/>
      </w:pPr>
      <w:r>
        <w:t>PARIS relation and instance alignment: https://github.com/dig-team/PARIS</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Concept document — implementation specifications intentionally deferred to POCs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24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24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