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2F9F7" w14:textId="1AC89237" w:rsidR="00112569" w:rsidRPr="004A3817" w:rsidRDefault="00112569" w:rsidP="00112569">
      <w:pPr>
        <w:ind w:left="450" w:hanging="450"/>
        <w:jc w:val="center"/>
        <w:rPr>
          <w:rFonts w:ascii="Arial" w:hAnsi="Arial" w:cs="Arial"/>
          <w:sz w:val="20"/>
          <w:szCs w:val="20"/>
        </w:rPr>
      </w:pPr>
      <w:r w:rsidRPr="004A3817">
        <w:rPr>
          <w:rFonts w:ascii="Arial" w:hAnsi="Arial" w:cs="Arial"/>
          <w:sz w:val="20"/>
          <w:szCs w:val="20"/>
        </w:rPr>
        <w:t>PROVIDE Study</w:t>
      </w:r>
      <w:r w:rsidR="00216C12">
        <w:rPr>
          <w:rFonts w:ascii="Arial" w:hAnsi="Arial" w:cs="Arial"/>
          <w:sz w:val="20"/>
          <w:szCs w:val="20"/>
        </w:rPr>
        <w:t xml:space="preserve"> </w:t>
      </w:r>
    </w:p>
    <w:p w14:paraId="6FF9CE9D" w14:textId="1B9E189B" w:rsidR="00112569" w:rsidRDefault="00112569" w:rsidP="00112569">
      <w:pPr>
        <w:ind w:left="450" w:hanging="450"/>
        <w:jc w:val="center"/>
        <w:rPr>
          <w:rFonts w:ascii="Arial" w:hAnsi="Arial" w:cs="Arial"/>
          <w:sz w:val="20"/>
          <w:szCs w:val="20"/>
          <w:u w:color="1800C0"/>
        </w:rPr>
      </w:pPr>
      <w:r w:rsidRPr="004A3817">
        <w:rPr>
          <w:rFonts w:ascii="Arial" w:hAnsi="Arial" w:cs="Arial"/>
          <w:sz w:val="20"/>
          <w:szCs w:val="20"/>
        </w:rPr>
        <w:t>(</w:t>
      </w:r>
      <w:r w:rsidRPr="004A3817">
        <w:rPr>
          <w:rFonts w:ascii="Arial" w:hAnsi="Arial" w:cs="Arial"/>
          <w:sz w:val="20"/>
          <w:szCs w:val="20"/>
          <w:u w:color="1800C0"/>
        </w:rPr>
        <w:t>Performance of Rotavirus and Oral Polio Vaccines in Developing Countries)</w:t>
      </w:r>
    </w:p>
    <w:p w14:paraId="1B22B6DF" w14:textId="1DCE4435" w:rsidR="007654F5" w:rsidRDefault="007654F5" w:rsidP="00112569">
      <w:pPr>
        <w:ind w:left="450" w:hanging="450"/>
        <w:jc w:val="center"/>
        <w:rPr>
          <w:rFonts w:ascii="Arial" w:hAnsi="Arial" w:cs="Arial"/>
          <w:sz w:val="20"/>
          <w:szCs w:val="20"/>
          <w:u w:color="1800C0"/>
        </w:rPr>
      </w:pPr>
    </w:p>
    <w:p w14:paraId="0D1B6BC4" w14:textId="7001EEC1" w:rsidR="007654F5" w:rsidRPr="004A3817" w:rsidRDefault="007654F5" w:rsidP="00112569">
      <w:pPr>
        <w:ind w:left="450" w:hanging="450"/>
        <w:jc w:val="center"/>
        <w:rPr>
          <w:rFonts w:ascii="Arial" w:hAnsi="Arial" w:cs="Arial"/>
          <w:sz w:val="20"/>
          <w:szCs w:val="20"/>
          <w:u w:color="1800C0"/>
        </w:rPr>
      </w:pPr>
      <w:r>
        <w:rPr>
          <w:rFonts w:ascii="Arial" w:hAnsi="Arial" w:cs="Arial"/>
          <w:sz w:val="20"/>
          <w:szCs w:val="20"/>
        </w:rPr>
        <w:t>Final Report and Annotated Bibliography</w:t>
      </w:r>
    </w:p>
    <w:p w14:paraId="37A80139" w14:textId="77777777" w:rsidR="00112569" w:rsidRPr="004A3817" w:rsidRDefault="00112569" w:rsidP="00112569">
      <w:pPr>
        <w:ind w:left="450" w:hanging="450"/>
        <w:jc w:val="center"/>
        <w:rPr>
          <w:rFonts w:ascii="Arial" w:hAnsi="Arial" w:cs="Arial"/>
          <w:sz w:val="20"/>
          <w:szCs w:val="20"/>
          <w:u w:color="1800C0"/>
        </w:rPr>
      </w:pPr>
    </w:p>
    <w:p w14:paraId="19A426B0" w14:textId="74A847CB" w:rsidR="00112569" w:rsidRPr="004A3817" w:rsidRDefault="00112569" w:rsidP="00112569">
      <w:pPr>
        <w:ind w:left="450" w:hanging="450"/>
        <w:jc w:val="center"/>
        <w:rPr>
          <w:rFonts w:ascii="Arial" w:hAnsi="Arial" w:cs="Arial"/>
          <w:sz w:val="20"/>
          <w:szCs w:val="20"/>
          <w:u w:color="1800C0"/>
        </w:rPr>
      </w:pPr>
      <w:r w:rsidRPr="004A3817">
        <w:rPr>
          <w:rFonts w:ascii="Arial" w:hAnsi="Arial" w:cs="Arial"/>
          <w:sz w:val="20"/>
          <w:szCs w:val="20"/>
          <w:u w:color="1800C0"/>
        </w:rPr>
        <w:t>William A. Petri, Jr., M.D., Ph.D. for the PROVIDE Investigators</w:t>
      </w:r>
    </w:p>
    <w:p w14:paraId="496CF964" w14:textId="60EC4053" w:rsidR="00112569" w:rsidRPr="004A3817" w:rsidRDefault="00E76A85" w:rsidP="00112569">
      <w:pPr>
        <w:ind w:left="450" w:hanging="450"/>
        <w:jc w:val="center"/>
        <w:rPr>
          <w:rFonts w:ascii="Arial" w:hAnsi="Arial" w:cs="Arial"/>
          <w:sz w:val="20"/>
          <w:szCs w:val="20"/>
          <w:u w:color="1800C0"/>
        </w:rPr>
      </w:pPr>
      <w:r>
        <w:rPr>
          <w:rFonts w:ascii="Arial" w:hAnsi="Arial" w:cs="Arial"/>
          <w:sz w:val="20"/>
          <w:szCs w:val="20"/>
          <w:u w:color="1800C0"/>
        </w:rPr>
        <w:t>August 24</w:t>
      </w:r>
      <w:r w:rsidR="00D66E99">
        <w:rPr>
          <w:rFonts w:ascii="Arial" w:hAnsi="Arial" w:cs="Arial"/>
          <w:sz w:val="20"/>
          <w:szCs w:val="20"/>
          <w:u w:color="1800C0"/>
        </w:rPr>
        <w:t>, 2018</w:t>
      </w:r>
    </w:p>
    <w:p w14:paraId="201461EC" w14:textId="77777777" w:rsidR="00112569" w:rsidRPr="004A3817" w:rsidRDefault="00112569" w:rsidP="00112569">
      <w:pPr>
        <w:ind w:left="450" w:hanging="450"/>
        <w:jc w:val="center"/>
        <w:rPr>
          <w:rFonts w:ascii="Arial" w:hAnsi="Arial" w:cs="Arial"/>
          <w:sz w:val="20"/>
          <w:szCs w:val="20"/>
          <w:u w:color="1800C0"/>
        </w:rPr>
      </w:pPr>
    </w:p>
    <w:p w14:paraId="5E0414F2" w14:textId="77777777" w:rsidR="00112569" w:rsidRPr="004A3817" w:rsidRDefault="00112569" w:rsidP="00112569">
      <w:pPr>
        <w:ind w:left="450" w:hanging="450"/>
        <w:jc w:val="center"/>
        <w:rPr>
          <w:rFonts w:ascii="Arial" w:hAnsi="Arial" w:cs="Arial"/>
          <w:sz w:val="20"/>
          <w:szCs w:val="20"/>
          <w:u w:color="1800C0"/>
        </w:rPr>
      </w:pPr>
    </w:p>
    <w:p w14:paraId="2CAB1A72" w14:textId="10C2EA16" w:rsidR="00CF1620" w:rsidRPr="006521A8" w:rsidRDefault="006521A8" w:rsidP="00112569">
      <w:pPr>
        <w:ind w:left="450" w:hanging="450"/>
        <w:jc w:val="center"/>
        <w:rPr>
          <w:rFonts w:ascii="Arial" w:hAnsi="Arial" w:cs="Arial"/>
          <w:b/>
          <w:color w:val="0070C0"/>
          <w:sz w:val="20"/>
          <w:szCs w:val="20"/>
          <w:u w:color="1800C0"/>
        </w:rPr>
      </w:pPr>
      <w:r>
        <w:rPr>
          <w:rFonts w:ascii="Arial" w:hAnsi="Arial" w:cs="Arial"/>
          <w:b/>
          <w:color w:val="0000FF"/>
          <w:sz w:val="20"/>
          <w:szCs w:val="20"/>
          <w:u w:color="1800C0"/>
        </w:rPr>
        <w:t>Goal</w:t>
      </w:r>
    </w:p>
    <w:p w14:paraId="5BD8FFAD" w14:textId="77777777" w:rsidR="00CF1620" w:rsidRPr="004A3817" w:rsidRDefault="00CF1620" w:rsidP="00112569">
      <w:pPr>
        <w:ind w:left="450" w:hanging="450"/>
        <w:jc w:val="center"/>
        <w:rPr>
          <w:rFonts w:ascii="Arial" w:hAnsi="Arial" w:cs="Arial"/>
          <w:b/>
          <w:color w:val="0000FF"/>
          <w:sz w:val="20"/>
          <w:szCs w:val="20"/>
          <w:u w:color="1800C0"/>
        </w:rPr>
      </w:pPr>
    </w:p>
    <w:p w14:paraId="228A9A83" w14:textId="626C8831" w:rsidR="002E7C79" w:rsidRPr="004A3817" w:rsidRDefault="00CF1620" w:rsidP="00CF1620">
      <w:pPr>
        <w:ind w:left="450" w:hanging="450"/>
        <w:jc w:val="center"/>
        <w:rPr>
          <w:rFonts w:ascii="Arial" w:hAnsi="Arial" w:cs="Arial"/>
          <w:sz w:val="20"/>
          <w:szCs w:val="20"/>
          <w:u w:color="1800C0"/>
        </w:rPr>
      </w:pPr>
      <w:r w:rsidRPr="004A3817">
        <w:rPr>
          <w:rFonts w:ascii="Arial" w:hAnsi="Arial" w:cs="Arial"/>
          <w:sz w:val="20"/>
          <w:szCs w:val="20"/>
          <w:u w:color="1800C0"/>
        </w:rPr>
        <w:t>Define</w:t>
      </w:r>
      <w:r w:rsidR="002E7C79" w:rsidRPr="004A3817">
        <w:rPr>
          <w:rFonts w:ascii="Arial" w:hAnsi="Arial" w:cs="Arial"/>
          <w:sz w:val="20"/>
          <w:szCs w:val="20"/>
          <w:u w:color="1800C0"/>
        </w:rPr>
        <w:t xml:space="preserve"> </w:t>
      </w:r>
      <w:r w:rsidRPr="004A3817">
        <w:rPr>
          <w:rFonts w:ascii="Arial" w:hAnsi="Arial" w:cs="Arial"/>
          <w:sz w:val="20"/>
          <w:szCs w:val="20"/>
          <w:u w:color="1800C0"/>
        </w:rPr>
        <w:t xml:space="preserve">the environmental stresses that impair infant growth, </w:t>
      </w:r>
    </w:p>
    <w:p w14:paraId="2ED568DD" w14:textId="3A566A95" w:rsidR="00CF1620" w:rsidRPr="004A3817" w:rsidRDefault="00CF1620" w:rsidP="00CF1620">
      <w:pPr>
        <w:ind w:left="450" w:hanging="450"/>
        <w:jc w:val="center"/>
        <w:rPr>
          <w:rFonts w:ascii="Arial" w:hAnsi="Arial" w:cs="Arial"/>
          <w:sz w:val="20"/>
          <w:szCs w:val="20"/>
          <w:u w:color="1800C0"/>
        </w:rPr>
      </w:pPr>
      <w:r w:rsidRPr="004A3817">
        <w:rPr>
          <w:rFonts w:ascii="Arial" w:hAnsi="Arial" w:cs="Arial"/>
          <w:sz w:val="20"/>
          <w:szCs w:val="20"/>
          <w:u w:color="1800C0"/>
        </w:rPr>
        <w:t xml:space="preserve">vaccination and neurocognitive development </w:t>
      </w:r>
    </w:p>
    <w:p w14:paraId="2DC0D167" w14:textId="77777777" w:rsidR="00CF1620" w:rsidRPr="004A3817" w:rsidRDefault="00CF1620" w:rsidP="00112569">
      <w:pPr>
        <w:ind w:left="450" w:hanging="450"/>
        <w:jc w:val="center"/>
        <w:rPr>
          <w:rFonts w:ascii="Arial" w:hAnsi="Arial" w:cs="Arial"/>
          <w:b/>
          <w:color w:val="0000FF"/>
          <w:sz w:val="20"/>
          <w:szCs w:val="20"/>
          <w:u w:color="1800C0"/>
        </w:rPr>
      </w:pPr>
    </w:p>
    <w:p w14:paraId="5DA47B74" w14:textId="592E2F4A" w:rsidR="00112569" w:rsidRPr="004A3817" w:rsidRDefault="00CF1620" w:rsidP="00112569">
      <w:pPr>
        <w:ind w:left="450" w:hanging="450"/>
        <w:jc w:val="center"/>
        <w:rPr>
          <w:rFonts w:ascii="Arial" w:hAnsi="Arial" w:cs="Arial"/>
          <w:b/>
          <w:color w:val="0000FF"/>
          <w:sz w:val="20"/>
          <w:szCs w:val="20"/>
        </w:rPr>
      </w:pPr>
      <w:r w:rsidRPr="004A3817">
        <w:rPr>
          <w:rFonts w:ascii="Arial" w:hAnsi="Arial" w:cs="Arial"/>
          <w:b/>
          <w:color w:val="0000FF"/>
          <w:sz w:val="20"/>
          <w:szCs w:val="20"/>
          <w:u w:color="1800C0"/>
        </w:rPr>
        <w:t>K</w:t>
      </w:r>
      <w:r w:rsidR="00112569" w:rsidRPr="004A3817">
        <w:rPr>
          <w:rFonts w:ascii="Arial" w:hAnsi="Arial" w:cs="Arial"/>
          <w:b/>
          <w:color w:val="0000FF"/>
          <w:sz w:val="20"/>
          <w:szCs w:val="20"/>
          <w:u w:color="1800C0"/>
        </w:rPr>
        <w:t>ey Message</w:t>
      </w:r>
    </w:p>
    <w:p w14:paraId="5D785B83" w14:textId="77777777" w:rsidR="00112569" w:rsidRPr="004A3817" w:rsidRDefault="00112569" w:rsidP="00112569">
      <w:pPr>
        <w:rPr>
          <w:rFonts w:ascii="Arial" w:hAnsi="Arial" w:cs="Arial"/>
          <w:sz w:val="20"/>
          <w:szCs w:val="20"/>
        </w:rPr>
      </w:pPr>
    </w:p>
    <w:p w14:paraId="6D5BA1CE" w14:textId="44AF9E3D" w:rsidR="00112569" w:rsidRDefault="00112569" w:rsidP="00112569">
      <w:pPr>
        <w:rPr>
          <w:rFonts w:ascii="Arial" w:hAnsi="Arial" w:cs="Arial"/>
          <w:sz w:val="20"/>
          <w:szCs w:val="20"/>
        </w:rPr>
      </w:pPr>
      <w:r w:rsidRPr="004A3817">
        <w:rPr>
          <w:rFonts w:ascii="Arial" w:hAnsi="Arial" w:cs="Arial"/>
          <w:sz w:val="20"/>
          <w:szCs w:val="20"/>
        </w:rPr>
        <w:t>Independent Environmental Drivers of Child Morbidity are:</w:t>
      </w:r>
    </w:p>
    <w:p w14:paraId="20566CD8" w14:textId="77777777" w:rsidR="006521A8" w:rsidRPr="004A3817" w:rsidRDefault="006521A8" w:rsidP="00112569">
      <w:pPr>
        <w:rPr>
          <w:rFonts w:ascii="Arial" w:hAnsi="Arial" w:cs="Arial"/>
          <w:sz w:val="20"/>
          <w:szCs w:val="20"/>
        </w:rPr>
      </w:pPr>
    </w:p>
    <w:p w14:paraId="6F5B4748" w14:textId="13AD214C" w:rsidR="00112569" w:rsidRPr="004A3817" w:rsidRDefault="00517F7F" w:rsidP="002E7C79">
      <w:pPr>
        <w:ind w:left="450"/>
        <w:rPr>
          <w:rFonts w:ascii="Arial" w:hAnsi="Arial" w:cs="Arial"/>
          <w:sz w:val="20"/>
          <w:szCs w:val="20"/>
        </w:rPr>
      </w:pPr>
      <w:r>
        <w:rPr>
          <w:rFonts w:ascii="Arial" w:hAnsi="Arial" w:cs="Arial"/>
          <w:sz w:val="20"/>
          <w:szCs w:val="20"/>
        </w:rPr>
        <w:t>(1) Environmental enteric dysfunction (EED)</w:t>
      </w:r>
      <w:r w:rsidR="00112569" w:rsidRPr="004A3817">
        <w:rPr>
          <w:rFonts w:ascii="Arial" w:hAnsi="Arial" w:cs="Arial"/>
          <w:sz w:val="20"/>
          <w:szCs w:val="20"/>
        </w:rPr>
        <w:t>, measured noninvasively by gut inflammation.</w:t>
      </w:r>
    </w:p>
    <w:p w14:paraId="3FCAEF7B" w14:textId="60B15D20" w:rsidR="002E7C79" w:rsidRPr="004A3817" w:rsidRDefault="00112569" w:rsidP="002E7C79">
      <w:pPr>
        <w:ind w:left="450"/>
        <w:rPr>
          <w:rFonts w:ascii="Arial" w:hAnsi="Arial" w:cs="Arial"/>
          <w:sz w:val="20"/>
          <w:szCs w:val="20"/>
        </w:rPr>
      </w:pPr>
      <w:r w:rsidRPr="004A3817">
        <w:rPr>
          <w:rFonts w:ascii="Arial" w:hAnsi="Arial" w:cs="Arial"/>
          <w:sz w:val="20"/>
          <w:szCs w:val="20"/>
        </w:rPr>
        <w:t>(2) Systemic</w:t>
      </w:r>
      <w:r w:rsidR="00947FFB">
        <w:rPr>
          <w:rFonts w:ascii="Arial" w:hAnsi="Arial" w:cs="Arial"/>
          <w:sz w:val="20"/>
          <w:szCs w:val="20"/>
        </w:rPr>
        <w:t xml:space="preserve"> inflammation, measured by IL-1</w:t>
      </w:r>
      <w:r w:rsidR="00947FFB">
        <w:rPr>
          <w:rFonts w:ascii="Symbol" w:hAnsi="Symbol" w:cs="Arial"/>
          <w:sz w:val="20"/>
          <w:szCs w:val="20"/>
        </w:rPr>
        <w:t></w:t>
      </w:r>
      <w:r w:rsidR="00947FFB">
        <w:rPr>
          <w:rFonts w:ascii="Arial" w:hAnsi="Arial" w:cs="Arial"/>
          <w:sz w:val="20"/>
          <w:szCs w:val="20"/>
        </w:rPr>
        <w:t>, TNF-</w:t>
      </w:r>
      <w:r w:rsidR="00947FFB">
        <w:rPr>
          <w:rFonts w:ascii="Symbol" w:hAnsi="Symbol" w:cs="Arial"/>
          <w:sz w:val="20"/>
          <w:szCs w:val="20"/>
        </w:rPr>
        <w:t></w:t>
      </w:r>
      <w:r w:rsidRPr="004A3817">
        <w:rPr>
          <w:rFonts w:ascii="Arial" w:hAnsi="Arial" w:cs="Arial"/>
          <w:sz w:val="20"/>
          <w:szCs w:val="20"/>
        </w:rPr>
        <w:t xml:space="preserve"> and ferritin.</w:t>
      </w:r>
    </w:p>
    <w:p w14:paraId="42CE5ED4" w14:textId="1C25FDF5" w:rsidR="00112569" w:rsidRDefault="002E7C79" w:rsidP="002E7C79">
      <w:pPr>
        <w:ind w:left="450"/>
        <w:rPr>
          <w:rFonts w:ascii="Arial" w:hAnsi="Arial" w:cs="Arial"/>
          <w:sz w:val="20"/>
          <w:szCs w:val="20"/>
        </w:rPr>
      </w:pPr>
      <w:r w:rsidRPr="004A3817">
        <w:rPr>
          <w:rFonts w:ascii="Arial" w:hAnsi="Arial" w:cs="Arial"/>
          <w:sz w:val="20"/>
          <w:szCs w:val="20"/>
        </w:rPr>
        <w:t>(3) Maternal health</w:t>
      </w:r>
      <w:r w:rsidR="006521A8">
        <w:rPr>
          <w:rFonts w:ascii="Arial" w:hAnsi="Arial" w:cs="Arial"/>
          <w:sz w:val="20"/>
          <w:szCs w:val="20"/>
        </w:rPr>
        <w:t xml:space="preserve"> and birth weight and length</w:t>
      </w:r>
      <w:r w:rsidRPr="004A3817">
        <w:rPr>
          <w:rFonts w:ascii="Arial" w:hAnsi="Arial" w:cs="Arial"/>
          <w:sz w:val="20"/>
          <w:szCs w:val="20"/>
        </w:rPr>
        <w:t>.</w:t>
      </w:r>
    </w:p>
    <w:p w14:paraId="788C6DC7" w14:textId="77777777" w:rsidR="006521A8" w:rsidRPr="004A3817" w:rsidRDefault="006521A8" w:rsidP="002E7C79">
      <w:pPr>
        <w:ind w:left="450"/>
        <w:rPr>
          <w:rFonts w:ascii="Arial" w:hAnsi="Arial" w:cs="Arial"/>
          <w:sz w:val="20"/>
          <w:szCs w:val="20"/>
        </w:rPr>
      </w:pPr>
    </w:p>
    <w:p w14:paraId="3A28A786" w14:textId="77777777" w:rsidR="006521A8" w:rsidRDefault="00112569" w:rsidP="00112569">
      <w:pPr>
        <w:ind w:left="450" w:hanging="450"/>
        <w:rPr>
          <w:rFonts w:ascii="Arial" w:hAnsi="Arial" w:cs="Arial"/>
          <w:sz w:val="20"/>
          <w:szCs w:val="20"/>
        </w:rPr>
      </w:pPr>
      <w:r w:rsidRPr="004A3817">
        <w:rPr>
          <w:rFonts w:ascii="Arial" w:hAnsi="Arial" w:cs="Arial"/>
          <w:sz w:val="20"/>
          <w:szCs w:val="20"/>
        </w:rPr>
        <w:t>Combined, these environmental factors account for 46% of var</w:t>
      </w:r>
      <w:r w:rsidR="006521A8">
        <w:rPr>
          <w:rFonts w:ascii="Arial" w:hAnsi="Arial" w:cs="Arial"/>
          <w:sz w:val="20"/>
          <w:szCs w:val="20"/>
        </w:rPr>
        <w:t>iance in change in HAZ over the</w:t>
      </w:r>
    </w:p>
    <w:p w14:paraId="0218C349" w14:textId="20E0A2D5" w:rsidR="00112569" w:rsidRPr="004A3817" w:rsidRDefault="00112569" w:rsidP="00112569">
      <w:pPr>
        <w:ind w:left="450" w:hanging="450"/>
        <w:rPr>
          <w:rFonts w:ascii="Arial" w:hAnsi="Arial" w:cs="Arial"/>
          <w:sz w:val="20"/>
          <w:szCs w:val="20"/>
        </w:rPr>
      </w:pPr>
      <w:r w:rsidRPr="004A3817">
        <w:rPr>
          <w:rFonts w:ascii="Arial" w:hAnsi="Arial" w:cs="Arial"/>
          <w:sz w:val="20"/>
          <w:szCs w:val="20"/>
        </w:rPr>
        <w:t>1</w:t>
      </w:r>
      <w:r w:rsidRPr="004A3817">
        <w:rPr>
          <w:rFonts w:ascii="Arial" w:hAnsi="Arial" w:cs="Arial"/>
          <w:sz w:val="20"/>
          <w:szCs w:val="20"/>
          <w:vertAlign w:val="superscript"/>
        </w:rPr>
        <w:t>st</w:t>
      </w:r>
      <w:r w:rsidR="007654F5">
        <w:rPr>
          <w:rFonts w:ascii="Arial" w:hAnsi="Arial" w:cs="Arial"/>
          <w:sz w:val="20"/>
          <w:szCs w:val="20"/>
        </w:rPr>
        <w:t xml:space="preserve"> year of life</w:t>
      </w:r>
      <w:r w:rsidRPr="004A3817">
        <w:rPr>
          <w:rFonts w:ascii="Arial" w:hAnsi="Arial" w:cs="Arial"/>
          <w:sz w:val="20"/>
          <w:szCs w:val="20"/>
        </w:rPr>
        <w:t xml:space="preserve"> and 24% of variance in </w:t>
      </w:r>
      <w:proofErr w:type="spellStart"/>
      <w:r w:rsidRPr="004A3817">
        <w:rPr>
          <w:rFonts w:ascii="Arial" w:hAnsi="Arial" w:cs="Arial"/>
          <w:sz w:val="20"/>
          <w:szCs w:val="20"/>
        </w:rPr>
        <w:t>Rotarix</w:t>
      </w:r>
      <w:proofErr w:type="spellEnd"/>
      <w:r w:rsidRPr="004A3817">
        <w:rPr>
          <w:rFonts w:ascii="Arial" w:hAnsi="Arial" w:cs="Arial"/>
          <w:sz w:val="20"/>
          <w:szCs w:val="20"/>
        </w:rPr>
        <w:t xml:space="preserve">-induced </w:t>
      </w:r>
      <w:proofErr w:type="gramStart"/>
      <w:r w:rsidRPr="004A3817">
        <w:rPr>
          <w:rFonts w:ascii="Arial" w:hAnsi="Arial" w:cs="Arial"/>
          <w:sz w:val="20"/>
          <w:szCs w:val="20"/>
        </w:rPr>
        <w:t>18 week</w:t>
      </w:r>
      <w:proofErr w:type="gramEnd"/>
      <w:r w:rsidRPr="004A3817">
        <w:rPr>
          <w:rFonts w:ascii="Arial" w:hAnsi="Arial" w:cs="Arial"/>
          <w:sz w:val="20"/>
          <w:szCs w:val="20"/>
        </w:rPr>
        <w:t xml:space="preserve"> plasma IgA</w:t>
      </w:r>
      <w:r w:rsidR="002E7C79" w:rsidRPr="004A3817">
        <w:rPr>
          <w:rFonts w:ascii="Arial" w:hAnsi="Arial" w:cs="Arial"/>
          <w:sz w:val="20"/>
          <w:szCs w:val="20"/>
        </w:rPr>
        <w:t>)</w:t>
      </w:r>
      <w:r w:rsidRPr="004A3817">
        <w:rPr>
          <w:rFonts w:ascii="Arial" w:hAnsi="Arial" w:cs="Arial"/>
          <w:sz w:val="20"/>
          <w:szCs w:val="20"/>
        </w:rPr>
        <w:t>.</w:t>
      </w:r>
    </w:p>
    <w:p w14:paraId="0B0879F3" w14:textId="77777777" w:rsidR="00112569" w:rsidRPr="004A3817" w:rsidRDefault="00112569" w:rsidP="00112569">
      <w:pPr>
        <w:rPr>
          <w:rFonts w:ascii="Arial" w:hAnsi="Arial" w:cs="Arial"/>
          <w:sz w:val="20"/>
          <w:szCs w:val="20"/>
        </w:rPr>
      </w:pPr>
    </w:p>
    <w:p w14:paraId="49B9A112" w14:textId="77777777" w:rsidR="00112569" w:rsidRPr="004A3817" w:rsidRDefault="00112569" w:rsidP="00112569">
      <w:pPr>
        <w:rPr>
          <w:rFonts w:ascii="Arial" w:hAnsi="Arial" w:cs="Arial"/>
          <w:sz w:val="20"/>
          <w:szCs w:val="20"/>
        </w:rPr>
      </w:pPr>
    </w:p>
    <w:p w14:paraId="71651883" w14:textId="553DD71A" w:rsidR="00112569" w:rsidRPr="004A3817" w:rsidRDefault="00112569" w:rsidP="00112569">
      <w:pPr>
        <w:jc w:val="center"/>
        <w:rPr>
          <w:rFonts w:ascii="Arial" w:hAnsi="Arial" w:cs="Arial"/>
          <w:b/>
          <w:color w:val="0000FF"/>
          <w:sz w:val="20"/>
          <w:szCs w:val="20"/>
        </w:rPr>
      </w:pPr>
      <w:r w:rsidRPr="004A3817">
        <w:rPr>
          <w:rFonts w:ascii="Arial" w:hAnsi="Arial" w:cs="Arial"/>
          <w:b/>
          <w:color w:val="0000FF"/>
          <w:sz w:val="20"/>
          <w:szCs w:val="20"/>
        </w:rPr>
        <w:t>What We Have Learned</w:t>
      </w:r>
    </w:p>
    <w:p w14:paraId="48FD53D4" w14:textId="77777777" w:rsidR="00112569" w:rsidRPr="004A3817" w:rsidRDefault="00112569" w:rsidP="00112569">
      <w:pPr>
        <w:rPr>
          <w:rFonts w:ascii="Arial" w:hAnsi="Arial" w:cs="Arial"/>
          <w:b/>
          <w:sz w:val="20"/>
          <w:szCs w:val="20"/>
        </w:rPr>
      </w:pPr>
    </w:p>
    <w:p w14:paraId="4196AEA2" w14:textId="77777777" w:rsidR="001024EC" w:rsidRPr="008312BD" w:rsidRDefault="001024EC" w:rsidP="001024EC">
      <w:pPr>
        <w:ind w:left="450" w:hanging="450"/>
        <w:rPr>
          <w:rFonts w:ascii="Arial" w:hAnsi="Arial" w:cs="Arial"/>
          <w:b/>
          <w:sz w:val="20"/>
          <w:szCs w:val="20"/>
        </w:rPr>
      </w:pPr>
      <w:r w:rsidRPr="008312BD">
        <w:rPr>
          <w:rFonts w:ascii="Arial" w:hAnsi="Arial" w:cs="Arial"/>
          <w:b/>
          <w:sz w:val="20"/>
          <w:szCs w:val="20"/>
        </w:rPr>
        <w:t>Oral Polio Vaccine Failure</w:t>
      </w:r>
    </w:p>
    <w:p w14:paraId="4CB656EA" w14:textId="77777777" w:rsidR="001024EC" w:rsidRDefault="001024EC" w:rsidP="001024EC">
      <w:pPr>
        <w:ind w:left="450" w:hanging="450"/>
        <w:rPr>
          <w:rFonts w:ascii="Arial" w:hAnsi="Arial" w:cs="Arial"/>
          <w:sz w:val="20"/>
          <w:szCs w:val="20"/>
        </w:rPr>
      </w:pPr>
      <w:r w:rsidRPr="004A3817">
        <w:rPr>
          <w:rFonts w:ascii="Arial" w:hAnsi="Arial" w:cs="Arial"/>
          <w:sz w:val="20"/>
          <w:szCs w:val="20"/>
        </w:rPr>
        <w:t xml:space="preserve">• </w:t>
      </w:r>
      <w:r>
        <w:rPr>
          <w:rFonts w:ascii="Arial" w:hAnsi="Arial" w:cs="Arial"/>
          <w:sz w:val="20"/>
          <w:szCs w:val="20"/>
        </w:rPr>
        <w:t xml:space="preserve">OPV failure was associated with: </w:t>
      </w:r>
    </w:p>
    <w:p w14:paraId="0A313597" w14:textId="77777777" w:rsidR="001024EC" w:rsidRDefault="001024EC" w:rsidP="001024EC">
      <w:pPr>
        <w:ind w:left="450"/>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e</w:t>
      </w:r>
      <w:r w:rsidRPr="004A3817">
        <w:rPr>
          <w:rFonts w:ascii="Arial" w:hAnsi="Arial" w:cs="Arial"/>
          <w:sz w:val="20"/>
          <w:szCs w:val="20"/>
        </w:rPr>
        <w:t>nterovirus</w:t>
      </w:r>
      <w:r>
        <w:rPr>
          <w:rFonts w:ascii="Arial" w:hAnsi="Arial" w:cs="Arial"/>
          <w:sz w:val="20"/>
          <w:szCs w:val="20"/>
        </w:rPr>
        <w:t xml:space="preserve"> and campylobacter</w:t>
      </w:r>
      <w:r w:rsidRPr="004A3817">
        <w:rPr>
          <w:rFonts w:ascii="Arial" w:hAnsi="Arial" w:cs="Arial"/>
          <w:sz w:val="20"/>
          <w:szCs w:val="20"/>
        </w:rPr>
        <w:t xml:space="preserve"> infection at the time of vaccination</w:t>
      </w:r>
      <w:r>
        <w:rPr>
          <w:rFonts w:ascii="Arial" w:hAnsi="Arial" w:cs="Arial"/>
          <w:sz w:val="20"/>
          <w:szCs w:val="20"/>
          <w:vertAlign w:val="superscript"/>
        </w:rPr>
        <w:t>8</w:t>
      </w:r>
      <w:r>
        <w:rPr>
          <w:rFonts w:ascii="Arial" w:hAnsi="Arial" w:cs="Arial"/>
          <w:sz w:val="20"/>
          <w:szCs w:val="20"/>
        </w:rPr>
        <w:t>,</w:t>
      </w:r>
      <w:r w:rsidRPr="004A3817">
        <w:rPr>
          <w:rFonts w:ascii="Arial" w:hAnsi="Arial" w:cs="Arial"/>
          <w:sz w:val="20"/>
          <w:szCs w:val="20"/>
        </w:rPr>
        <w:t xml:space="preserve"> </w:t>
      </w:r>
    </w:p>
    <w:p w14:paraId="1CE18885" w14:textId="77777777" w:rsidR="001024EC" w:rsidRDefault="001024EC" w:rsidP="001024EC">
      <w:pPr>
        <w:ind w:left="450"/>
        <w:rPr>
          <w:rFonts w:ascii="Arial" w:hAnsi="Arial" w:cs="Arial"/>
          <w:sz w:val="20"/>
          <w:szCs w:val="20"/>
        </w:rPr>
      </w:pPr>
      <w:r w:rsidRPr="004A3817">
        <w:rPr>
          <w:rFonts w:ascii="Arial" w:hAnsi="Arial" w:cs="Arial"/>
          <w:sz w:val="20"/>
          <w:szCs w:val="20"/>
        </w:rPr>
        <w:t>(i</w:t>
      </w:r>
      <w:r>
        <w:rPr>
          <w:rFonts w:ascii="Arial" w:hAnsi="Arial" w:cs="Arial"/>
          <w:sz w:val="20"/>
          <w:szCs w:val="20"/>
        </w:rPr>
        <w:t>i) environmental enteric dysfunction (EED)</w:t>
      </w:r>
      <w:r>
        <w:rPr>
          <w:rFonts w:ascii="Arial" w:hAnsi="Arial" w:cs="Arial"/>
          <w:sz w:val="20"/>
          <w:szCs w:val="20"/>
          <w:vertAlign w:val="superscript"/>
        </w:rPr>
        <w:t>15</w:t>
      </w:r>
      <w:r w:rsidRPr="004A3817">
        <w:rPr>
          <w:rFonts w:ascii="Arial" w:hAnsi="Arial" w:cs="Arial"/>
          <w:sz w:val="20"/>
          <w:szCs w:val="20"/>
        </w:rPr>
        <w:t xml:space="preserve">; </w:t>
      </w:r>
    </w:p>
    <w:p w14:paraId="133F25AB" w14:textId="77777777" w:rsidR="001024EC" w:rsidRDefault="001024EC" w:rsidP="001024EC">
      <w:pPr>
        <w:ind w:left="450"/>
        <w:rPr>
          <w:rFonts w:ascii="Arial" w:hAnsi="Arial" w:cs="Arial"/>
          <w:sz w:val="20"/>
          <w:szCs w:val="20"/>
        </w:rPr>
      </w:pPr>
      <w:r w:rsidRPr="004A3817">
        <w:rPr>
          <w:rFonts w:ascii="Arial" w:hAnsi="Arial" w:cs="Arial"/>
          <w:sz w:val="20"/>
          <w:szCs w:val="20"/>
        </w:rPr>
        <w:t>(ii</w:t>
      </w:r>
      <w:r>
        <w:rPr>
          <w:rFonts w:ascii="Arial" w:hAnsi="Arial" w:cs="Arial"/>
          <w:sz w:val="20"/>
          <w:szCs w:val="20"/>
        </w:rPr>
        <w:t>i</w:t>
      </w:r>
      <w:r w:rsidRPr="004A3817">
        <w:rPr>
          <w:rFonts w:ascii="Arial" w:hAnsi="Arial" w:cs="Arial"/>
          <w:sz w:val="20"/>
          <w:szCs w:val="20"/>
        </w:rPr>
        <w:t>)</w:t>
      </w:r>
      <w:r>
        <w:rPr>
          <w:rFonts w:ascii="Arial" w:hAnsi="Arial" w:cs="Arial"/>
          <w:sz w:val="20"/>
          <w:szCs w:val="20"/>
        </w:rPr>
        <w:t xml:space="preserve"> systemic inflammation</w:t>
      </w:r>
      <w:r>
        <w:rPr>
          <w:rFonts w:ascii="Arial" w:hAnsi="Arial" w:cs="Arial"/>
          <w:sz w:val="20"/>
          <w:szCs w:val="20"/>
          <w:vertAlign w:val="superscript"/>
        </w:rPr>
        <w:t>15</w:t>
      </w:r>
      <w:r>
        <w:rPr>
          <w:rFonts w:ascii="Arial" w:hAnsi="Arial" w:cs="Arial"/>
          <w:sz w:val="20"/>
          <w:szCs w:val="20"/>
        </w:rPr>
        <w:t xml:space="preserve">; and </w:t>
      </w:r>
    </w:p>
    <w:p w14:paraId="7894D24E" w14:textId="77777777" w:rsidR="001024EC" w:rsidRPr="004A3817" w:rsidRDefault="001024EC" w:rsidP="001024EC">
      <w:pPr>
        <w:ind w:left="450"/>
        <w:rPr>
          <w:rFonts w:ascii="Arial" w:hAnsi="Arial" w:cs="Arial"/>
          <w:sz w:val="20"/>
          <w:szCs w:val="20"/>
        </w:rPr>
      </w:pPr>
      <w:r>
        <w:rPr>
          <w:rFonts w:ascii="Arial" w:hAnsi="Arial" w:cs="Arial"/>
          <w:sz w:val="20"/>
          <w:szCs w:val="20"/>
        </w:rPr>
        <w:t>(iv</w:t>
      </w:r>
      <w:r w:rsidRPr="004A3817">
        <w:rPr>
          <w:rFonts w:ascii="Arial" w:hAnsi="Arial" w:cs="Arial"/>
          <w:sz w:val="20"/>
          <w:szCs w:val="20"/>
        </w:rPr>
        <w:t xml:space="preserve">) maternal </w:t>
      </w:r>
      <w:r>
        <w:rPr>
          <w:rFonts w:ascii="Arial" w:hAnsi="Arial" w:cs="Arial"/>
          <w:sz w:val="20"/>
          <w:szCs w:val="20"/>
        </w:rPr>
        <w:t>height and education</w:t>
      </w:r>
      <w:r>
        <w:rPr>
          <w:rFonts w:ascii="Arial" w:hAnsi="Arial" w:cs="Arial"/>
          <w:sz w:val="20"/>
          <w:szCs w:val="20"/>
          <w:vertAlign w:val="superscript"/>
        </w:rPr>
        <w:t>15</w:t>
      </w:r>
      <w:r w:rsidRPr="004A3817">
        <w:rPr>
          <w:rFonts w:ascii="Arial" w:hAnsi="Arial" w:cs="Arial"/>
          <w:sz w:val="20"/>
          <w:szCs w:val="20"/>
        </w:rPr>
        <w:t>.</w:t>
      </w:r>
    </w:p>
    <w:p w14:paraId="0054FB97" w14:textId="77777777" w:rsidR="001024EC" w:rsidRDefault="001024EC" w:rsidP="001024EC">
      <w:pPr>
        <w:rPr>
          <w:rFonts w:ascii="Arial" w:hAnsi="Arial" w:cs="Arial"/>
          <w:sz w:val="20"/>
          <w:szCs w:val="20"/>
        </w:rPr>
      </w:pPr>
      <w:r w:rsidRPr="004A3817">
        <w:rPr>
          <w:rFonts w:ascii="Arial" w:hAnsi="Arial" w:cs="Arial"/>
          <w:sz w:val="20"/>
          <w:szCs w:val="20"/>
        </w:rPr>
        <w:t>• IPV substitution for the 4</w:t>
      </w:r>
      <w:r w:rsidRPr="004A3817">
        <w:rPr>
          <w:rFonts w:ascii="Arial" w:hAnsi="Arial" w:cs="Arial"/>
          <w:sz w:val="20"/>
          <w:szCs w:val="20"/>
          <w:vertAlign w:val="superscript"/>
        </w:rPr>
        <w:t>th</w:t>
      </w:r>
      <w:r w:rsidRPr="004A3817">
        <w:rPr>
          <w:rFonts w:ascii="Arial" w:hAnsi="Arial" w:cs="Arial"/>
          <w:sz w:val="20"/>
          <w:szCs w:val="20"/>
        </w:rPr>
        <w:t xml:space="preserve"> dose of </w:t>
      </w:r>
      <w:proofErr w:type="spellStart"/>
      <w:r w:rsidRPr="004A3817">
        <w:rPr>
          <w:rFonts w:ascii="Arial" w:hAnsi="Arial" w:cs="Arial"/>
          <w:sz w:val="20"/>
          <w:szCs w:val="20"/>
        </w:rPr>
        <w:t>tOPV</w:t>
      </w:r>
      <w:proofErr w:type="spellEnd"/>
      <w:r w:rsidRPr="004A3817">
        <w:rPr>
          <w:rFonts w:ascii="Arial" w:hAnsi="Arial" w:cs="Arial"/>
          <w:sz w:val="20"/>
          <w:szCs w:val="20"/>
        </w:rPr>
        <w:t xml:space="preserve"> provided superior </w:t>
      </w:r>
      <w:r>
        <w:rPr>
          <w:rFonts w:ascii="Arial" w:hAnsi="Arial" w:cs="Arial"/>
          <w:sz w:val="20"/>
          <w:szCs w:val="20"/>
        </w:rPr>
        <w:t>humoral, and similar intestinal</w:t>
      </w:r>
      <w:r w:rsidRPr="004A3817">
        <w:rPr>
          <w:rFonts w:ascii="Arial" w:hAnsi="Arial" w:cs="Arial"/>
          <w:sz w:val="20"/>
          <w:szCs w:val="20"/>
        </w:rPr>
        <w:t xml:space="preserve"> immunity</w:t>
      </w:r>
      <w:r>
        <w:rPr>
          <w:rFonts w:ascii="Arial" w:hAnsi="Arial" w:cs="Arial"/>
          <w:sz w:val="20"/>
          <w:szCs w:val="20"/>
          <w:vertAlign w:val="superscript"/>
        </w:rPr>
        <w:t>3</w:t>
      </w:r>
      <w:r>
        <w:rPr>
          <w:rFonts w:ascii="Arial" w:hAnsi="Arial" w:cs="Arial"/>
          <w:sz w:val="20"/>
          <w:szCs w:val="20"/>
        </w:rPr>
        <w:t>.</w:t>
      </w:r>
    </w:p>
    <w:p w14:paraId="57449011" w14:textId="77777777" w:rsidR="001024EC" w:rsidRDefault="001024EC" w:rsidP="001024EC">
      <w:pPr>
        <w:rPr>
          <w:rFonts w:ascii="Arial" w:hAnsi="Arial" w:cs="Arial"/>
          <w:sz w:val="20"/>
          <w:szCs w:val="20"/>
        </w:rPr>
      </w:pPr>
      <w:r>
        <w:rPr>
          <w:rFonts w:ascii="Arial" w:hAnsi="Arial" w:cs="Arial"/>
          <w:sz w:val="20"/>
          <w:szCs w:val="20"/>
        </w:rPr>
        <w:t xml:space="preserve">• Substitution of </w:t>
      </w:r>
      <w:proofErr w:type="spellStart"/>
      <w:r>
        <w:rPr>
          <w:rFonts w:ascii="Arial" w:hAnsi="Arial" w:cs="Arial"/>
          <w:sz w:val="20"/>
          <w:szCs w:val="20"/>
        </w:rPr>
        <w:t>bOPV</w:t>
      </w:r>
      <w:proofErr w:type="spellEnd"/>
      <w:r>
        <w:rPr>
          <w:rFonts w:ascii="Arial" w:hAnsi="Arial" w:cs="Arial"/>
          <w:sz w:val="20"/>
          <w:szCs w:val="20"/>
        </w:rPr>
        <w:t xml:space="preserve"> for </w:t>
      </w:r>
      <w:proofErr w:type="spellStart"/>
      <w:r>
        <w:rPr>
          <w:rFonts w:ascii="Arial" w:hAnsi="Arial" w:cs="Arial"/>
          <w:sz w:val="20"/>
          <w:szCs w:val="20"/>
        </w:rPr>
        <w:t>tOPV</w:t>
      </w:r>
      <w:proofErr w:type="spellEnd"/>
      <w:r>
        <w:rPr>
          <w:rFonts w:ascii="Arial" w:hAnsi="Arial" w:cs="Arial"/>
          <w:sz w:val="20"/>
          <w:szCs w:val="20"/>
        </w:rPr>
        <w:t xml:space="preserve"> created a gap in mucosal immunity to type 2 poliovirus</w:t>
      </w:r>
      <w:r>
        <w:rPr>
          <w:rFonts w:ascii="Arial" w:hAnsi="Arial" w:cs="Arial"/>
          <w:sz w:val="20"/>
          <w:szCs w:val="20"/>
          <w:vertAlign w:val="superscript"/>
        </w:rPr>
        <w:t>5</w:t>
      </w:r>
      <w:r>
        <w:rPr>
          <w:rFonts w:ascii="Arial" w:hAnsi="Arial" w:cs="Arial"/>
          <w:sz w:val="20"/>
          <w:szCs w:val="20"/>
        </w:rPr>
        <w:t>.</w:t>
      </w:r>
    </w:p>
    <w:p w14:paraId="7C57CF90" w14:textId="77777777" w:rsidR="001024EC" w:rsidRDefault="001024EC" w:rsidP="001024EC">
      <w:pPr>
        <w:rPr>
          <w:rFonts w:ascii="Arial" w:hAnsi="Arial" w:cs="Arial"/>
          <w:sz w:val="20"/>
          <w:szCs w:val="20"/>
        </w:rPr>
      </w:pPr>
      <w:r>
        <w:rPr>
          <w:rFonts w:ascii="Arial" w:hAnsi="Arial" w:cs="Arial"/>
          <w:sz w:val="20"/>
          <w:szCs w:val="20"/>
        </w:rPr>
        <w:t>• Oral polio vaccination was associated with nonspecific protection from diarrheal disease, suggesting that replacement of oral with inactivated polio vaccination in the future may lead to an increase in diarrheal disease</w:t>
      </w:r>
      <w:r>
        <w:rPr>
          <w:rFonts w:ascii="Arial" w:hAnsi="Arial" w:cs="Arial"/>
          <w:sz w:val="20"/>
          <w:szCs w:val="20"/>
          <w:vertAlign w:val="superscript"/>
        </w:rPr>
        <w:t>6</w:t>
      </w:r>
      <w:r>
        <w:rPr>
          <w:rFonts w:ascii="Arial" w:hAnsi="Arial" w:cs="Arial"/>
          <w:sz w:val="20"/>
          <w:szCs w:val="20"/>
        </w:rPr>
        <w:t>.</w:t>
      </w:r>
    </w:p>
    <w:p w14:paraId="4FC2CB69" w14:textId="77777777" w:rsidR="001024EC" w:rsidRDefault="001024EC" w:rsidP="001024EC">
      <w:pPr>
        <w:rPr>
          <w:rFonts w:ascii="Arial" w:hAnsi="Arial" w:cs="Arial"/>
          <w:b/>
          <w:sz w:val="20"/>
          <w:szCs w:val="20"/>
        </w:rPr>
      </w:pPr>
    </w:p>
    <w:p w14:paraId="7F025DF9" w14:textId="77777777" w:rsidR="001024EC" w:rsidRPr="004A3817" w:rsidRDefault="001024EC" w:rsidP="001024EC">
      <w:pPr>
        <w:rPr>
          <w:rFonts w:ascii="Arial" w:hAnsi="Arial" w:cs="Arial"/>
          <w:b/>
          <w:sz w:val="20"/>
          <w:szCs w:val="20"/>
        </w:rPr>
      </w:pPr>
      <w:proofErr w:type="spellStart"/>
      <w:r w:rsidRPr="004A3817">
        <w:rPr>
          <w:rFonts w:ascii="Arial" w:hAnsi="Arial" w:cs="Arial"/>
          <w:b/>
          <w:sz w:val="20"/>
          <w:szCs w:val="20"/>
        </w:rPr>
        <w:t>Rotarix</w:t>
      </w:r>
      <w:proofErr w:type="spellEnd"/>
      <w:r w:rsidRPr="004A3817">
        <w:rPr>
          <w:rFonts w:ascii="Arial" w:hAnsi="Arial" w:cs="Arial"/>
          <w:b/>
          <w:sz w:val="20"/>
          <w:szCs w:val="20"/>
        </w:rPr>
        <w:t xml:space="preserve"> Vaccine Failure:</w:t>
      </w:r>
    </w:p>
    <w:p w14:paraId="18DC09B4" w14:textId="77777777" w:rsidR="001024EC" w:rsidRDefault="001024EC" w:rsidP="001024EC">
      <w:pPr>
        <w:ind w:left="450" w:hanging="450"/>
        <w:rPr>
          <w:rFonts w:ascii="Arial" w:hAnsi="Arial" w:cs="Arial"/>
          <w:sz w:val="20"/>
          <w:szCs w:val="20"/>
        </w:rPr>
      </w:pPr>
      <w:proofErr w:type="gramStart"/>
      <w:r w:rsidRPr="004A3817">
        <w:rPr>
          <w:rFonts w:ascii="Arial" w:hAnsi="Arial" w:cs="Arial"/>
          <w:sz w:val="20"/>
          <w:szCs w:val="20"/>
        </w:rPr>
        <w:t>•.</w:t>
      </w:r>
      <w:proofErr w:type="spellStart"/>
      <w:r>
        <w:rPr>
          <w:rFonts w:ascii="Arial" w:hAnsi="Arial" w:cs="Arial"/>
          <w:sz w:val="20"/>
          <w:szCs w:val="20"/>
        </w:rPr>
        <w:t>Rotarix</w:t>
      </w:r>
      <w:proofErr w:type="spellEnd"/>
      <w:proofErr w:type="gramEnd"/>
      <w:r>
        <w:rPr>
          <w:rFonts w:ascii="Arial" w:hAnsi="Arial" w:cs="Arial"/>
          <w:sz w:val="20"/>
          <w:szCs w:val="20"/>
        </w:rPr>
        <w:t xml:space="preserve"> failure was associated with: </w:t>
      </w:r>
    </w:p>
    <w:p w14:paraId="4C6CF5C3" w14:textId="77777777" w:rsidR="001024EC" w:rsidRDefault="001024EC" w:rsidP="001024EC">
      <w:pPr>
        <w:ind w:left="450"/>
        <w:rPr>
          <w:rFonts w:ascii="Arial" w:hAnsi="Arial" w:cs="Arial"/>
          <w:sz w:val="20"/>
          <w:szCs w:val="20"/>
        </w:rPr>
      </w:pP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e</w:t>
      </w:r>
      <w:r w:rsidRPr="004A3817">
        <w:rPr>
          <w:rFonts w:ascii="Arial" w:hAnsi="Arial" w:cs="Arial"/>
          <w:sz w:val="20"/>
          <w:szCs w:val="20"/>
        </w:rPr>
        <w:t>nterovirus</w:t>
      </w:r>
      <w:r>
        <w:rPr>
          <w:rFonts w:ascii="Arial" w:hAnsi="Arial" w:cs="Arial"/>
          <w:sz w:val="20"/>
          <w:szCs w:val="20"/>
        </w:rPr>
        <w:t xml:space="preserve"> </w:t>
      </w:r>
      <w:r w:rsidRPr="004A3817">
        <w:rPr>
          <w:rFonts w:ascii="Arial" w:hAnsi="Arial" w:cs="Arial"/>
          <w:sz w:val="20"/>
          <w:szCs w:val="20"/>
        </w:rPr>
        <w:t>infection at the time of vaccination</w:t>
      </w:r>
      <w:r>
        <w:rPr>
          <w:rFonts w:ascii="Arial" w:hAnsi="Arial" w:cs="Arial"/>
          <w:sz w:val="20"/>
          <w:szCs w:val="20"/>
          <w:vertAlign w:val="superscript"/>
        </w:rPr>
        <w:t>8</w:t>
      </w:r>
      <w:r>
        <w:rPr>
          <w:rFonts w:ascii="Arial" w:hAnsi="Arial" w:cs="Arial"/>
          <w:sz w:val="20"/>
          <w:szCs w:val="20"/>
        </w:rPr>
        <w:t>,</w:t>
      </w:r>
      <w:r w:rsidRPr="004A3817">
        <w:rPr>
          <w:rFonts w:ascii="Arial" w:hAnsi="Arial" w:cs="Arial"/>
          <w:sz w:val="20"/>
          <w:szCs w:val="20"/>
        </w:rPr>
        <w:t xml:space="preserve"> </w:t>
      </w:r>
    </w:p>
    <w:p w14:paraId="0B1D1C99" w14:textId="77777777" w:rsidR="001024EC" w:rsidRDefault="001024EC" w:rsidP="001024EC">
      <w:pPr>
        <w:ind w:left="450"/>
        <w:rPr>
          <w:rFonts w:ascii="Arial" w:hAnsi="Arial" w:cs="Arial"/>
          <w:sz w:val="20"/>
          <w:szCs w:val="20"/>
        </w:rPr>
      </w:pPr>
      <w:r w:rsidRPr="004A3817">
        <w:rPr>
          <w:rFonts w:ascii="Arial" w:hAnsi="Arial" w:cs="Arial"/>
          <w:sz w:val="20"/>
          <w:szCs w:val="20"/>
        </w:rPr>
        <w:t>(i</w:t>
      </w:r>
      <w:r>
        <w:rPr>
          <w:rFonts w:ascii="Arial" w:hAnsi="Arial" w:cs="Arial"/>
          <w:sz w:val="20"/>
          <w:szCs w:val="20"/>
        </w:rPr>
        <w:t>i) environmental enteric dysfunction (EED)</w:t>
      </w:r>
      <w:r>
        <w:rPr>
          <w:rFonts w:ascii="Arial" w:hAnsi="Arial" w:cs="Arial"/>
          <w:sz w:val="20"/>
          <w:szCs w:val="20"/>
          <w:vertAlign w:val="superscript"/>
        </w:rPr>
        <w:t>15</w:t>
      </w:r>
      <w:r w:rsidRPr="004A3817">
        <w:rPr>
          <w:rFonts w:ascii="Arial" w:hAnsi="Arial" w:cs="Arial"/>
          <w:sz w:val="20"/>
          <w:szCs w:val="20"/>
        </w:rPr>
        <w:t xml:space="preserve">; </w:t>
      </w:r>
    </w:p>
    <w:p w14:paraId="76DEDC7D" w14:textId="77777777" w:rsidR="001024EC" w:rsidRDefault="001024EC" w:rsidP="001024EC">
      <w:pPr>
        <w:ind w:left="450"/>
        <w:rPr>
          <w:rFonts w:ascii="Arial" w:hAnsi="Arial" w:cs="Arial"/>
          <w:sz w:val="20"/>
          <w:szCs w:val="20"/>
        </w:rPr>
      </w:pPr>
      <w:r w:rsidRPr="004A3817">
        <w:rPr>
          <w:rFonts w:ascii="Arial" w:hAnsi="Arial" w:cs="Arial"/>
          <w:sz w:val="20"/>
          <w:szCs w:val="20"/>
        </w:rPr>
        <w:t>(ii</w:t>
      </w:r>
      <w:r>
        <w:rPr>
          <w:rFonts w:ascii="Arial" w:hAnsi="Arial" w:cs="Arial"/>
          <w:sz w:val="20"/>
          <w:szCs w:val="20"/>
        </w:rPr>
        <w:t>i</w:t>
      </w:r>
      <w:r w:rsidRPr="004A3817">
        <w:rPr>
          <w:rFonts w:ascii="Arial" w:hAnsi="Arial" w:cs="Arial"/>
          <w:sz w:val="20"/>
          <w:szCs w:val="20"/>
        </w:rPr>
        <w:t>)</w:t>
      </w:r>
      <w:r>
        <w:rPr>
          <w:rFonts w:ascii="Arial" w:hAnsi="Arial" w:cs="Arial"/>
          <w:sz w:val="20"/>
          <w:szCs w:val="20"/>
        </w:rPr>
        <w:t xml:space="preserve"> systemic inflammation</w:t>
      </w:r>
      <w:r>
        <w:rPr>
          <w:rFonts w:ascii="Arial" w:hAnsi="Arial" w:cs="Arial"/>
          <w:sz w:val="20"/>
          <w:szCs w:val="20"/>
          <w:vertAlign w:val="superscript"/>
        </w:rPr>
        <w:t>15</w:t>
      </w:r>
      <w:r>
        <w:rPr>
          <w:rFonts w:ascii="Arial" w:hAnsi="Arial" w:cs="Arial"/>
          <w:sz w:val="20"/>
          <w:szCs w:val="20"/>
        </w:rPr>
        <w:t xml:space="preserve">; and </w:t>
      </w:r>
    </w:p>
    <w:p w14:paraId="5EBDAF7A" w14:textId="77777777" w:rsidR="001024EC" w:rsidRDefault="001024EC" w:rsidP="001024EC">
      <w:pPr>
        <w:ind w:left="450"/>
        <w:rPr>
          <w:rFonts w:ascii="Arial" w:hAnsi="Arial" w:cs="Arial"/>
          <w:sz w:val="20"/>
          <w:szCs w:val="20"/>
        </w:rPr>
      </w:pPr>
      <w:r>
        <w:rPr>
          <w:rFonts w:ascii="Arial" w:hAnsi="Arial" w:cs="Arial"/>
          <w:sz w:val="20"/>
          <w:szCs w:val="20"/>
        </w:rPr>
        <w:t>(iv</w:t>
      </w:r>
      <w:r w:rsidRPr="004A3817">
        <w:rPr>
          <w:rFonts w:ascii="Arial" w:hAnsi="Arial" w:cs="Arial"/>
          <w:sz w:val="20"/>
          <w:szCs w:val="20"/>
        </w:rPr>
        <w:t xml:space="preserve">) maternal </w:t>
      </w:r>
      <w:r>
        <w:rPr>
          <w:rFonts w:ascii="Arial" w:hAnsi="Arial" w:cs="Arial"/>
          <w:sz w:val="20"/>
          <w:szCs w:val="20"/>
        </w:rPr>
        <w:t>educa</w:t>
      </w:r>
      <w:r w:rsidRPr="004A3817">
        <w:rPr>
          <w:rFonts w:ascii="Arial" w:hAnsi="Arial" w:cs="Arial"/>
          <w:sz w:val="20"/>
          <w:szCs w:val="20"/>
        </w:rPr>
        <w:t>tion</w:t>
      </w:r>
      <w:r>
        <w:rPr>
          <w:rFonts w:ascii="Arial" w:hAnsi="Arial" w:cs="Arial"/>
          <w:sz w:val="20"/>
          <w:szCs w:val="20"/>
          <w:vertAlign w:val="superscript"/>
        </w:rPr>
        <w:t>15</w:t>
      </w:r>
      <w:r w:rsidRPr="004A3817">
        <w:rPr>
          <w:rFonts w:ascii="Arial" w:hAnsi="Arial" w:cs="Arial"/>
          <w:sz w:val="20"/>
          <w:szCs w:val="20"/>
        </w:rPr>
        <w:t>.</w:t>
      </w:r>
    </w:p>
    <w:p w14:paraId="2E01D621" w14:textId="77777777" w:rsidR="001024EC" w:rsidRPr="00DC7AAC" w:rsidRDefault="001024EC" w:rsidP="001024EC">
      <w:pPr>
        <w:ind w:left="450"/>
        <w:rPr>
          <w:rFonts w:ascii="Arial" w:hAnsi="Arial" w:cs="Arial"/>
          <w:sz w:val="20"/>
          <w:szCs w:val="20"/>
        </w:rPr>
      </w:pPr>
      <w:r>
        <w:rPr>
          <w:rFonts w:ascii="Arial" w:hAnsi="Arial" w:cs="Arial"/>
          <w:sz w:val="20"/>
          <w:szCs w:val="20"/>
        </w:rPr>
        <w:t>(v) male sex</w:t>
      </w:r>
      <w:r>
        <w:rPr>
          <w:rFonts w:ascii="Arial" w:hAnsi="Arial" w:cs="Arial"/>
          <w:sz w:val="20"/>
          <w:szCs w:val="20"/>
          <w:vertAlign w:val="superscript"/>
        </w:rPr>
        <w:t>15</w:t>
      </w:r>
      <w:r>
        <w:rPr>
          <w:rFonts w:ascii="Arial" w:hAnsi="Arial" w:cs="Arial"/>
          <w:sz w:val="20"/>
          <w:szCs w:val="20"/>
        </w:rPr>
        <w:t>.</w:t>
      </w:r>
    </w:p>
    <w:p w14:paraId="17807EAA" w14:textId="77777777" w:rsidR="001024EC" w:rsidRDefault="001024EC" w:rsidP="001024EC">
      <w:pPr>
        <w:ind w:left="450" w:hanging="450"/>
        <w:rPr>
          <w:rFonts w:ascii="Arial" w:hAnsi="Arial" w:cs="Arial"/>
          <w:sz w:val="20"/>
          <w:szCs w:val="20"/>
        </w:rPr>
      </w:pPr>
      <w:r>
        <w:rPr>
          <w:rFonts w:ascii="Arial" w:hAnsi="Arial" w:cs="Arial"/>
          <w:sz w:val="20"/>
          <w:szCs w:val="20"/>
        </w:rPr>
        <w:t>• Risk factors for rotavirus diarrhea (in both vaccinated and non-vaccinated infants) include low serum zinc</w:t>
      </w:r>
      <w:r>
        <w:rPr>
          <w:rFonts w:ascii="Arial" w:hAnsi="Arial" w:cs="Arial"/>
          <w:sz w:val="20"/>
          <w:szCs w:val="20"/>
          <w:vertAlign w:val="superscript"/>
        </w:rPr>
        <w:t>7</w:t>
      </w:r>
      <w:r>
        <w:rPr>
          <w:rFonts w:ascii="Arial" w:hAnsi="Arial" w:cs="Arial"/>
          <w:sz w:val="20"/>
          <w:szCs w:val="20"/>
        </w:rPr>
        <w:t>, well nourishment</w:t>
      </w:r>
      <w:r>
        <w:rPr>
          <w:rFonts w:ascii="Arial" w:hAnsi="Arial" w:cs="Arial"/>
          <w:sz w:val="20"/>
          <w:szCs w:val="20"/>
          <w:vertAlign w:val="superscript"/>
        </w:rPr>
        <w:t>9</w:t>
      </w:r>
      <w:r>
        <w:rPr>
          <w:rFonts w:ascii="Arial" w:hAnsi="Arial" w:cs="Arial"/>
          <w:sz w:val="20"/>
          <w:szCs w:val="20"/>
        </w:rPr>
        <w:t>, maternal rotavirus antibody</w:t>
      </w:r>
      <w:r>
        <w:rPr>
          <w:rFonts w:ascii="Arial" w:hAnsi="Arial" w:cs="Arial"/>
          <w:sz w:val="20"/>
          <w:szCs w:val="20"/>
          <w:vertAlign w:val="superscript"/>
        </w:rPr>
        <w:t>12</w:t>
      </w:r>
      <w:r>
        <w:rPr>
          <w:rFonts w:ascii="Arial" w:hAnsi="Arial" w:cs="Arial"/>
          <w:sz w:val="20"/>
          <w:szCs w:val="20"/>
        </w:rPr>
        <w:t xml:space="preserve"> and blood group secretor phenotype</w:t>
      </w:r>
      <w:r>
        <w:rPr>
          <w:rFonts w:ascii="Arial" w:hAnsi="Arial" w:cs="Arial"/>
          <w:sz w:val="20"/>
          <w:szCs w:val="20"/>
          <w:vertAlign w:val="superscript"/>
        </w:rPr>
        <w:t>13</w:t>
      </w:r>
      <w:r>
        <w:rPr>
          <w:rFonts w:ascii="Arial" w:hAnsi="Arial" w:cs="Arial"/>
          <w:sz w:val="20"/>
          <w:szCs w:val="20"/>
        </w:rPr>
        <w:t>.</w:t>
      </w:r>
    </w:p>
    <w:p w14:paraId="37880EF5" w14:textId="77777777" w:rsidR="001024EC" w:rsidRDefault="001024EC" w:rsidP="001024EC">
      <w:pPr>
        <w:rPr>
          <w:rFonts w:ascii="Arial" w:hAnsi="Arial" w:cs="Arial"/>
          <w:sz w:val="20"/>
          <w:szCs w:val="20"/>
        </w:rPr>
      </w:pPr>
    </w:p>
    <w:p w14:paraId="79B2A69D" w14:textId="77777777" w:rsidR="001024EC" w:rsidRDefault="001024EC" w:rsidP="001024EC">
      <w:pPr>
        <w:rPr>
          <w:rFonts w:ascii="Arial" w:hAnsi="Arial" w:cs="Arial"/>
          <w:b/>
          <w:sz w:val="20"/>
          <w:szCs w:val="20"/>
        </w:rPr>
      </w:pPr>
      <w:r>
        <w:rPr>
          <w:rFonts w:ascii="Arial" w:hAnsi="Arial" w:cs="Arial"/>
          <w:b/>
          <w:sz w:val="20"/>
          <w:szCs w:val="20"/>
        </w:rPr>
        <w:t xml:space="preserve">Environmental Enteric Dysfunction (EED): </w:t>
      </w:r>
    </w:p>
    <w:p w14:paraId="55AEDE87" w14:textId="32DCECF2" w:rsidR="001024EC" w:rsidRDefault="001024EC" w:rsidP="001024EC">
      <w:pPr>
        <w:rPr>
          <w:rFonts w:ascii="Arial" w:hAnsi="Arial" w:cs="Arial"/>
          <w:sz w:val="20"/>
          <w:szCs w:val="20"/>
        </w:rPr>
      </w:pPr>
      <w:r w:rsidRPr="00A15CC4">
        <w:rPr>
          <w:rFonts w:ascii="Arial" w:hAnsi="Arial" w:cs="Arial"/>
          <w:sz w:val="20"/>
          <w:szCs w:val="20"/>
        </w:rPr>
        <w:t>• Only</w:t>
      </w:r>
      <w:r w:rsidR="006521A8">
        <w:rPr>
          <w:rFonts w:ascii="Arial" w:hAnsi="Arial" w:cs="Arial"/>
          <w:sz w:val="20"/>
          <w:szCs w:val="20"/>
        </w:rPr>
        <w:t xml:space="preserve"> certain </w:t>
      </w:r>
      <w:proofErr w:type="spellStart"/>
      <w:r w:rsidR="006521A8">
        <w:rPr>
          <w:rFonts w:ascii="Arial" w:hAnsi="Arial" w:cs="Arial"/>
          <w:sz w:val="20"/>
          <w:szCs w:val="20"/>
        </w:rPr>
        <w:t>enteropathogens</w:t>
      </w:r>
      <w:proofErr w:type="spellEnd"/>
      <w:r w:rsidR="006521A8">
        <w:rPr>
          <w:rFonts w:ascii="Arial" w:hAnsi="Arial" w:cs="Arial"/>
          <w:sz w:val="20"/>
          <w:szCs w:val="20"/>
        </w:rPr>
        <w:t xml:space="preserve"> were associated with</w:t>
      </w:r>
      <w:r>
        <w:rPr>
          <w:rFonts w:ascii="Arial" w:hAnsi="Arial" w:cs="Arial"/>
          <w:sz w:val="20"/>
          <w:szCs w:val="20"/>
        </w:rPr>
        <w:t xml:space="preserve"> EED: </w:t>
      </w:r>
    </w:p>
    <w:p w14:paraId="309BC6DF" w14:textId="1BE56D8C" w:rsidR="001024EC" w:rsidRDefault="006521A8" w:rsidP="006521A8">
      <w:pPr>
        <w:ind w:left="720"/>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w:t>
      </w:r>
      <w:proofErr w:type="spellStart"/>
      <w:r>
        <w:rPr>
          <w:rFonts w:ascii="Arial" w:eastAsia="Times New Roman" w:hAnsi="Arial" w:cs="Arial"/>
          <w:color w:val="000000"/>
          <w:sz w:val="20"/>
          <w:szCs w:val="20"/>
          <w:shd w:val="clear" w:color="auto" w:fill="FFFFFF"/>
        </w:rPr>
        <w:t>i</w:t>
      </w:r>
      <w:proofErr w:type="spellEnd"/>
      <w:r>
        <w:rPr>
          <w:rFonts w:ascii="Arial" w:eastAsia="Times New Roman" w:hAnsi="Arial" w:cs="Arial"/>
          <w:color w:val="000000"/>
          <w:sz w:val="20"/>
          <w:szCs w:val="20"/>
          <w:shd w:val="clear" w:color="auto" w:fill="FFFFFF"/>
        </w:rPr>
        <w:t xml:space="preserve">) </w:t>
      </w:r>
      <w:r w:rsidR="001024EC" w:rsidRPr="00B42343">
        <w:rPr>
          <w:rFonts w:ascii="Arial" w:eastAsia="Times New Roman" w:hAnsi="Arial" w:cs="Arial"/>
          <w:i/>
          <w:color w:val="000000"/>
          <w:sz w:val="20"/>
          <w:szCs w:val="20"/>
          <w:shd w:val="clear" w:color="auto" w:fill="FFFFFF"/>
        </w:rPr>
        <w:t>Cryptosporidium</w:t>
      </w:r>
      <w:r w:rsidR="001024EC">
        <w:rPr>
          <w:rFonts w:ascii="Arial" w:eastAsia="Times New Roman" w:hAnsi="Arial" w:cs="Arial"/>
          <w:i/>
          <w:color w:val="000000"/>
          <w:sz w:val="20"/>
          <w:szCs w:val="20"/>
          <w:shd w:val="clear" w:color="auto" w:fill="FFFFFF"/>
        </w:rPr>
        <w:t xml:space="preserve">, </w:t>
      </w:r>
      <w:r w:rsidR="001024EC" w:rsidRPr="00B42343">
        <w:rPr>
          <w:rFonts w:ascii="Arial" w:eastAsia="Times New Roman" w:hAnsi="Arial" w:cs="Arial"/>
          <w:i/>
          <w:color w:val="000000"/>
          <w:sz w:val="20"/>
          <w:szCs w:val="20"/>
          <w:shd w:val="clear" w:color="auto" w:fill="FFFFFF"/>
        </w:rPr>
        <w:t xml:space="preserve">Campylobacter </w:t>
      </w:r>
      <w:proofErr w:type="spellStart"/>
      <w:r w:rsidR="001024EC" w:rsidRPr="00B42343">
        <w:rPr>
          <w:rFonts w:ascii="Arial" w:eastAsia="Times New Roman" w:hAnsi="Arial" w:cs="Arial"/>
          <w:i/>
          <w:color w:val="000000"/>
          <w:sz w:val="20"/>
          <w:szCs w:val="20"/>
          <w:shd w:val="clear" w:color="auto" w:fill="FFFFFF"/>
        </w:rPr>
        <w:t>jejuni</w:t>
      </w:r>
      <w:proofErr w:type="spellEnd"/>
      <w:r w:rsidR="001024EC" w:rsidRPr="00B42343">
        <w:rPr>
          <w:rFonts w:ascii="Arial" w:eastAsia="Times New Roman" w:hAnsi="Arial" w:cs="Arial"/>
          <w:i/>
          <w:color w:val="000000"/>
          <w:sz w:val="20"/>
          <w:szCs w:val="20"/>
          <w:shd w:val="clear" w:color="auto" w:fill="FFFFFF"/>
        </w:rPr>
        <w:t>/coli</w:t>
      </w:r>
      <w:r w:rsidR="001024EC">
        <w:rPr>
          <w:rFonts w:ascii="Arial" w:eastAsia="Times New Roman" w:hAnsi="Arial" w:cs="Arial"/>
          <w:i/>
          <w:color w:val="000000"/>
          <w:sz w:val="20"/>
          <w:szCs w:val="20"/>
          <w:shd w:val="clear" w:color="auto" w:fill="FFFFFF"/>
        </w:rPr>
        <w:t xml:space="preserve"> </w:t>
      </w:r>
      <w:r w:rsidR="001024EC">
        <w:rPr>
          <w:rFonts w:ascii="Arial" w:eastAsia="Times New Roman" w:hAnsi="Arial" w:cs="Arial"/>
          <w:color w:val="000000"/>
          <w:sz w:val="20"/>
          <w:szCs w:val="20"/>
          <w:shd w:val="clear" w:color="auto" w:fill="FFFFFF"/>
        </w:rPr>
        <w:t xml:space="preserve">and </w:t>
      </w:r>
      <w:r w:rsidR="001024EC" w:rsidRPr="00B42343">
        <w:rPr>
          <w:rFonts w:ascii="Arial" w:eastAsia="Times New Roman" w:hAnsi="Arial" w:cs="Arial"/>
          <w:i/>
          <w:color w:val="000000"/>
          <w:sz w:val="20"/>
          <w:szCs w:val="20"/>
          <w:shd w:val="clear" w:color="auto" w:fill="FFFFFF"/>
        </w:rPr>
        <w:t>Shigella/EIEC</w:t>
      </w:r>
      <w:r w:rsidR="001024EC">
        <w:rPr>
          <w:rFonts w:ascii="Arial" w:eastAsia="Times New Roman" w:hAnsi="Arial" w:cs="Arial"/>
          <w:i/>
          <w:color w:val="000000"/>
          <w:sz w:val="20"/>
          <w:szCs w:val="20"/>
          <w:shd w:val="clear" w:color="auto" w:fill="FFFFFF"/>
        </w:rPr>
        <w:t xml:space="preserve"> </w:t>
      </w:r>
      <w:r w:rsidR="001024EC" w:rsidRPr="00A15CC4">
        <w:rPr>
          <w:rFonts w:ascii="Arial" w:eastAsia="Times New Roman" w:hAnsi="Arial" w:cs="Arial"/>
          <w:color w:val="000000"/>
          <w:sz w:val="20"/>
          <w:szCs w:val="20"/>
          <w:shd w:val="clear" w:color="auto" w:fill="FFFFFF"/>
        </w:rPr>
        <w:t xml:space="preserve">diarrhea were </w:t>
      </w:r>
      <w:r w:rsidR="001024EC">
        <w:rPr>
          <w:rFonts w:ascii="Arial" w:eastAsia="Times New Roman" w:hAnsi="Arial" w:cs="Arial"/>
          <w:color w:val="000000"/>
          <w:sz w:val="20"/>
          <w:szCs w:val="20"/>
          <w:shd w:val="clear" w:color="auto" w:fill="FFFFFF"/>
        </w:rPr>
        <w:t xml:space="preserve">the only causes of diarrhea </w:t>
      </w:r>
      <w:r w:rsidR="001024EC" w:rsidRPr="00A15CC4">
        <w:rPr>
          <w:rFonts w:ascii="Arial" w:eastAsia="Times New Roman" w:hAnsi="Arial" w:cs="Arial"/>
          <w:color w:val="000000"/>
          <w:sz w:val="20"/>
          <w:szCs w:val="20"/>
          <w:shd w:val="clear" w:color="auto" w:fill="FFFFFF"/>
        </w:rPr>
        <w:t xml:space="preserve">associated with </w:t>
      </w:r>
      <w:r w:rsidR="001024EC">
        <w:rPr>
          <w:rFonts w:ascii="Arial" w:eastAsia="Times New Roman" w:hAnsi="Arial" w:cs="Arial"/>
          <w:color w:val="000000"/>
          <w:sz w:val="20"/>
          <w:szCs w:val="20"/>
          <w:shd w:val="clear" w:color="auto" w:fill="FFFFFF"/>
        </w:rPr>
        <w:t>the development of stunting</w:t>
      </w:r>
      <w:r w:rsidR="001024EC">
        <w:rPr>
          <w:rFonts w:ascii="Arial" w:eastAsia="Times New Roman" w:hAnsi="Arial" w:cs="Arial"/>
          <w:color w:val="000000"/>
          <w:sz w:val="20"/>
          <w:szCs w:val="20"/>
          <w:shd w:val="clear" w:color="auto" w:fill="FFFFFF"/>
          <w:vertAlign w:val="superscript"/>
        </w:rPr>
        <w:t>22</w:t>
      </w:r>
      <w:r w:rsidR="001024EC" w:rsidRPr="00A15CC4">
        <w:rPr>
          <w:rFonts w:ascii="Arial" w:eastAsia="Times New Roman" w:hAnsi="Arial" w:cs="Arial"/>
          <w:color w:val="000000"/>
          <w:sz w:val="20"/>
          <w:szCs w:val="20"/>
          <w:shd w:val="clear" w:color="auto" w:fill="FFFFFF"/>
        </w:rPr>
        <w:t xml:space="preserve"> </w:t>
      </w:r>
    </w:p>
    <w:p w14:paraId="63292D14" w14:textId="7AD1B83A" w:rsidR="001024EC" w:rsidRDefault="006521A8" w:rsidP="001024EC">
      <w:pPr>
        <w:ind w:left="720"/>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lastRenderedPageBreak/>
        <w:t xml:space="preserve">(ii) </w:t>
      </w:r>
      <w:r w:rsidR="001024EC" w:rsidRPr="00B42343">
        <w:rPr>
          <w:rFonts w:ascii="Arial" w:eastAsia="Times New Roman" w:hAnsi="Arial" w:cs="Arial"/>
          <w:i/>
          <w:color w:val="000000"/>
          <w:sz w:val="20"/>
          <w:szCs w:val="20"/>
          <w:shd w:val="clear" w:color="auto" w:fill="FFFFFF"/>
        </w:rPr>
        <w:t xml:space="preserve">Campylobacter </w:t>
      </w:r>
      <w:proofErr w:type="spellStart"/>
      <w:r w:rsidR="001024EC" w:rsidRPr="00B42343">
        <w:rPr>
          <w:rFonts w:ascii="Arial" w:eastAsia="Times New Roman" w:hAnsi="Arial" w:cs="Arial"/>
          <w:i/>
          <w:color w:val="000000"/>
          <w:sz w:val="20"/>
          <w:szCs w:val="20"/>
          <w:shd w:val="clear" w:color="auto" w:fill="FFFFFF"/>
        </w:rPr>
        <w:t>jejuni</w:t>
      </w:r>
      <w:proofErr w:type="spellEnd"/>
      <w:r w:rsidR="001024EC" w:rsidRPr="00B42343">
        <w:rPr>
          <w:rFonts w:ascii="Arial" w:eastAsia="Times New Roman" w:hAnsi="Arial" w:cs="Arial"/>
          <w:i/>
          <w:color w:val="000000"/>
          <w:sz w:val="20"/>
          <w:szCs w:val="20"/>
          <w:shd w:val="clear" w:color="auto" w:fill="FFFFFF"/>
        </w:rPr>
        <w:t>/coli</w:t>
      </w:r>
      <w:r w:rsidR="001024EC">
        <w:rPr>
          <w:rFonts w:ascii="Arial" w:eastAsia="Times New Roman" w:hAnsi="Arial" w:cs="Arial"/>
          <w:i/>
          <w:color w:val="000000"/>
          <w:sz w:val="20"/>
          <w:szCs w:val="20"/>
          <w:shd w:val="clear" w:color="auto" w:fill="FFFFFF"/>
        </w:rPr>
        <w:t xml:space="preserve"> </w:t>
      </w:r>
      <w:r w:rsidR="001024EC">
        <w:rPr>
          <w:rFonts w:ascii="Arial" w:eastAsia="Times New Roman" w:hAnsi="Arial" w:cs="Arial"/>
          <w:color w:val="000000"/>
          <w:sz w:val="20"/>
          <w:szCs w:val="20"/>
          <w:shd w:val="clear" w:color="auto" w:fill="FFFFFF"/>
        </w:rPr>
        <w:t xml:space="preserve">and </w:t>
      </w:r>
      <w:r w:rsidR="001024EC" w:rsidRPr="00B42343">
        <w:rPr>
          <w:rFonts w:ascii="Arial" w:eastAsia="Times New Roman" w:hAnsi="Arial" w:cs="Arial"/>
          <w:i/>
          <w:color w:val="000000"/>
          <w:sz w:val="20"/>
          <w:szCs w:val="20"/>
          <w:shd w:val="clear" w:color="auto" w:fill="FFFFFF"/>
        </w:rPr>
        <w:t>Shigella/EIEC</w:t>
      </w:r>
      <w:r w:rsidR="001024EC">
        <w:rPr>
          <w:rFonts w:ascii="Arial" w:eastAsia="Times New Roman" w:hAnsi="Arial" w:cs="Arial"/>
          <w:i/>
          <w:color w:val="000000"/>
          <w:sz w:val="20"/>
          <w:szCs w:val="20"/>
          <w:shd w:val="clear" w:color="auto" w:fill="FFFFFF"/>
        </w:rPr>
        <w:t xml:space="preserve"> </w:t>
      </w:r>
      <w:r w:rsidR="001024EC" w:rsidRPr="00A15CC4">
        <w:rPr>
          <w:rFonts w:ascii="Arial" w:eastAsia="Times New Roman" w:hAnsi="Arial" w:cs="Arial"/>
          <w:color w:val="000000"/>
          <w:sz w:val="20"/>
          <w:szCs w:val="20"/>
          <w:shd w:val="clear" w:color="auto" w:fill="FFFFFF"/>
        </w:rPr>
        <w:t xml:space="preserve">diarrhea were </w:t>
      </w:r>
      <w:r w:rsidR="001024EC">
        <w:rPr>
          <w:rFonts w:ascii="Arial" w:eastAsia="Times New Roman" w:hAnsi="Arial" w:cs="Arial"/>
          <w:color w:val="000000"/>
          <w:sz w:val="20"/>
          <w:szCs w:val="20"/>
          <w:shd w:val="clear" w:color="auto" w:fill="FFFFFF"/>
        </w:rPr>
        <w:t xml:space="preserve">the only causes of diarrhea </w:t>
      </w:r>
      <w:r w:rsidR="001024EC" w:rsidRPr="00A15CC4">
        <w:rPr>
          <w:rFonts w:ascii="Arial" w:eastAsia="Times New Roman" w:hAnsi="Arial" w:cs="Arial"/>
          <w:color w:val="000000"/>
          <w:sz w:val="20"/>
          <w:szCs w:val="20"/>
          <w:shd w:val="clear" w:color="auto" w:fill="FFFFFF"/>
        </w:rPr>
        <w:t xml:space="preserve">associated with inflammation </w:t>
      </w:r>
      <w:r w:rsidR="001024EC">
        <w:rPr>
          <w:rFonts w:ascii="Arial" w:eastAsia="Times New Roman" w:hAnsi="Arial" w:cs="Arial"/>
          <w:color w:val="000000"/>
          <w:sz w:val="20"/>
          <w:szCs w:val="20"/>
          <w:shd w:val="clear" w:color="auto" w:fill="FFFFFF"/>
        </w:rPr>
        <w:t>(</w:t>
      </w:r>
      <w:r w:rsidR="001024EC" w:rsidRPr="00A15CC4">
        <w:rPr>
          <w:rFonts w:ascii="Arial" w:eastAsia="Times New Roman" w:hAnsi="Arial" w:cs="Arial"/>
          <w:color w:val="000000"/>
          <w:sz w:val="20"/>
          <w:szCs w:val="20"/>
          <w:shd w:val="clear" w:color="auto" w:fill="FFFFFF"/>
        </w:rPr>
        <w:t>as measured by C reactive protein</w:t>
      </w:r>
      <w:r w:rsidR="001024EC">
        <w:rPr>
          <w:rFonts w:ascii="Arial" w:eastAsia="Times New Roman" w:hAnsi="Arial" w:cs="Arial"/>
          <w:color w:val="000000"/>
          <w:sz w:val="20"/>
          <w:szCs w:val="20"/>
          <w:shd w:val="clear" w:color="auto" w:fill="FFFFFF"/>
        </w:rPr>
        <w:t>)</w:t>
      </w:r>
      <w:r w:rsidR="001024EC">
        <w:rPr>
          <w:rFonts w:ascii="Arial" w:eastAsia="Times New Roman" w:hAnsi="Arial" w:cs="Arial"/>
          <w:color w:val="000000"/>
          <w:sz w:val="20"/>
          <w:szCs w:val="20"/>
          <w:shd w:val="clear" w:color="auto" w:fill="FFFFFF"/>
          <w:vertAlign w:val="superscript"/>
        </w:rPr>
        <w:t>22</w:t>
      </w:r>
      <w:r w:rsidR="001024EC" w:rsidRPr="00A15CC4">
        <w:rPr>
          <w:rFonts w:ascii="Arial" w:eastAsia="Times New Roman" w:hAnsi="Arial" w:cs="Arial"/>
          <w:color w:val="000000"/>
          <w:sz w:val="20"/>
          <w:szCs w:val="20"/>
          <w:shd w:val="clear" w:color="auto" w:fill="FFFFFF"/>
        </w:rPr>
        <w:t>.</w:t>
      </w:r>
    </w:p>
    <w:p w14:paraId="3DB350D3" w14:textId="77777777" w:rsidR="001024EC" w:rsidRDefault="001024EC" w:rsidP="001024EC">
      <w:pPr>
        <w:rPr>
          <w:rFonts w:ascii="Arial" w:hAnsi="Arial" w:cs="Arial"/>
          <w:sz w:val="20"/>
          <w:szCs w:val="20"/>
        </w:rPr>
      </w:pPr>
      <w:r w:rsidRPr="00BE71EE">
        <w:rPr>
          <w:rFonts w:ascii="Arial" w:hAnsi="Arial" w:cs="Arial"/>
          <w:sz w:val="20"/>
          <w:szCs w:val="20"/>
        </w:rPr>
        <w:t xml:space="preserve">• </w:t>
      </w:r>
      <w:r>
        <w:rPr>
          <w:rFonts w:ascii="Arial" w:hAnsi="Arial" w:cs="Arial"/>
          <w:sz w:val="20"/>
          <w:szCs w:val="20"/>
        </w:rPr>
        <w:t>Microbiota immaturity was associated with stunting and s</w:t>
      </w:r>
      <w:r w:rsidRPr="00BE71EE">
        <w:rPr>
          <w:rFonts w:ascii="Arial" w:hAnsi="Arial" w:cs="Arial"/>
          <w:sz w:val="20"/>
          <w:szCs w:val="20"/>
        </w:rPr>
        <w:t>evere acute ma</w:t>
      </w:r>
      <w:r>
        <w:rPr>
          <w:rFonts w:ascii="Arial" w:hAnsi="Arial" w:cs="Arial"/>
          <w:sz w:val="20"/>
          <w:szCs w:val="20"/>
        </w:rPr>
        <w:t>lnutrition</w:t>
      </w:r>
      <w:r>
        <w:rPr>
          <w:rFonts w:ascii="Arial" w:hAnsi="Arial" w:cs="Arial"/>
          <w:sz w:val="20"/>
          <w:szCs w:val="20"/>
          <w:vertAlign w:val="superscript"/>
        </w:rPr>
        <w:t>14</w:t>
      </w:r>
      <w:r>
        <w:rPr>
          <w:rFonts w:ascii="Arial" w:hAnsi="Arial" w:cs="Arial"/>
          <w:sz w:val="20"/>
          <w:szCs w:val="20"/>
        </w:rPr>
        <w:t>.</w:t>
      </w:r>
    </w:p>
    <w:p w14:paraId="23309275" w14:textId="77777777" w:rsidR="001024EC" w:rsidRDefault="001024EC" w:rsidP="001024EC">
      <w:pPr>
        <w:rPr>
          <w:rFonts w:ascii="Arial" w:hAnsi="Arial" w:cs="Arial"/>
          <w:sz w:val="20"/>
          <w:szCs w:val="20"/>
        </w:rPr>
      </w:pPr>
      <w:r w:rsidRPr="00A15CC4">
        <w:rPr>
          <w:rFonts w:ascii="Arial" w:hAnsi="Arial" w:cs="Arial"/>
          <w:bCs/>
          <w:sz w:val="20"/>
          <w:szCs w:val="20"/>
        </w:rPr>
        <w:t>• Small Intestine Bacterial Overgrowth</w:t>
      </w:r>
      <w:r>
        <w:rPr>
          <w:rFonts w:ascii="Arial" w:hAnsi="Arial" w:cs="Arial"/>
          <w:bCs/>
          <w:sz w:val="20"/>
          <w:szCs w:val="20"/>
        </w:rPr>
        <w:t xml:space="preserve"> (SIBO) measured by hydrogen breath </w:t>
      </w:r>
      <w:r w:rsidRPr="00A15CC4">
        <w:rPr>
          <w:rFonts w:ascii="Arial" w:hAnsi="Arial" w:cs="Arial"/>
          <w:bCs/>
          <w:sz w:val="20"/>
          <w:szCs w:val="20"/>
        </w:rPr>
        <w:t>testing was</w:t>
      </w:r>
      <w:r>
        <w:rPr>
          <w:rFonts w:ascii="Arial" w:hAnsi="Arial" w:cs="Arial"/>
          <w:sz w:val="20"/>
          <w:szCs w:val="20"/>
        </w:rPr>
        <w:t xml:space="preserve"> associated </w:t>
      </w:r>
      <w:r w:rsidRPr="00A15CC4">
        <w:rPr>
          <w:rFonts w:ascii="Arial" w:hAnsi="Arial" w:cs="Arial"/>
          <w:sz w:val="20"/>
          <w:szCs w:val="20"/>
        </w:rPr>
        <w:t xml:space="preserve">with </w:t>
      </w:r>
      <w:r>
        <w:rPr>
          <w:rFonts w:ascii="Arial" w:hAnsi="Arial" w:cs="Arial"/>
          <w:sz w:val="20"/>
          <w:szCs w:val="20"/>
        </w:rPr>
        <w:t>stunting</w:t>
      </w:r>
      <w:r>
        <w:rPr>
          <w:rFonts w:ascii="Arial" w:hAnsi="Arial" w:cs="Arial"/>
          <w:sz w:val="20"/>
          <w:szCs w:val="20"/>
          <w:vertAlign w:val="superscript"/>
        </w:rPr>
        <w:t>17</w:t>
      </w:r>
      <w:r w:rsidRPr="00A15CC4">
        <w:rPr>
          <w:rFonts w:ascii="Arial" w:hAnsi="Arial" w:cs="Arial"/>
          <w:sz w:val="20"/>
          <w:szCs w:val="20"/>
        </w:rPr>
        <w:t>.</w:t>
      </w:r>
    </w:p>
    <w:p w14:paraId="196F6A3F" w14:textId="77777777" w:rsidR="001024EC" w:rsidRDefault="001024EC" w:rsidP="001024EC">
      <w:pPr>
        <w:rPr>
          <w:rFonts w:ascii="Arial" w:hAnsi="Arial" w:cs="Arial"/>
          <w:sz w:val="20"/>
          <w:szCs w:val="20"/>
        </w:rPr>
      </w:pPr>
      <w:r>
        <w:rPr>
          <w:rFonts w:ascii="Arial" w:hAnsi="Arial" w:cs="Arial"/>
          <w:sz w:val="20"/>
          <w:szCs w:val="20"/>
        </w:rPr>
        <w:t>• EED was present in 80% of children at 6-12 weeks of age as measured by fecal biomarkers of inflammation</w:t>
      </w:r>
      <w:r>
        <w:rPr>
          <w:rFonts w:ascii="Arial" w:hAnsi="Arial" w:cs="Arial"/>
          <w:sz w:val="20"/>
          <w:szCs w:val="20"/>
          <w:vertAlign w:val="superscript"/>
        </w:rPr>
        <w:t>15</w:t>
      </w:r>
      <w:r>
        <w:rPr>
          <w:rFonts w:ascii="Arial" w:hAnsi="Arial" w:cs="Arial"/>
          <w:sz w:val="20"/>
          <w:szCs w:val="20"/>
        </w:rPr>
        <w:t>.</w:t>
      </w:r>
    </w:p>
    <w:p w14:paraId="624BC143" w14:textId="77777777" w:rsidR="001024EC" w:rsidRDefault="001024EC" w:rsidP="001024EC">
      <w:pPr>
        <w:rPr>
          <w:rFonts w:ascii="Arial" w:hAnsi="Arial" w:cs="Arial"/>
          <w:sz w:val="20"/>
          <w:szCs w:val="20"/>
        </w:rPr>
      </w:pPr>
    </w:p>
    <w:p w14:paraId="0F420108" w14:textId="77777777" w:rsidR="001024EC" w:rsidRDefault="001024EC" w:rsidP="001024EC">
      <w:pPr>
        <w:rPr>
          <w:rFonts w:ascii="Arial" w:hAnsi="Arial" w:cs="Arial"/>
          <w:sz w:val="20"/>
          <w:szCs w:val="20"/>
        </w:rPr>
      </w:pPr>
      <w:r>
        <w:rPr>
          <w:rFonts w:ascii="Arial" w:hAnsi="Arial" w:cs="Arial"/>
          <w:b/>
          <w:sz w:val="20"/>
          <w:szCs w:val="20"/>
        </w:rPr>
        <w:t>Metabolomics, Epigenetics and Malnutrition:</w:t>
      </w:r>
    </w:p>
    <w:p w14:paraId="722E53A4" w14:textId="77777777" w:rsidR="001024EC" w:rsidRDefault="001024EC" w:rsidP="001024EC">
      <w:pPr>
        <w:rPr>
          <w:rFonts w:ascii="Arial" w:hAnsi="Arial" w:cs="Arial"/>
          <w:sz w:val="20"/>
          <w:szCs w:val="20"/>
        </w:rPr>
      </w:pPr>
      <w:r>
        <w:rPr>
          <w:rFonts w:ascii="Arial" w:hAnsi="Arial" w:cs="Arial"/>
          <w:sz w:val="20"/>
          <w:szCs w:val="20"/>
        </w:rPr>
        <w:t>• Metabolomics demonstrated that gut microbiota dysbiosis was associated with a reduced capacity of the gut microbiome to synthesize essential amino acids, and that malnourished children had lower levels of essential amino acids in plasma</w:t>
      </w:r>
      <w:r>
        <w:rPr>
          <w:rFonts w:ascii="Arial" w:hAnsi="Arial" w:cs="Arial"/>
          <w:sz w:val="20"/>
          <w:szCs w:val="20"/>
          <w:vertAlign w:val="superscript"/>
        </w:rPr>
        <w:t>23</w:t>
      </w:r>
      <w:r>
        <w:rPr>
          <w:rFonts w:ascii="Arial" w:hAnsi="Arial" w:cs="Arial"/>
          <w:sz w:val="20"/>
          <w:szCs w:val="20"/>
        </w:rPr>
        <w:t>.</w:t>
      </w:r>
    </w:p>
    <w:p w14:paraId="764B9C35" w14:textId="77777777" w:rsidR="001024EC" w:rsidRPr="00490C80" w:rsidRDefault="001024EC" w:rsidP="001024EC">
      <w:pPr>
        <w:rPr>
          <w:rFonts w:ascii="Arial" w:hAnsi="Arial" w:cs="Arial"/>
          <w:sz w:val="20"/>
          <w:szCs w:val="20"/>
        </w:rPr>
      </w:pPr>
      <w:r>
        <w:rPr>
          <w:rFonts w:ascii="Arial" w:hAnsi="Arial" w:cs="Arial"/>
          <w:sz w:val="20"/>
          <w:szCs w:val="20"/>
        </w:rPr>
        <w:t xml:space="preserve">• </w:t>
      </w:r>
      <w:r w:rsidRPr="00490C80">
        <w:rPr>
          <w:rFonts w:ascii="Arial" w:hAnsi="Arial" w:cs="Arial"/>
          <w:sz w:val="20"/>
          <w:szCs w:val="20"/>
        </w:rPr>
        <w:t>Epigenetic changes (histone H3 lys</w:t>
      </w:r>
      <w:r>
        <w:rPr>
          <w:rFonts w:ascii="Arial" w:hAnsi="Arial" w:cs="Arial"/>
          <w:sz w:val="20"/>
          <w:szCs w:val="20"/>
        </w:rPr>
        <w:t>ine 4 trimethylation) emerged</w:t>
      </w:r>
      <w:r w:rsidRPr="00490C80">
        <w:rPr>
          <w:rFonts w:ascii="Arial" w:hAnsi="Arial" w:cs="Arial"/>
          <w:sz w:val="20"/>
          <w:szCs w:val="20"/>
        </w:rPr>
        <w:t xml:space="preserve"> over </w:t>
      </w:r>
      <w:r>
        <w:rPr>
          <w:rFonts w:ascii="Arial" w:hAnsi="Arial" w:cs="Arial"/>
          <w:sz w:val="20"/>
          <w:szCs w:val="20"/>
        </w:rPr>
        <w:t>the first year of life and involved</w:t>
      </w:r>
      <w:r w:rsidRPr="00490C80">
        <w:rPr>
          <w:rFonts w:ascii="Arial" w:hAnsi="Arial" w:cs="Arial"/>
          <w:sz w:val="20"/>
          <w:szCs w:val="20"/>
        </w:rPr>
        <w:t xml:space="preserve"> a global decrease in methylation at canonical locations near gene start sites and increased methylation at ectopic sites throughout the genome</w:t>
      </w:r>
      <w:r>
        <w:rPr>
          <w:rFonts w:ascii="Arial" w:hAnsi="Arial" w:cs="Arial"/>
          <w:sz w:val="20"/>
          <w:szCs w:val="20"/>
          <w:vertAlign w:val="superscript"/>
        </w:rPr>
        <w:t>25</w:t>
      </w:r>
      <w:r w:rsidRPr="00490C80">
        <w:rPr>
          <w:rFonts w:ascii="Arial" w:hAnsi="Arial" w:cs="Arial"/>
          <w:sz w:val="20"/>
          <w:szCs w:val="20"/>
        </w:rPr>
        <w:t>.</w:t>
      </w:r>
    </w:p>
    <w:p w14:paraId="4DB4912B" w14:textId="77777777" w:rsidR="001024EC" w:rsidRDefault="001024EC" w:rsidP="001024EC">
      <w:pPr>
        <w:rPr>
          <w:rFonts w:ascii="Arial" w:hAnsi="Arial" w:cs="Arial"/>
          <w:sz w:val="20"/>
          <w:szCs w:val="20"/>
        </w:rPr>
      </w:pPr>
    </w:p>
    <w:p w14:paraId="2331F876" w14:textId="77777777" w:rsidR="001024EC" w:rsidRPr="00786477" w:rsidRDefault="001024EC" w:rsidP="001024EC">
      <w:pPr>
        <w:tabs>
          <w:tab w:val="left" w:pos="360"/>
        </w:tabs>
        <w:rPr>
          <w:rFonts w:ascii="Arial" w:hAnsi="Arial" w:cs="Arial"/>
          <w:b/>
          <w:sz w:val="20"/>
          <w:szCs w:val="20"/>
        </w:rPr>
      </w:pPr>
      <w:r>
        <w:rPr>
          <w:rFonts w:ascii="Arial" w:hAnsi="Arial" w:cs="Arial"/>
          <w:b/>
          <w:sz w:val="20"/>
          <w:szCs w:val="20"/>
        </w:rPr>
        <w:t>Neurocognitive Development and EED</w:t>
      </w:r>
    </w:p>
    <w:p w14:paraId="4F15988A" w14:textId="77777777" w:rsidR="001024EC" w:rsidRDefault="001024EC" w:rsidP="001024EC">
      <w:pPr>
        <w:rPr>
          <w:rFonts w:ascii="Arial" w:eastAsia="Times New Roman" w:hAnsi="Arial" w:cs="Arial"/>
          <w:color w:val="000000"/>
          <w:sz w:val="20"/>
          <w:szCs w:val="20"/>
          <w:shd w:val="clear" w:color="auto" w:fill="FFFFFF"/>
        </w:rPr>
      </w:pPr>
      <w:r w:rsidRPr="009F176B">
        <w:rPr>
          <w:rFonts w:ascii="Arial" w:eastAsia="Times New Roman" w:hAnsi="Arial" w:cs="Arial"/>
          <w:color w:val="000000"/>
          <w:sz w:val="20"/>
          <w:szCs w:val="20"/>
          <w:shd w:val="clear" w:color="auto" w:fill="FFFFFF"/>
        </w:rPr>
        <w:t xml:space="preserve">• Systemic inflammatory markers </w:t>
      </w:r>
      <w:r>
        <w:rPr>
          <w:rFonts w:ascii="Arial" w:eastAsia="Times New Roman" w:hAnsi="Arial" w:cs="Arial"/>
          <w:color w:val="000000"/>
          <w:sz w:val="20"/>
          <w:szCs w:val="20"/>
          <w:shd w:val="clear" w:color="auto" w:fill="FFFFFF"/>
        </w:rPr>
        <w:t xml:space="preserve">and febrile illness early in life </w:t>
      </w:r>
      <w:r w:rsidRPr="009F176B">
        <w:rPr>
          <w:rFonts w:ascii="Arial" w:eastAsia="Times New Roman" w:hAnsi="Arial" w:cs="Arial"/>
          <w:color w:val="000000"/>
          <w:sz w:val="20"/>
          <w:szCs w:val="20"/>
          <w:shd w:val="clear" w:color="auto" w:fill="FFFFFF"/>
        </w:rPr>
        <w:t xml:space="preserve">were </w:t>
      </w:r>
      <w:r>
        <w:rPr>
          <w:rFonts w:ascii="Arial" w:eastAsia="Times New Roman" w:hAnsi="Arial" w:cs="Arial"/>
          <w:color w:val="000000"/>
          <w:sz w:val="20"/>
          <w:szCs w:val="20"/>
          <w:shd w:val="clear" w:color="auto" w:fill="FFFFFF"/>
        </w:rPr>
        <w:t>significantly associated with poor neurodevelopmental outcomes</w:t>
      </w:r>
      <w:r>
        <w:rPr>
          <w:rFonts w:ascii="Arial" w:eastAsia="Times New Roman" w:hAnsi="Arial" w:cs="Arial"/>
          <w:color w:val="000000"/>
          <w:sz w:val="20"/>
          <w:szCs w:val="20"/>
          <w:shd w:val="clear" w:color="auto" w:fill="FFFFFF"/>
          <w:vertAlign w:val="superscript"/>
        </w:rPr>
        <w:t>20,26,27</w:t>
      </w:r>
      <w:r>
        <w:rPr>
          <w:rFonts w:ascii="Arial" w:eastAsia="Times New Roman" w:hAnsi="Arial" w:cs="Arial"/>
          <w:color w:val="000000"/>
          <w:sz w:val="20"/>
          <w:szCs w:val="20"/>
          <w:shd w:val="clear" w:color="auto" w:fill="FFFFFF"/>
        </w:rPr>
        <w:t>. Conversely a type 2 anti-inflammatory response was associated with a better neurodevelopmental outcome</w:t>
      </w:r>
      <w:r>
        <w:rPr>
          <w:rFonts w:ascii="Arial" w:eastAsia="Times New Roman" w:hAnsi="Arial" w:cs="Arial"/>
          <w:color w:val="000000"/>
          <w:sz w:val="20"/>
          <w:szCs w:val="20"/>
          <w:shd w:val="clear" w:color="auto" w:fill="FFFFFF"/>
          <w:vertAlign w:val="superscript"/>
        </w:rPr>
        <w:t>26</w:t>
      </w:r>
      <w:r>
        <w:rPr>
          <w:rFonts w:ascii="Arial" w:eastAsia="Times New Roman" w:hAnsi="Arial" w:cs="Arial"/>
          <w:color w:val="000000"/>
          <w:sz w:val="20"/>
          <w:szCs w:val="20"/>
          <w:shd w:val="clear" w:color="auto" w:fill="FFFFFF"/>
        </w:rPr>
        <w:t>.</w:t>
      </w:r>
    </w:p>
    <w:p w14:paraId="0A89BF87" w14:textId="77777777" w:rsidR="001024EC" w:rsidRDefault="001024EC" w:rsidP="001024EC">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Malnutrition at birth (stunted and underweight) was also associated with a worse neurocognitive outcome</w:t>
      </w:r>
      <w:r>
        <w:rPr>
          <w:rFonts w:ascii="Arial" w:eastAsia="Times New Roman" w:hAnsi="Arial" w:cs="Arial"/>
          <w:color w:val="000000"/>
          <w:sz w:val="20"/>
          <w:szCs w:val="20"/>
          <w:shd w:val="clear" w:color="auto" w:fill="FFFFFF"/>
          <w:vertAlign w:val="superscript"/>
        </w:rPr>
        <w:t>20</w:t>
      </w:r>
      <w:r>
        <w:rPr>
          <w:rFonts w:ascii="Arial" w:eastAsia="Times New Roman" w:hAnsi="Arial" w:cs="Arial"/>
          <w:color w:val="000000"/>
          <w:sz w:val="20"/>
          <w:szCs w:val="20"/>
          <w:shd w:val="clear" w:color="auto" w:fill="FFFFFF"/>
        </w:rPr>
        <w:t>.</w:t>
      </w:r>
    </w:p>
    <w:p w14:paraId="618545E7" w14:textId="77777777" w:rsidR="001024EC" w:rsidRDefault="001024EC" w:rsidP="001024EC">
      <w:pPr>
        <w:rPr>
          <w:rFonts w:ascii="Arial" w:eastAsia="Times New Roman" w:hAnsi="Arial" w:cs="Arial"/>
          <w:color w:val="000000"/>
          <w:sz w:val="20"/>
          <w:szCs w:val="20"/>
          <w:shd w:val="clear" w:color="auto" w:fill="FFFFFF"/>
        </w:rPr>
      </w:pPr>
    </w:p>
    <w:p w14:paraId="50D7A108" w14:textId="77777777" w:rsidR="001024EC" w:rsidRPr="00F568B5" w:rsidRDefault="001024EC" w:rsidP="001024EC">
      <w:pPr>
        <w:tabs>
          <w:tab w:val="left" w:pos="360"/>
          <w:tab w:val="num" w:pos="540"/>
        </w:tabs>
        <w:jc w:val="both"/>
        <w:rPr>
          <w:rFonts w:ascii="Arial" w:eastAsia="Times New Roman" w:hAnsi="Arial" w:cs="Arial"/>
          <w:b/>
          <w:color w:val="000000"/>
          <w:sz w:val="20"/>
          <w:szCs w:val="20"/>
          <w:highlight w:val="yellow"/>
          <w:shd w:val="clear" w:color="auto" w:fill="FFFFFF"/>
        </w:rPr>
      </w:pPr>
      <w:r w:rsidRPr="00F568B5">
        <w:rPr>
          <w:rFonts w:ascii="Arial" w:eastAsia="Times New Roman" w:hAnsi="Arial" w:cs="Arial"/>
          <w:b/>
          <w:color w:val="000000"/>
          <w:sz w:val="20"/>
          <w:szCs w:val="20"/>
          <w:shd w:val="clear" w:color="auto" w:fill="FFFFFF"/>
        </w:rPr>
        <w:t>EED and Wheezing</w:t>
      </w:r>
    </w:p>
    <w:p w14:paraId="7B49A23E" w14:textId="77777777" w:rsidR="001024EC" w:rsidRPr="00EF2AA4" w:rsidRDefault="001024EC" w:rsidP="001024EC">
      <w:pPr>
        <w:rPr>
          <w:rFonts w:ascii="Arial" w:hAnsi="Arial" w:cs="Arial"/>
          <w:sz w:val="20"/>
          <w:szCs w:val="20"/>
        </w:rPr>
      </w:pPr>
      <w:r>
        <w:rPr>
          <w:rFonts w:ascii="Arial" w:hAnsi="Arial" w:cs="Arial"/>
          <w:sz w:val="20"/>
          <w:szCs w:val="20"/>
        </w:rPr>
        <w:t xml:space="preserve">• </w:t>
      </w:r>
      <w:r w:rsidRPr="00EF2AA4">
        <w:rPr>
          <w:rFonts w:ascii="Arial" w:hAnsi="Arial" w:cs="Arial"/>
          <w:sz w:val="20"/>
          <w:szCs w:val="20"/>
        </w:rPr>
        <w:t>Wheezing in the first year of life was predicted by systemic inflammation early</w:t>
      </w:r>
      <w:r>
        <w:rPr>
          <w:rFonts w:ascii="Arial" w:hAnsi="Arial" w:cs="Arial"/>
          <w:sz w:val="20"/>
          <w:szCs w:val="20"/>
        </w:rPr>
        <w:t xml:space="preserve"> in life, poverty, and male sex</w:t>
      </w:r>
      <w:r>
        <w:rPr>
          <w:rFonts w:ascii="Arial" w:hAnsi="Arial" w:cs="Arial"/>
          <w:sz w:val="20"/>
          <w:szCs w:val="20"/>
          <w:vertAlign w:val="superscript"/>
        </w:rPr>
        <w:t>28</w:t>
      </w:r>
      <w:r>
        <w:rPr>
          <w:rFonts w:ascii="Arial" w:hAnsi="Arial" w:cs="Arial"/>
          <w:sz w:val="20"/>
          <w:szCs w:val="20"/>
        </w:rPr>
        <w:t>.</w:t>
      </w:r>
    </w:p>
    <w:p w14:paraId="627053EB" w14:textId="77777777" w:rsidR="00112569" w:rsidRPr="004A3817" w:rsidRDefault="00112569" w:rsidP="00112569">
      <w:pPr>
        <w:ind w:left="450" w:hanging="450"/>
        <w:rPr>
          <w:rFonts w:ascii="Arial" w:hAnsi="Arial" w:cs="Arial"/>
          <w:sz w:val="20"/>
          <w:szCs w:val="20"/>
        </w:rPr>
      </w:pPr>
    </w:p>
    <w:p w14:paraId="0A504DF1" w14:textId="77777777" w:rsidR="00112569" w:rsidRPr="004A3817" w:rsidRDefault="00112569" w:rsidP="00112569">
      <w:pPr>
        <w:rPr>
          <w:rFonts w:ascii="Arial" w:hAnsi="Arial" w:cs="Arial"/>
          <w:sz w:val="20"/>
          <w:szCs w:val="20"/>
        </w:rPr>
      </w:pPr>
    </w:p>
    <w:p w14:paraId="226C9079" w14:textId="4F7BC28A" w:rsidR="00112569" w:rsidRPr="004A3817" w:rsidRDefault="00E01E79" w:rsidP="00112569">
      <w:pPr>
        <w:widowControl w:val="0"/>
        <w:autoSpaceDE w:val="0"/>
        <w:autoSpaceDN w:val="0"/>
        <w:adjustRightInd w:val="0"/>
        <w:jc w:val="center"/>
        <w:rPr>
          <w:rFonts w:ascii="Arial" w:hAnsi="Arial" w:cs="Arial"/>
          <w:b/>
          <w:color w:val="0000FF"/>
          <w:sz w:val="20"/>
          <w:szCs w:val="20"/>
        </w:rPr>
      </w:pPr>
      <w:r w:rsidRPr="004A3817">
        <w:rPr>
          <w:rFonts w:ascii="Arial" w:hAnsi="Arial" w:cs="Arial"/>
          <w:b/>
          <w:color w:val="0000FF"/>
          <w:sz w:val="20"/>
          <w:szCs w:val="20"/>
        </w:rPr>
        <w:t>On-going Research</w:t>
      </w:r>
    </w:p>
    <w:p w14:paraId="3B7773FE" w14:textId="77777777" w:rsidR="007F4B6C" w:rsidRPr="004A3817" w:rsidRDefault="007F4B6C" w:rsidP="00112569">
      <w:pPr>
        <w:widowControl w:val="0"/>
        <w:autoSpaceDE w:val="0"/>
        <w:autoSpaceDN w:val="0"/>
        <w:adjustRightInd w:val="0"/>
        <w:jc w:val="center"/>
        <w:rPr>
          <w:rFonts w:ascii="Arial" w:hAnsi="Arial" w:cs="Arial"/>
          <w:b/>
          <w:color w:val="0000FF"/>
          <w:sz w:val="20"/>
          <w:szCs w:val="20"/>
        </w:rPr>
      </w:pPr>
    </w:p>
    <w:p w14:paraId="10B2899D" w14:textId="77777777" w:rsidR="007A20BB" w:rsidRPr="004A3817" w:rsidRDefault="007A20BB" w:rsidP="007A20BB">
      <w:pPr>
        <w:widowControl w:val="0"/>
        <w:autoSpaceDE w:val="0"/>
        <w:autoSpaceDN w:val="0"/>
        <w:adjustRightInd w:val="0"/>
        <w:ind w:left="540" w:hanging="540"/>
        <w:rPr>
          <w:rFonts w:ascii="Arial" w:hAnsi="Arial" w:cs="Arial"/>
          <w:sz w:val="20"/>
          <w:szCs w:val="20"/>
        </w:rPr>
      </w:pPr>
      <w:r w:rsidRPr="004A3817">
        <w:rPr>
          <w:rFonts w:ascii="Arial" w:hAnsi="Arial" w:cs="Arial"/>
          <w:sz w:val="20"/>
          <w:szCs w:val="20"/>
        </w:rPr>
        <w:t xml:space="preserve">• Design of a maternal nutritional supplement with Perrigo Nutritionals, Inc. (Bill Petri – </w:t>
      </w:r>
      <w:proofErr w:type="spellStart"/>
      <w:r w:rsidRPr="004A3817">
        <w:rPr>
          <w:rFonts w:ascii="Arial" w:hAnsi="Arial" w:cs="Arial"/>
          <w:sz w:val="20"/>
          <w:szCs w:val="20"/>
        </w:rPr>
        <w:t>UVa</w:t>
      </w:r>
      <w:proofErr w:type="spellEnd"/>
      <w:r w:rsidRPr="004A3817">
        <w:rPr>
          <w:rFonts w:ascii="Arial" w:hAnsi="Arial" w:cs="Arial"/>
          <w:sz w:val="20"/>
          <w:szCs w:val="20"/>
        </w:rPr>
        <w:t xml:space="preserve">, Cindy Barber – Perrigo, Inc. and Tahmeed Ahmed – </w:t>
      </w:r>
      <w:proofErr w:type="gramStart"/>
      <w:r w:rsidRPr="004A3817">
        <w:rPr>
          <w:rFonts w:ascii="Arial" w:hAnsi="Arial" w:cs="Arial"/>
          <w:sz w:val="20"/>
          <w:szCs w:val="20"/>
        </w:rPr>
        <w:t>icddr,b</w:t>
      </w:r>
      <w:proofErr w:type="gramEnd"/>
      <w:r w:rsidRPr="004A3817">
        <w:rPr>
          <w:rFonts w:ascii="Arial" w:hAnsi="Arial" w:cs="Arial"/>
          <w:sz w:val="20"/>
          <w:szCs w:val="20"/>
        </w:rPr>
        <w:t>)</w:t>
      </w:r>
    </w:p>
    <w:p w14:paraId="3985D597" w14:textId="525F95CC" w:rsidR="00112569" w:rsidRPr="004A3817" w:rsidRDefault="00E01E79" w:rsidP="00E01E79">
      <w:pPr>
        <w:widowControl w:val="0"/>
        <w:autoSpaceDE w:val="0"/>
        <w:autoSpaceDN w:val="0"/>
        <w:adjustRightInd w:val="0"/>
        <w:ind w:left="540" w:hanging="540"/>
        <w:rPr>
          <w:rFonts w:ascii="Arial" w:hAnsi="Arial" w:cs="Arial"/>
          <w:sz w:val="20"/>
          <w:szCs w:val="20"/>
        </w:rPr>
      </w:pPr>
      <w:r w:rsidRPr="004A3817">
        <w:rPr>
          <w:rFonts w:ascii="Arial" w:hAnsi="Arial" w:cs="Arial"/>
          <w:sz w:val="20"/>
          <w:szCs w:val="20"/>
        </w:rPr>
        <w:t xml:space="preserve">• Enteropathogens associated with vaccine failure, stunting, wheezing and cognitive impairment (Bill Petri &amp; Eric </w:t>
      </w:r>
      <w:proofErr w:type="spellStart"/>
      <w:r w:rsidRPr="004A3817">
        <w:rPr>
          <w:rFonts w:ascii="Arial" w:hAnsi="Arial" w:cs="Arial"/>
          <w:sz w:val="20"/>
          <w:szCs w:val="20"/>
        </w:rPr>
        <w:t>Houpt</w:t>
      </w:r>
      <w:proofErr w:type="spellEnd"/>
      <w:r w:rsidRPr="004A3817">
        <w:rPr>
          <w:rFonts w:ascii="Arial" w:hAnsi="Arial" w:cs="Arial"/>
          <w:sz w:val="20"/>
          <w:szCs w:val="20"/>
        </w:rPr>
        <w:t xml:space="preserve"> - </w:t>
      </w:r>
      <w:proofErr w:type="spellStart"/>
      <w:r w:rsidRPr="004A3817">
        <w:rPr>
          <w:rFonts w:ascii="Arial" w:hAnsi="Arial" w:cs="Arial"/>
          <w:sz w:val="20"/>
          <w:szCs w:val="20"/>
        </w:rPr>
        <w:t>UVa</w:t>
      </w:r>
      <w:proofErr w:type="spellEnd"/>
      <w:r w:rsidRPr="004A3817">
        <w:rPr>
          <w:rFonts w:ascii="Arial" w:hAnsi="Arial" w:cs="Arial"/>
          <w:sz w:val="20"/>
          <w:szCs w:val="20"/>
        </w:rPr>
        <w:t>)</w:t>
      </w:r>
    </w:p>
    <w:p w14:paraId="299B010C" w14:textId="24CE2B89" w:rsidR="00112569" w:rsidRPr="004A3817" w:rsidRDefault="00112569" w:rsidP="00112569">
      <w:pPr>
        <w:widowControl w:val="0"/>
        <w:autoSpaceDE w:val="0"/>
        <w:autoSpaceDN w:val="0"/>
        <w:adjustRightInd w:val="0"/>
        <w:rPr>
          <w:rFonts w:ascii="Arial" w:hAnsi="Arial" w:cs="Arial"/>
          <w:sz w:val="20"/>
          <w:szCs w:val="20"/>
        </w:rPr>
      </w:pPr>
      <w:r w:rsidRPr="004A3817">
        <w:rPr>
          <w:rFonts w:ascii="Arial" w:hAnsi="Arial" w:cs="Arial"/>
          <w:sz w:val="20"/>
          <w:szCs w:val="20"/>
        </w:rPr>
        <w:t xml:space="preserve">• Correlates of </w:t>
      </w:r>
      <w:proofErr w:type="spellStart"/>
      <w:r w:rsidRPr="004A3817">
        <w:rPr>
          <w:rFonts w:ascii="Arial" w:hAnsi="Arial" w:cs="Arial"/>
          <w:sz w:val="20"/>
          <w:szCs w:val="20"/>
        </w:rPr>
        <w:t>Rotarix</w:t>
      </w:r>
      <w:proofErr w:type="spellEnd"/>
      <w:r w:rsidRPr="004A3817">
        <w:rPr>
          <w:rFonts w:ascii="Arial" w:hAnsi="Arial" w:cs="Arial"/>
          <w:sz w:val="20"/>
          <w:szCs w:val="20"/>
        </w:rPr>
        <w:t xml:space="preserve"> protection (Beth Kirkpatrick - UVM</w:t>
      </w:r>
      <w:r w:rsidR="004A3817" w:rsidRPr="004A3817">
        <w:rPr>
          <w:rFonts w:ascii="Arial" w:hAnsi="Arial" w:cs="Arial"/>
          <w:sz w:val="20"/>
          <w:szCs w:val="20"/>
        </w:rPr>
        <w:t xml:space="preserve"> </w:t>
      </w:r>
      <w:r w:rsidR="004A3817">
        <w:rPr>
          <w:rFonts w:ascii="Arial" w:hAnsi="Arial" w:cs="Arial"/>
          <w:sz w:val="20"/>
          <w:szCs w:val="20"/>
        </w:rPr>
        <w:t xml:space="preserve">&amp; </w:t>
      </w:r>
      <w:r w:rsidR="004A3817" w:rsidRPr="004A3817">
        <w:rPr>
          <w:rFonts w:ascii="Arial" w:hAnsi="Arial" w:cs="Arial"/>
          <w:sz w:val="20"/>
          <w:szCs w:val="20"/>
        </w:rPr>
        <w:t xml:space="preserve">Bill Petri – </w:t>
      </w:r>
      <w:proofErr w:type="spellStart"/>
      <w:r w:rsidR="004A3817" w:rsidRPr="004A3817">
        <w:rPr>
          <w:rFonts w:ascii="Arial" w:hAnsi="Arial" w:cs="Arial"/>
          <w:sz w:val="20"/>
          <w:szCs w:val="20"/>
        </w:rPr>
        <w:t>UVa</w:t>
      </w:r>
      <w:proofErr w:type="spellEnd"/>
      <w:r w:rsidRPr="004A3817">
        <w:rPr>
          <w:rFonts w:ascii="Arial" w:hAnsi="Arial" w:cs="Arial"/>
          <w:sz w:val="20"/>
          <w:szCs w:val="20"/>
        </w:rPr>
        <w:t>)</w:t>
      </w:r>
    </w:p>
    <w:p w14:paraId="3A83E1A2" w14:textId="040A0A77" w:rsidR="00112569" w:rsidRPr="004A3817" w:rsidRDefault="00112569" w:rsidP="00112569">
      <w:pPr>
        <w:widowControl w:val="0"/>
        <w:autoSpaceDE w:val="0"/>
        <w:autoSpaceDN w:val="0"/>
        <w:adjustRightInd w:val="0"/>
        <w:rPr>
          <w:rFonts w:ascii="Arial" w:hAnsi="Arial" w:cs="Arial"/>
          <w:sz w:val="20"/>
          <w:szCs w:val="20"/>
        </w:rPr>
      </w:pPr>
      <w:r w:rsidRPr="004A3817">
        <w:rPr>
          <w:rFonts w:ascii="Arial" w:hAnsi="Arial" w:cs="Arial"/>
          <w:sz w:val="20"/>
          <w:szCs w:val="20"/>
        </w:rPr>
        <w:t xml:space="preserve">• Neurostructural tests of child development (Chuck Nelson </w:t>
      </w:r>
      <w:r w:rsidR="004A3817">
        <w:rPr>
          <w:rFonts w:ascii="Arial" w:hAnsi="Arial" w:cs="Arial"/>
          <w:sz w:val="20"/>
          <w:szCs w:val="20"/>
        </w:rPr>
        <w:t>–</w:t>
      </w:r>
      <w:r w:rsidRPr="004A3817">
        <w:rPr>
          <w:rFonts w:ascii="Arial" w:hAnsi="Arial" w:cs="Arial"/>
          <w:sz w:val="20"/>
          <w:szCs w:val="20"/>
        </w:rPr>
        <w:t xml:space="preserve"> Harvard</w:t>
      </w:r>
      <w:r w:rsidR="004A3817">
        <w:rPr>
          <w:rFonts w:ascii="Arial" w:hAnsi="Arial" w:cs="Arial"/>
          <w:sz w:val="20"/>
          <w:szCs w:val="20"/>
        </w:rPr>
        <w:t xml:space="preserve"> </w:t>
      </w:r>
      <w:r w:rsidR="004A3817" w:rsidRPr="004A3817">
        <w:rPr>
          <w:rFonts w:ascii="Arial" w:hAnsi="Arial" w:cs="Arial"/>
          <w:sz w:val="20"/>
          <w:szCs w:val="20"/>
        </w:rPr>
        <w:t xml:space="preserve">Bill Petri – </w:t>
      </w:r>
      <w:proofErr w:type="spellStart"/>
      <w:r w:rsidR="004A3817" w:rsidRPr="004A3817">
        <w:rPr>
          <w:rFonts w:ascii="Arial" w:hAnsi="Arial" w:cs="Arial"/>
          <w:sz w:val="20"/>
          <w:szCs w:val="20"/>
        </w:rPr>
        <w:t>UVa</w:t>
      </w:r>
      <w:proofErr w:type="spellEnd"/>
      <w:r w:rsidRPr="004A3817">
        <w:rPr>
          <w:rFonts w:ascii="Arial" w:hAnsi="Arial" w:cs="Arial"/>
          <w:sz w:val="20"/>
          <w:szCs w:val="20"/>
        </w:rPr>
        <w:t>)</w:t>
      </w:r>
    </w:p>
    <w:p w14:paraId="7073C722" w14:textId="36B563B8" w:rsidR="00112569" w:rsidRPr="004A3817" w:rsidRDefault="00112569" w:rsidP="00112569">
      <w:pPr>
        <w:widowControl w:val="0"/>
        <w:autoSpaceDE w:val="0"/>
        <w:autoSpaceDN w:val="0"/>
        <w:adjustRightInd w:val="0"/>
        <w:rPr>
          <w:rFonts w:ascii="Arial" w:hAnsi="Arial" w:cs="Arial"/>
          <w:sz w:val="20"/>
          <w:szCs w:val="20"/>
        </w:rPr>
      </w:pPr>
      <w:r w:rsidRPr="004A3817">
        <w:rPr>
          <w:rFonts w:ascii="Arial" w:hAnsi="Arial" w:cs="Arial"/>
          <w:sz w:val="20"/>
          <w:szCs w:val="20"/>
        </w:rPr>
        <w:t xml:space="preserve">• T cell senescence in infants in Dhaka vs Palo Alto (Mark Davis </w:t>
      </w:r>
      <w:r w:rsidR="004A3817">
        <w:rPr>
          <w:rFonts w:ascii="Arial" w:hAnsi="Arial" w:cs="Arial"/>
          <w:sz w:val="20"/>
          <w:szCs w:val="20"/>
        </w:rPr>
        <w:t>–</w:t>
      </w:r>
      <w:r w:rsidRPr="004A3817">
        <w:rPr>
          <w:rFonts w:ascii="Arial" w:hAnsi="Arial" w:cs="Arial"/>
          <w:sz w:val="20"/>
          <w:szCs w:val="20"/>
        </w:rPr>
        <w:t xml:space="preserve"> Stanford</w:t>
      </w:r>
      <w:r w:rsidR="004A3817">
        <w:rPr>
          <w:rFonts w:ascii="Arial" w:hAnsi="Arial" w:cs="Arial"/>
          <w:sz w:val="20"/>
          <w:szCs w:val="20"/>
        </w:rPr>
        <w:t xml:space="preserve"> &amp; </w:t>
      </w:r>
      <w:r w:rsidR="004A3817" w:rsidRPr="004A3817">
        <w:rPr>
          <w:rFonts w:ascii="Arial" w:hAnsi="Arial" w:cs="Arial"/>
          <w:sz w:val="20"/>
          <w:szCs w:val="20"/>
        </w:rPr>
        <w:t xml:space="preserve">Bill Petri – </w:t>
      </w:r>
      <w:proofErr w:type="spellStart"/>
      <w:r w:rsidR="004A3817" w:rsidRPr="004A3817">
        <w:rPr>
          <w:rFonts w:ascii="Arial" w:hAnsi="Arial" w:cs="Arial"/>
          <w:sz w:val="20"/>
          <w:szCs w:val="20"/>
        </w:rPr>
        <w:t>UVa</w:t>
      </w:r>
      <w:proofErr w:type="spellEnd"/>
      <w:r w:rsidRPr="004A3817">
        <w:rPr>
          <w:rFonts w:ascii="Arial" w:hAnsi="Arial" w:cs="Arial"/>
          <w:sz w:val="20"/>
          <w:szCs w:val="20"/>
        </w:rPr>
        <w:t>)</w:t>
      </w:r>
    </w:p>
    <w:p w14:paraId="24AB67E7" w14:textId="77777777" w:rsidR="00112569" w:rsidRPr="004A3817" w:rsidRDefault="00112569" w:rsidP="00112569">
      <w:pPr>
        <w:widowControl w:val="0"/>
        <w:autoSpaceDE w:val="0"/>
        <w:autoSpaceDN w:val="0"/>
        <w:adjustRightInd w:val="0"/>
        <w:rPr>
          <w:rFonts w:ascii="Arial" w:hAnsi="Arial" w:cs="Arial"/>
          <w:sz w:val="20"/>
          <w:szCs w:val="20"/>
        </w:rPr>
      </w:pPr>
      <w:r w:rsidRPr="004A3817">
        <w:rPr>
          <w:rFonts w:ascii="Arial" w:hAnsi="Arial" w:cs="Arial"/>
          <w:sz w:val="20"/>
          <w:szCs w:val="20"/>
        </w:rPr>
        <w:t xml:space="preserve">• Epigenetics of malnutrition as measured by histone tail modifications (David Auble - </w:t>
      </w:r>
      <w:proofErr w:type="spellStart"/>
      <w:r w:rsidRPr="004A3817">
        <w:rPr>
          <w:rFonts w:ascii="Arial" w:hAnsi="Arial" w:cs="Arial"/>
          <w:sz w:val="20"/>
          <w:szCs w:val="20"/>
        </w:rPr>
        <w:t>UVa</w:t>
      </w:r>
      <w:proofErr w:type="spellEnd"/>
      <w:r w:rsidRPr="004A3817">
        <w:rPr>
          <w:rFonts w:ascii="Arial" w:hAnsi="Arial" w:cs="Arial"/>
          <w:sz w:val="20"/>
          <w:szCs w:val="20"/>
        </w:rPr>
        <w:t>)</w:t>
      </w:r>
    </w:p>
    <w:p w14:paraId="5EBDC8D5" w14:textId="3A7DE8A0" w:rsidR="00112569" w:rsidRDefault="00112569" w:rsidP="00112569">
      <w:pPr>
        <w:widowControl w:val="0"/>
        <w:autoSpaceDE w:val="0"/>
        <w:autoSpaceDN w:val="0"/>
        <w:adjustRightInd w:val="0"/>
        <w:rPr>
          <w:rFonts w:ascii="Arial" w:hAnsi="Arial" w:cs="Arial"/>
          <w:sz w:val="20"/>
          <w:szCs w:val="20"/>
        </w:rPr>
      </w:pPr>
      <w:r w:rsidRPr="004A3817">
        <w:rPr>
          <w:rFonts w:ascii="Arial" w:hAnsi="Arial" w:cs="Arial"/>
          <w:sz w:val="20"/>
          <w:szCs w:val="20"/>
        </w:rPr>
        <w:t>• Metabolomic</w:t>
      </w:r>
      <w:r w:rsidR="00517F7F">
        <w:rPr>
          <w:rFonts w:ascii="Arial" w:hAnsi="Arial" w:cs="Arial"/>
          <w:sz w:val="20"/>
          <w:szCs w:val="20"/>
        </w:rPr>
        <w:t xml:space="preserve"> and metagenomic</w:t>
      </w:r>
      <w:r w:rsidRPr="004A3817">
        <w:rPr>
          <w:rFonts w:ascii="Arial" w:hAnsi="Arial" w:cs="Arial"/>
          <w:sz w:val="20"/>
          <w:szCs w:val="20"/>
        </w:rPr>
        <w:t xml:space="preserve"> signature of malnutrition (Bill Petri – </w:t>
      </w:r>
      <w:proofErr w:type="spellStart"/>
      <w:r w:rsidRPr="004A3817">
        <w:rPr>
          <w:rFonts w:ascii="Arial" w:hAnsi="Arial" w:cs="Arial"/>
          <w:sz w:val="20"/>
          <w:szCs w:val="20"/>
        </w:rPr>
        <w:t>UVa</w:t>
      </w:r>
      <w:proofErr w:type="spellEnd"/>
      <w:r w:rsidRPr="004A3817">
        <w:rPr>
          <w:rFonts w:ascii="Arial" w:hAnsi="Arial" w:cs="Arial"/>
          <w:sz w:val="20"/>
          <w:szCs w:val="20"/>
        </w:rPr>
        <w:t>, Jens Nielsen – Chalmers</w:t>
      </w:r>
      <w:r w:rsidR="00517F7F">
        <w:rPr>
          <w:rFonts w:ascii="Arial" w:hAnsi="Arial" w:cs="Arial"/>
          <w:sz w:val="20"/>
          <w:szCs w:val="20"/>
        </w:rPr>
        <w:t>, Rob Knight - UCSD</w:t>
      </w:r>
      <w:r w:rsidRPr="004A3817">
        <w:rPr>
          <w:rFonts w:ascii="Arial" w:hAnsi="Arial" w:cs="Arial"/>
          <w:sz w:val="20"/>
          <w:szCs w:val="20"/>
        </w:rPr>
        <w:t>)</w:t>
      </w:r>
    </w:p>
    <w:p w14:paraId="00966208" w14:textId="77777777" w:rsidR="004A3817" w:rsidRDefault="004A3817" w:rsidP="00112569">
      <w:pPr>
        <w:widowControl w:val="0"/>
        <w:autoSpaceDE w:val="0"/>
        <w:autoSpaceDN w:val="0"/>
        <w:adjustRightInd w:val="0"/>
        <w:rPr>
          <w:rFonts w:ascii="Arial" w:hAnsi="Arial" w:cs="Arial"/>
          <w:sz w:val="20"/>
          <w:szCs w:val="20"/>
        </w:rPr>
      </w:pPr>
    </w:p>
    <w:p w14:paraId="41E3FBF2" w14:textId="77777777" w:rsidR="006521A8" w:rsidRPr="004A3817" w:rsidRDefault="006521A8" w:rsidP="006521A8">
      <w:pPr>
        <w:jc w:val="center"/>
        <w:rPr>
          <w:rFonts w:ascii="Arial" w:hAnsi="Arial" w:cs="Arial"/>
          <w:b/>
          <w:color w:val="0000FF"/>
          <w:sz w:val="20"/>
          <w:szCs w:val="20"/>
        </w:rPr>
      </w:pPr>
      <w:r w:rsidRPr="004A3817">
        <w:rPr>
          <w:rFonts w:ascii="Arial" w:hAnsi="Arial" w:cs="Arial"/>
          <w:b/>
          <w:color w:val="0000FF"/>
          <w:sz w:val="20"/>
          <w:szCs w:val="20"/>
        </w:rPr>
        <w:t>Child Health Outcomes Measured</w:t>
      </w:r>
    </w:p>
    <w:p w14:paraId="624546E8" w14:textId="77777777" w:rsidR="006521A8" w:rsidRPr="004A3817" w:rsidRDefault="006521A8" w:rsidP="006521A8">
      <w:pPr>
        <w:jc w:val="center"/>
        <w:rPr>
          <w:rFonts w:ascii="Arial" w:hAnsi="Arial" w:cs="Arial"/>
          <w:b/>
          <w:color w:val="0000FF"/>
          <w:sz w:val="20"/>
          <w:szCs w:val="20"/>
        </w:rPr>
      </w:pPr>
    </w:p>
    <w:p w14:paraId="16BE23E0" w14:textId="77777777" w:rsidR="006521A8" w:rsidRPr="004A3817" w:rsidRDefault="006521A8" w:rsidP="006521A8">
      <w:pPr>
        <w:rPr>
          <w:rFonts w:ascii="Arial" w:hAnsi="Arial" w:cs="Arial"/>
          <w:sz w:val="20"/>
          <w:szCs w:val="20"/>
        </w:rPr>
      </w:pPr>
      <w:r w:rsidRPr="004A3817">
        <w:rPr>
          <w:rFonts w:ascii="Arial" w:hAnsi="Arial" w:cs="Arial"/>
          <w:sz w:val="20"/>
          <w:szCs w:val="20"/>
        </w:rPr>
        <w:t>Growth from birth to 5 years of age.</w:t>
      </w:r>
    </w:p>
    <w:p w14:paraId="177309F1" w14:textId="77777777" w:rsidR="006521A8" w:rsidRPr="004A3817" w:rsidRDefault="006521A8" w:rsidP="006521A8">
      <w:pPr>
        <w:rPr>
          <w:rFonts w:ascii="Arial" w:hAnsi="Arial" w:cs="Arial"/>
          <w:sz w:val="20"/>
          <w:szCs w:val="20"/>
        </w:rPr>
      </w:pPr>
      <w:r w:rsidRPr="004A3817">
        <w:rPr>
          <w:rFonts w:ascii="Arial" w:hAnsi="Arial" w:cs="Arial"/>
          <w:sz w:val="20"/>
          <w:szCs w:val="20"/>
        </w:rPr>
        <w:t>EPI Vaccine response.</w:t>
      </w:r>
    </w:p>
    <w:p w14:paraId="3351138E" w14:textId="77777777" w:rsidR="006521A8" w:rsidRPr="004A3817" w:rsidRDefault="006521A8" w:rsidP="006521A8">
      <w:pPr>
        <w:rPr>
          <w:rFonts w:ascii="Arial" w:hAnsi="Arial" w:cs="Arial"/>
          <w:sz w:val="20"/>
          <w:szCs w:val="20"/>
        </w:rPr>
      </w:pPr>
      <w:r w:rsidRPr="004A3817">
        <w:rPr>
          <w:rFonts w:ascii="Arial" w:hAnsi="Arial" w:cs="Arial"/>
          <w:sz w:val="20"/>
          <w:szCs w:val="20"/>
        </w:rPr>
        <w:t xml:space="preserve">Neurocognitive development (Bayley’s, Mullens and WPPSI tests, EEG, </w:t>
      </w:r>
      <w:proofErr w:type="spellStart"/>
      <w:r w:rsidRPr="004A3817">
        <w:rPr>
          <w:rFonts w:ascii="Arial" w:hAnsi="Arial" w:cs="Arial"/>
          <w:sz w:val="20"/>
          <w:szCs w:val="20"/>
        </w:rPr>
        <w:t>fNIRS</w:t>
      </w:r>
      <w:proofErr w:type="spellEnd"/>
      <w:r w:rsidRPr="004A3817">
        <w:rPr>
          <w:rFonts w:ascii="Arial" w:hAnsi="Arial" w:cs="Arial"/>
          <w:sz w:val="20"/>
          <w:szCs w:val="20"/>
        </w:rPr>
        <w:t>, fMRI)</w:t>
      </w:r>
    </w:p>
    <w:p w14:paraId="4868007B" w14:textId="77777777" w:rsidR="006521A8" w:rsidRPr="004A3817" w:rsidRDefault="006521A8" w:rsidP="006521A8">
      <w:pPr>
        <w:rPr>
          <w:rFonts w:ascii="Arial" w:hAnsi="Arial" w:cs="Arial"/>
          <w:sz w:val="20"/>
          <w:szCs w:val="20"/>
        </w:rPr>
      </w:pPr>
    </w:p>
    <w:p w14:paraId="58E75CFA" w14:textId="77777777" w:rsidR="006521A8" w:rsidRPr="004A3817" w:rsidRDefault="006521A8" w:rsidP="006521A8">
      <w:pPr>
        <w:jc w:val="center"/>
        <w:rPr>
          <w:rFonts w:ascii="Arial" w:hAnsi="Arial" w:cs="Arial"/>
          <w:b/>
          <w:color w:val="0000FF"/>
          <w:sz w:val="20"/>
          <w:szCs w:val="20"/>
        </w:rPr>
      </w:pPr>
      <w:r w:rsidRPr="004A3817">
        <w:rPr>
          <w:rFonts w:ascii="Arial" w:hAnsi="Arial" w:cs="Arial"/>
          <w:b/>
          <w:color w:val="0000FF"/>
          <w:sz w:val="20"/>
          <w:szCs w:val="20"/>
        </w:rPr>
        <w:t>Biorepository and Database</w:t>
      </w:r>
    </w:p>
    <w:p w14:paraId="3EE6CB0C" w14:textId="77777777" w:rsidR="006521A8" w:rsidRPr="004A3817" w:rsidRDefault="006521A8" w:rsidP="006521A8">
      <w:pPr>
        <w:jc w:val="center"/>
        <w:rPr>
          <w:rFonts w:ascii="Arial" w:hAnsi="Arial" w:cs="Arial"/>
          <w:b/>
          <w:color w:val="0000FF"/>
          <w:sz w:val="20"/>
          <w:szCs w:val="20"/>
        </w:rPr>
      </w:pPr>
    </w:p>
    <w:p w14:paraId="3708583D" w14:textId="77777777" w:rsidR="006521A8" w:rsidRPr="004A3817" w:rsidRDefault="006521A8" w:rsidP="006521A8">
      <w:pPr>
        <w:rPr>
          <w:rFonts w:ascii="Arial" w:hAnsi="Arial" w:cs="Arial"/>
          <w:sz w:val="20"/>
          <w:szCs w:val="20"/>
        </w:rPr>
      </w:pPr>
      <w:r w:rsidRPr="004A3817">
        <w:rPr>
          <w:rFonts w:ascii="Arial" w:hAnsi="Arial" w:cs="Arial"/>
          <w:sz w:val="20"/>
          <w:szCs w:val="20"/>
        </w:rPr>
        <w:t xml:space="preserve">Database has 192 tables containing 4.5 million records. </w:t>
      </w:r>
    </w:p>
    <w:p w14:paraId="562DDD92" w14:textId="77777777" w:rsidR="006521A8" w:rsidRPr="004A3817" w:rsidRDefault="006521A8" w:rsidP="006521A8">
      <w:pPr>
        <w:rPr>
          <w:rFonts w:ascii="Arial" w:hAnsi="Arial" w:cs="Arial"/>
          <w:sz w:val="20"/>
          <w:szCs w:val="20"/>
        </w:rPr>
      </w:pPr>
      <w:r w:rsidRPr="004A3817">
        <w:rPr>
          <w:rFonts w:ascii="Arial" w:hAnsi="Arial" w:cs="Arial"/>
          <w:sz w:val="20"/>
          <w:szCs w:val="20"/>
        </w:rPr>
        <w:t>Biorepository of breast milk, stool and urine from children from birth to 5 years of age.</w:t>
      </w:r>
    </w:p>
    <w:p w14:paraId="389A19D5" w14:textId="77777777" w:rsidR="006521A8" w:rsidRPr="004A3817" w:rsidRDefault="006521A8" w:rsidP="006521A8">
      <w:pPr>
        <w:rPr>
          <w:rFonts w:ascii="Arial" w:hAnsi="Arial" w:cs="Arial"/>
          <w:sz w:val="20"/>
          <w:szCs w:val="20"/>
        </w:rPr>
      </w:pPr>
      <w:r w:rsidRPr="004A3817">
        <w:rPr>
          <w:rFonts w:ascii="Arial" w:hAnsi="Arial" w:cs="Arial"/>
          <w:sz w:val="20"/>
          <w:szCs w:val="20"/>
        </w:rPr>
        <w:t>GWAS and HLA typing for every child</w:t>
      </w:r>
    </w:p>
    <w:p w14:paraId="0ADDDA85" w14:textId="77777777" w:rsidR="006521A8" w:rsidRPr="004A3817" w:rsidRDefault="006521A8" w:rsidP="006521A8">
      <w:pPr>
        <w:jc w:val="center"/>
        <w:rPr>
          <w:rFonts w:ascii="Arial" w:hAnsi="Arial" w:cs="Arial"/>
          <w:b/>
          <w:color w:val="0000FF"/>
          <w:sz w:val="20"/>
          <w:szCs w:val="20"/>
        </w:rPr>
      </w:pPr>
    </w:p>
    <w:p w14:paraId="7C14E77F" w14:textId="77777777" w:rsidR="006521A8" w:rsidRPr="004A3817" w:rsidRDefault="006521A8" w:rsidP="006521A8">
      <w:pPr>
        <w:jc w:val="center"/>
        <w:rPr>
          <w:rFonts w:ascii="Arial" w:hAnsi="Arial" w:cs="Arial"/>
          <w:b/>
          <w:color w:val="0000FF"/>
          <w:sz w:val="20"/>
          <w:szCs w:val="20"/>
        </w:rPr>
      </w:pPr>
      <w:r w:rsidRPr="004A3817">
        <w:rPr>
          <w:rFonts w:ascii="Arial" w:hAnsi="Arial" w:cs="Arial"/>
          <w:b/>
          <w:color w:val="0000FF"/>
          <w:sz w:val="20"/>
          <w:szCs w:val="20"/>
        </w:rPr>
        <w:t>Vision for the Future of PROVIDE</w:t>
      </w:r>
    </w:p>
    <w:p w14:paraId="4901E268" w14:textId="77777777" w:rsidR="006521A8" w:rsidRPr="004A3817" w:rsidRDefault="006521A8" w:rsidP="006521A8">
      <w:pPr>
        <w:jc w:val="center"/>
        <w:rPr>
          <w:rFonts w:ascii="Arial" w:hAnsi="Arial" w:cs="Arial"/>
          <w:b/>
          <w:sz w:val="20"/>
          <w:szCs w:val="20"/>
        </w:rPr>
      </w:pPr>
    </w:p>
    <w:p w14:paraId="68577F94" w14:textId="7B1C9D06" w:rsidR="006521A8" w:rsidRPr="004A3817" w:rsidRDefault="006521A8" w:rsidP="006521A8">
      <w:pPr>
        <w:rPr>
          <w:rFonts w:ascii="Arial" w:hAnsi="Arial" w:cs="Arial"/>
          <w:sz w:val="20"/>
          <w:szCs w:val="20"/>
        </w:rPr>
      </w:pPr>
      <w:r w:rsidRPr="004A3817">
        <w:rPr>
          <w:rFonts w:ascii="Arial" w:hAnsi="Arial" w:cs="Arial"/>
          <w:sz w:val="20"/>
          <w:szCs w:val="20"/>
        </w:rPr>
        <w:lastRenderedPageBreak/>
        <w:t>PROVIDE we propose as the site for a multi-intervention approach to improving child health.  The focus will be correction of the three environmental contributors to infant morbidity and mortality.  The PROVIDE investigative team and the families of Mirpur Dhaka bring tremendous intellectual resources, interdisciplinary science, community good will, and a proven track record of discovery from tightly run clinical trials with superb data management.</w:t>
      </w:r>
    </w:p>
    <w:p w14:paraId="7FC63BC2" w14:textId="77777777" w:rsidR="006521A8" w:rsidRPr="004A3817" w:rsidRDefault="006521A8" w:rsidP="006521A8">
      <w:pPr>
        <w:rPr>
          <w:rFonts w:ascii="Arial" w:hAnsi="Arial" w:cs="Arial"/>
          <w:sz w:val="20"/>
          <w:szCs w:val="20"/>
        </w:rPr>
      </w:pPr>
    </w:p>
    <w:p w14:paraId="72EF905D" w14:textId="77777777" w:rsidR="006521A8" w:rsidRPr="004A3817" w:rsidRDefault="006521A8" w:rsidP="006521A8">
      <w:pPr>
        <w:rPr>
          <w:rFonts w:ascii="Arial" w:hAnsi="Arial" w:cs="Arial"/>
          <w:sz w:val="20"/>
          <w:szCs w:val="20"/>
        </w:rPr>
      </w:pPr>
      <w:r w:rsidRPr="004A3817">
        <w:rPr>
          <w:rFonts w:ascii="Arial" w:hAnsi="Arial" w:cs="Arial"/>
          <w:sz w:val="20"/>
          <w:szCs w:val="20"/>
        </w:rPr>
        <w:t xml:space="preserve">PROVIDE data management allows real-time sharing with the Foundation.  It has the in-field ability to monitor and assess prenatal health, gestational through fetal ultrasound, enteric infections through TAC PCR, breast milk fatty acid composition, microbiome maturity, vaccine response measures, and </w:t>
      </w:r>
      <w:proofErr w:type="spellStart"/>
      <w:r w:rsidRPr="004A3817">
        <w:rPr>
          <w:rFonts w:ascii="Arial" w:hAnsi="Arial" w:cs="Arial"/>
          <w:sz w:val="20"/>
          <w:szCs w:val="20"/>
        </w:rPr>
        <w:t>immunophenotyping</w:t>
      </w:r>
      <w:proofErr w:type="spellEnd"/>
      <w:r w:rsidRPr="004A3817">
        <w:rPr>
          <w:rFonts w:ascii="Arial" w:hAnsi="Arial" w:cs="Arial"/>
          <w:sz w:val="20"/>
          <w:szCs w:val="20"/>
        </w:rPr>
        <w:t xml:space="preserve"> via </w:t>
      </w:r>
      <w:proofErr w:type="spellStart"/>
      <w:r w:rsidRPr="004A3817">
        <w:rPr>
          <w:rFonts w:ascii="Arial" w:hAnsi="Arial" w:cs="Arial"/>
          <w:sz w:val="20"/>
          <w:szCs w:val="20"/>
        </w:rPr>
        <w:t>CyTOF</w:t>
      </w:r>
      <w:proofErr w:type="spellEnd"/>
      <w:r w:rsidRPr="004A3817">
        <w:rPr>
          <w:rFonts w:ascii="Arial" w:hAnsi="Arial" w:cs="Arial"/>
          <w:sz w:val="20"/>
          <w:szCs w:val="20"/>
        </w:rPr>
        <w:t xml:space="preserve">.  The PROVIDE clinic and study office has on-site testing for neurodevelopment (fMRI, EEG, </w:t>
      </w:r>
      <w:proofErr w:type="spellStart"/>
      <w:r w:rsidRPr="004A3817">
        <w:rPr>
          <w:rFonts w:ascii="Arial" w:hAnsi="Arial" w:cs="Arial"/>
          <w:sz w:val="20"/>
          <w:szCs w:val="20"/>
        </w:rPr>
        <w:t>fNIRS</w:t>
      </w:r>
      <w:proofErr w:type="spellEnd"/>
      <w:r w:rsidRPr="004A3817">
        <w:rPr>
          <w:rFonts w:ascii="Arial" w:hAnsi="Arial" w:cs="Arial"/>
          <w:sz w:val="20"/>
          <w:szCs w:val="20"/>
        </w:rPr>
        <w:t>, eye tracking, Bayley’s WPPSI), and a highly capable team trained in good clinical practices.</w:t>
      </w:r>
    </w:p>
    <w:p w14:paraId="6B82289C" w14:textId="77777777" w:rsidR="006521A8" w:rsidRPr="004A3817" w:rsidRDefault="006521A8" w:rsidP="006521A8">
      <w:pPr>
        <w:pStyle w:val="ListParagraph"/>
        <w:widowControl w:val="0"/>
        <w:autoSpaceDE w:val="0"/>
        <w:autoSpaceDN w:val="0"/>
        <w:adjustRightInd w:val="0"/>
        <w:ind w:left="0"/>
        <w:rPr>
          <w:rFonts w:ascii="Arial" w:hAnsi="Arial" w:cs="Arial"/>
          <w:sz w:val="20"/>
          <w:szCs w:val="20"/>
        </w:rPr>
      </w:pPr>
    </w:p>
    <w:p w14:paraId="18A7ED90" w14:textId="314B6594" w:rsidR="004A3817" w:rsidRPr="004A3817" w:rsidRDefault="004A3817" w:rsidP="00112569">
      <w:pPr>
        <w:widowControl w:val="0"/>
        <w:autoSpaceDE w:val="0"/>
        <w:autoSpaceDN w:val="0"/>
        <w:adjustRightInd w:val="0"/>
        <w:rPr>
          <w:rFonts w:ascii="Arial" w:hAnsi="Arial" w:cs="Arial"/>
          <w:sz w:val="20"/>
          <w:szCs w:val="20"/>
        </w:rPr>
      </w:pPr>
    </w:p>
    <w:p w14:paraId="6E0BB611" w14:textId="77777777" w:rsidR="00056B67" w:rsidRPr="004A3817" w:rsidRDefault="00056B67" w:rsidP="00C778A6">
      <w:pPr>
        <w:jc w:val="center"/>
        <w:rPr>
          <w:rFonts w:ascii="Arial" w:hAnsi="Arial" w:cs="Arial"/>
          <w:b/>
          <w:color w:val="0000FF"/>
          <w:sz w:val="20"/>
          <w:szCs w:val="20"/>
        </w:rPr>
      </w:pPr>
    </w:p>
    <w:p w14:paraId="36A7CEC9" w14:textId="04988A5F" w:rsidR="00D96C67" w:rsidRPr="004A3817" w:rsidRDefault="00F6061A" w:rsidP="00C778A6">
      <w:pPr>
        <w:jc w:val="center"/>
        <w:rPr>
          <w:rFonts w:ascii="Arial" w:hAnsi="Arial" w:cs="Arial"/>
          <w:b/>
          <w:color w:val="0000FF"/>
          <w:sz w:val="20"/>
          <w:szCs w:val="20"/>
        </w:rPr>
      </w:pPr>
      <w:r w:rsidRPr="004A3817">
        <w:rPr>
          <w:rFonts w:ascii="Arial" w:hAnsi="Arial" w:cs="Arial"/>
          <w:b/>
          <w:color w:val="0000FF"/>
          <w:sz w:val="20"/>
          <w:szCs w:val="20"/>
        </w:rPr>
        <w:t xml:space="preserve">PROVIDE </w:t>
      </w:r>
      <w:r w:rsidR="00C778A6" w:rsidRPr="004A3817">
        <w:rPr>
          <w:rFonts w:ascii="Arial" w:hAnsi="Arial" w:cs="Arial"/>
          <w:b/>
          <w:color w:val="0000FF"/>
          <w:sz w:val="20"/>
          <w:szCs w:val="20"/>
        </w:rPr>
        <w:t xml:space="preserve">Annotated </w:t>
      </w:r>
      <w:r w:rsidRPr="004A3817">
        <w:rPr>
          <w:rFonts w:ascii="Arial" w:hAnsi="Arial" w:cs="Arial"/>
          <w:b/>
          <w:color w:val="0000FF"/>
          <w:sz w:val="20"/>
          <w:szCs w:val="20"/>
        </w:rPr>
        <w:t>Bibliography</w:t>
      </w:r>
    </w:p>
    <w:p w14:paraId="5EB4BEAC" w14:textId="77777777" w:rsidR="00F6061A" w:rsidRPr="004A3817" w:rsidRDefault="00F6061A">
      <w:pPr>
        <w:rPr>
          <w:rFonts w:ascii="Arial" w:hAnsi="Arial" w:cs="Arial"/>
          <w:sz w:val="20"/>
          <w:szCs w:val="20"/>
        </w:rPr>
      </w:pPr>
    </w:p>
    <w:p w14:paraId="1DD31D95" w14:textId="5C85B1AF" w:rsidR="00FD76E7" w:rsidRPr="004A3817" w:rsidRDefault="006A5DD8" w:rsidP="00FD76E7">
      <w:pPr>
        <w:tabs>
          <w:tab w:val="left" w:pos="360"/>
        </w:tabs>
        <w:rPr>
          <w:rFonts w:ascii="Arial" w:hAnsi="Arial" w:cs="Arial"/>
          <w:b/>
          <w:sz w:val="20"/>
          <w:szCs w:val="20"/>
        </w:rPr>
      </w:pPr>
      <w:r>
        <w:rPr>
          <w:rFonts w:ascii="Arial" w:hAnsi="Arial" w:cs="Arial"/>
          <w:b/>
          <w:sz w:val="20"/>
          <w:szCs w:val="20"/>
        </w:rPr>
        <w:t>Polio Vaccine Failure</w:t>
      </w:r>
    </w:p>
    <w:p w14:paraId="4D2AEACA" w14:textId="1E4F135C" w:rsidR="00627850" w:rsidRPr="00570C73" w:rsidRDefault="00FD76E7" w:rsidP="00FD76E7">
      <w:pPr>
        <w:tabs>
          <w:tab w:val="left" w:pos="360"/>
        </w:tabs>
        <w:spacing w:after="120"/>
        <w:rPr>
          <w:rFonts w:ascii="Arial" w:eastAsia="Arial Unicode MS" w:hAnsi="Arial" w:cs="Arial"/>
          <w:i/>
          <w:color w:val="DDD9C3" w:themeColor="background2" w:themeShade="E6"/>
          <w:sz w:val="20"/>
          <w:szCs w:val="20"/>
        </w:rPr>
      </w:pPr>
      <w:r w:rsidRPr="00570C73">
        <w:rPr>
          <w:rStyle w:val="Strong"/>
          <w:rFonts w:ascii="Arial" w:hAnsi="Arial" w:cs="Arial"/>
          <w:b w:val="0"/>
          <w:color w:val="DDD9C3" w:themeColor="background2" w:themeShade="E6"/>
          <w:sz w:val="20"/>
          <w:szCs w:val="20"/>
        </w:rPr>
        <w:t xml:space="preserve">1. </w:t>
      </w:r>
      <w:r w:rsidR="00627850" w:rsidRPr="00570C73">
        <w:rPr>
          <w:rFonts w:ascii="Arial" w:hAnsi="Arial" w:cs="Arial"/>
          <w:color w:val="DDD9C3" w:themeColor="background2" w:themeShade="E6"/>
          <w:sz w:val="20"/>
          <w:szCs w:val="20"/>
        </w:rPr>
        <w:t xml:space="preserve">Haque R, Snider C, Liu Y, Ma J, Liu L, Nayak U, Mychaleckyj J, Korpe P, Mondal D, Kabir M, Alam M, </w:t>
      </w:r>
      <w:proofErr w:type="spellStart"/>
      <w:r w:rsidR="00627850" w:rsidRPr="00570C73">
        <w:rPr>
          <w:rFonts w:ascii="Arial" w:hAnsi="Arial" w:cs="Arial"/>
          <w:color w:val="DDD9C3" w:themeColor="background2" w:themeShade="E6"/>
          <w:sz w:val="20"/>
          <w:szCs w:val="20"/>
        </w:rPr>
        <w:t>Pallansch</w:t>
      </w:r>
      <w:proofErr w:type="spellEnd"/>
      <w:r w:rsidR="00627850" w:rsidRPr="00570C73">
        <w:rPr>
          <w:rFonts w:ascii="Arial" w:hAnsi="Arial" w:cs="Arial"/>
          <w:color w:val="DDD9C3" w:themeColor="background2" w:themeShade="E6"/>
          <w:sz w:val="20"/>
          <w:szCs w:val="20"/>
        </w:rPr>
        <w:t xml:space="preserve"> M, </w:t>
      </w:r>
      <w:proofErr w:type="spellStart"/>
      <w:r w:rsidR="00627850" w:rsidRPr="00570C73">
        <w:rPr>
          <w:rFonts w:ascii="Arial" w:hAnsi="Arial" w:cs="Arial"/>
          <w:color w:val="DDD9C3" w:themeColor="background2" w:themeShade="E6"/>
          <w:sz w:val="20"/>
          <w:szCs w:val="20"/>
        </w:rPr>
        <w:t>Oberste</w:t>
      </w:r>
      <w:proofErr w:type="spellEnd"/>
      <w:r w:rsidR="00627850" w:rsidRPr="00570C73">
        <w:rPr>
          <w:rFonts w:ascii="Arial" w:hAnsi="Arial" w:cs="Arial"/>
          <w:color w:val="DDD9C3" w:themeColor="background2" w:themeShade="E6"/>
          <w:sz w:val="20"/>
          <w:szCs w:val="20"/>
        </w:rPr>
        <w:t xml:space="preserve"> MS, Weldon W, Kirkpatrick B, Petri WA Jr.  </w:t>
      </w:r>
      <w:r w:rsidR="00627850" w:rsidRPr="00570C73">
        <w:rPr>
          <w:rFonts w:ascii="Arial" w:hAnsi="Arial" w:cs="Arial"/>
          <w:color w:val="DDD9C3" w:themeColor="background2" w:themeShade="E6"/>
          <w:sz w:val="20"/>
          <w:szCs w:val="20"/>
          <w:u w:val="single"/>
        </w:rPr>
        <w:t>Oral Polio Vaccine Response in Breast Fed Infants with Malnutrition and Diarrhea</w:t>
      </w:r>
      <w:r w:rsidR="00627850" w:rsidRPr="00570C73">
        <w:rPr>
          <w:rFonts w:ascii="Arial" w:hAnsi="Arial" w:cs="Arial"/>
          <w:color w:val="DDD9C3" w:themeColor="background2" w:themeShade="E6"/>
          <w:sz w:val="20"/>
          <w:szCs w:val="20"/>
        </w:rPr>
        <w:t xml:space="preserve">. Vaccine 32:478– 482, 2014. </w:t>
      </w:r>
      <w:r w:rsidR="003B46B8" w:rsidRPr="00570C73">
        <w:rPr>
          <w:rFonts w:ascii="Arial" w:hAnsi="Arial" w:cs="Arial"/>
          <w:color w:val="DDD9C3" w:themeColor="background2" w:themeShade="E6"/>
          <w:sz w:val="20"/>
          <w:szCs w:val="20"/>
        </w:rPr>
        <w:t xml:space="preserve">PMID: 24300591. </w:t>
      </w:r>
      <w:r w:rsidR="00627850" w:rsidRPr="00570C73">
        <w:rPr>
          <w:rFonts w:ascii="Arial" w:eastAsia="Arial Unicode MS" w:hAnsi="Arial" w:cs="Arial"/>
          <w:i/>
          <w:color w:val="DDD9C3" w:themeColor="background2" w:themeShade="E6"/>
          <w:sz w:val="20"/>
          <w:szCs w:val="20"/>
        </w:rPr>
        <w:t>Diminished serum neutralizing response to OPV, but not failure of intramuscularly administered vaccines, was associated with malnutrition, diarrhea, and shorter breastfeeding duration</w:t>
      </w:r>
      <w:r w:rsidR="00570C73" w:rsidRPr="00570C73">
        <w:rPr>
          <w:rFonts w:ascii="Arial" w:eastAsia="Arial Unicode MS" w:hAnsi="Arial" w:cs="Arial"/>
          <w:i/>
          <w:color w:val="DDD9C3" w:themeColor="background2" w:themeShade="E6"/>
          <w:sz w:val="20"/>
          <w:szCs w:val="20"/>
        </w:rPr>
        <w:t xml:space="preserve"> (</w:t>
      </w:r>
      <w:r w:rsidR="00570C73" w:rsidRPr="00570C73">
        <w:rPr>
          <w:rFonts w:ascii="Arial" w:eastAsia="Arial Unicode MS" w:hAnsi="Arial" w:cs="Arial"/>
          <w:b/>
          <w:i/>
          <w:color w:val="DDD9C3" w:themeColor="background2" w:themeShade="E6"/>
          <w:sz w:val="20"/>
          <w:szCs w:val="20"/>
        </w:rPr>
        <w:t xml:space="preserve">preliminary </w:t>
      </w:r>
      <w:r w:rsidR="00570C73" w:rsidRPr="00570C73">
        <w:rPr>
          <w:rFonts w:ascii="Arial" w:eastAsia="Arial Unicode MS" w:hAnsi="Arial" w:cs="Arial"/>
          <w:b/>
          <w:i/>
          <w:color w:val="DDD9C3" w:themeColor="background2" w:themeShade="E6"/>
          <w:sz w:val="20"/>
          <w:szCs w:val="20"/>
        </w:rPr>
        <w:t>data from earlier birth cohort</w:t>
      </w:r>
      <w:r w:rsidR="00570C73">
        <w:rPr>
          <w:rFonts w:ascii="Arial" w:eastAsia="Arial Unicode MS" w:hAnsi="Arial" w:cs="Arial"/>
          <w:b/>
          <w:i/>
          <w:color w:val="DDD9C3" w:themeColor="background2" w:themeShade="E6"/>
          <w:sz w:val="20"/>
          <w:szCs w:val="20"/>
        </w:rPr>
        <w:t xml:space="preserve"> used for grant application</w:t>
      </w:r>
      <w:r w:rsidR="00570C73" w:rsidRPr="00570C73">
        <w:rPr>
          <w:rFonts w:ascii="Arial" w:eastAsia="Arial Unicode MS" w:hAnsi="Arial" w:cs="Arial"/>
          <w:i/>
          <w:color w:val="DDD9C3" w:themeColor="background2" w:themeShade="E6"/>
          <w:sz w:val="20"/>
          <w:szCs w:val="20"/>
        </w:rPr>
        <w:t xml:space="preserve">) </w:t>
      </w:r>
    </w:p>
    <w:p w14:paraId="4722AEEA" w14:textId="138E23E0" w:rsidR="00FD76E7" w:rsidRPr="001F1D2E" w:rsidRDefault="00627850" w:rsidP="00FD76E7">
      <w:pPr>
        <w:tabs>
          <w:tab w:val="left" w:pos="360"/>
        </w:tabs>
        <w:spacing w:after="120"/>
        <w:rPr>
          <w:rFonts w:ascii="Arial" w:hAnsi="Arial" w:cs="Arial"/>
          <w:sz w:val="20"/>
          <w:szCs w:val="20"/>
        </w:rPr>
      </w:pPr>
      <w:r>
        <w:rPr>
          <w:rFonts w:ascii="Arial" w:eastAsia="Arial Unicode MS" w:hAnsi="Arial" w:cs="Arial"/>
          <w:color w:val="1C1C1C"/>
          <w:sz w:val="20"/>
          <w:szCs w:val="20"/>
        </w:rPr>
        <w:t xml:space="preserve">2. </w:t>
      </w:r>
      <w:r w:rsidR="00FD76E7" w:rsidRPr="004A3817">
        <w:rPr>
          <w:rStyle w:val="Strong"/>
          <w:rFonts w:ascii="Arial" w:hAnsi="Arial" w:cs="Arial"/>
          <w:b w:val="0"/>
          <w:sz w:val="20"/>
          <w:szCs w:val="20"/>
        </w:rPr>
        <w:t xml:space="preserve">Taniuchi M, Begum S, Uddin MJ, Platts-Mills JA, Liu J, Kirkpatrick BD, Chowdhury AH, Jamil KM, Haque R, Petri WA Jr, </w:t>
      </w:r>
      <w:proofErr w:type="spellStart"/>
      <w:r w:rsidR="00FD76E7" w:rsidRPr="004A3817">
        <w:rPr>
          <w:rStyle w:val="Strong"/>
          <w:rFonts w:ascii="Arial" w:hAnsi="Arial" w:cs="Arial"/>
          <w:b w:val="0"/>
          <w:sz w:val="20"/>
          <w:szCs w:val="20"/>
        </w:rPr>
        <w:t>Houpt</w:t>
      </w:r>
      <w:proofErr w:type="spellEnd"/>
      <w:r w:rsidR="00FD76E7" w:rsidRPr="004A3817">
        <w:rPr>
          <w:rStyle w:val="Strong"/>
          <w:rFonts w:ascii="Arial" w:hAnsi="Arial" w:cs="Arial"/>
          <w:b w:val="0"/>
          <w:sz w:val="20"/>
          <w:szCs w:val="20"/>
        </w:rPr>
        <w:t xml:space="preserve"> ER.  </w:t>
      </w:r>
      <w:r w:rsidR="00FD76E7" w:rsidRPr="00106CF1">
        <w:rPr>
          <w:rFonts w:ascii="Arial" w:hAnsi="Arial" w:cs="Arial"/>
          <w:sz w:val="20"/>
          <w:szCs w:val="20"/>
          <w:u w:val="single"/>
        </w:rPr>
        <w:t xml:space="preserve">Kinetics of polio shedding following oral vaccination as measured by </w:t>
      </w:r>
      <w:proofErr w:type="spellStart"/>
      <w:r w:rsidR="00FD76E7" w:rsidRPr="00106CF1">
        <w:rPr>
          <w:rFonts w:ascii="Arial" w:hAnsi="Arial" w:cs="Arial"/>
          <w:sz w:val="20"/>
          <w:szCs w:val="20"/>
          <w:u w:val="single"/>
        </w:rPr>
        <w:t>qRT</w:t>
      </w:r>
      <w:proofErr w:type="spellEnd"/>
      <w:r w:rsidR="00FD76E7" w:rsidRPr="00106CF1">
        <w:rPr>
          <w:rFonts w:ascii="Arial" w:hAnsi="Arial" w:cs="Arial"/>
          <w:sz w:val="20"/>
          <w:szCs w:val="20"/>
          <w:u w:val="single"/>
        </w:rPr>
        <w:t>-PCR versus culture</w:t>
      </w:r>
      <w:r w:rsidR="00FD76E7" w:rsidRPr="004A3817">
        <w:rPr>
          <w:rFonts w:ascii="Arial" w:hAnsi="Arial" w:cs="Arial"/>
          <w:sz w:val="20"/>
          <w:szCs w:val="20"/>
        </w:rPr>
        <w:t xml:space="preserve">. J </w:t>
      </w:r>
      <w:proofErr w:type="spellStart"/>
      <w:r w:rsidR="00FD76E7" w:rsidRPr="004A3817">
        <w:rPr>
          <w:rFonts w:ascii="Arial" w:hAnsi="Arial" w:cs="Arial"/>
          <w:sz w:val="20"/>
          <w:szCs w:val="20"/>
        </w:rPr>
        <w:t>Clin</w:t>
      </w:r>
      <w:proofErr w:type="spellEnd"/>
      <w:r w:rsidR="00FD76E7" w:rsidRPr="004A3817">
        <w:rPr>
          <w:rFonts w:ascii="Arial" w:hAnsi="Arial" w:cs="Arial"/>
          <w:sz w:val="20"/>
          <w:szCs w:val="20"/>
        </w:rPr>
        <w:t xml:space="preserve"> </w:t>
      </w:r>
      <w:proofErr w:type="spellStart"/>
      <w:r w:rsidR="00FD76E7" w:rsidRPr="004A3817">
        <w:rPr>
          <w:rFonts w:ascii="Arial" w:hAnsi="Arial" w:cs="Arial"/>
          <w:sz w:val="20"/>
          <w:szCs w:val="20"/>
        </w:rPr>
        <w:t>Microbiol</w:t>
      </w:r>
      <w:proofErr w:type="spellEnd"/>
      <w:r w:rsidR="00FD76E7" w:rsidRPr="004A3817">
        <w:rPr>
          <w:rFonts w:ascii="Arial" w:hAnsi="Arial" w:cs="Arial"/>
          <w:sz w:val="20"/>
          <w:szCs w:val="20"/>
        </w:rPr>
        <w:t>, 53:206-11</w:t>
      </w:r>
      <w:r w:rsidR="00FD76E7">
        <w:rPr>
          <w:rFonts w:ascii="Arial" w:hAnsi="Arial" w:cs="Arial"/>
          <w:sz w:val="20"/>
          <w:szCs w:val="20"/>
        </w:rPr>
        <w:t xml:space="preserve">, 2015. </w:t>
      </w:r>
      <w:r w:rsidR="003B46B8">
        <w:rPr>
          <w:rFonts w:ascii="Arial" w:hAnsi="Arial" w:cs="Arial"/>
          <w:color w:val="000000"/>
          <w:sz w:val="20"/>
          <w:szCs w:val="20"/>
        </w:rPr>
        <w:t xml:space="preserve">PMID: 25378579. </w:t>
      </w:r>
      <w:r w:rsidR="00FD76E7" w:rsidRPr="004A3817">
        <w:rPr>
          <w:rFonts w:ascii="Arial" w:hAnsi="Arial" w:cs="Arial"/>
          <w:i/>
          <w:sz w:val="20"/>
          <w:szCs w:val="20"/>
        </w:rPr>
        <w:t>An RT-qPCR assay for OPV can simply and quantitatively detect all three Sabin strains directly in stool samples to approximate shedding both</w:t>
      </w:r>
      <w:r w:rsidR="00FD76E7">
        <w:rPr>
          <w:rFonts w:ascii="Arial" w:hAnsi="Arial" w:cs="Arial"/>
          <w:i/>
          <w:sz w:val="20"/>
          <w:szCs w:val="20"/>
        </w:rPr>
        <w:t xml:space="preserve"> </w:t>
      </w:r>
      <w:r w:rsidR="00FD76E7" w:rsidRPr="004A3817">
        <w:rPr>
          <w:rFonts w:ascii="Arial" w:hAnsi="Arial" w:cs="Arial"/>
          <w:i/>
          <w:sz w:val="20"/>
          <w:szCs w:val="20"/>
        </w:rPr>
        <w:t>qualitatively and quantitatively.</w:t>
      </w:r>
    </w:p>
    <w:p w14:paraId="189D17AC" w14:textId="5CBD16A8" w:rsidR="00FD76E7" w:rsidRPr="001F1D2E" w:rsidRDefault="00627850" w:rsidP="00FD76E7">
      <w:pPr>
        <w:tabs>
          <w:tab w:val="left" w:pos="360"/>
        </w:tabs>
        <w:spacing w:after="120"/>
        <w:rPr>
          <w:rFonts w:ascii="Arial" w:hAnsi="Arial" w:cs="Arial"/>
          <w:sz w:val="20"/>
          <w:szCs w:val="20"/>
        </w:rPr>
      </w:pPr>
      <w:r>
        <w:rPr>
          <w:rFonts w:ascii="Arial" w:hAnsi="Arial" w:cs="Arial"/>
          <w:sz w:val="20"/>
          <w:szCs w:val="20"/>
        </w:rPr>
        <w:t>3</w:t>
      </w:r>
      <w:r w:rsidR="00FD76E7">
        <w:rPr>
          <w:rFonts w:ascii="Arial" w:hAnsi="Arial" w:cs="Arial"/>
          <w:sz w:val="20"/>
          <w:szCs w:val="20"/>
        </w:rPr>
        <w:t xml:space="preserve">. </w:t>
      </w:r>
      <w:r w:rsidR="00FD76E7" w:rsidRPr="004A3817">
        <w:rPr>
          <w:rFonts w:ascii="Arial" w:hAnsi="Arial" w:cs="Arial"/>
          <w:sz w:val="20"/>
          <w:szCs w:val="20"/>
        </w:rPr>
        <w:t xml:space="preserve">Mychaleckyj JC, Haque R, </w:t>
      </w:r>
      <w:proofErr w:type="spellStart"/>
      <w:r w:rsidR="00FD76E7" w:rsidRPr="004A3817">
        <w:rPr>
          <w:rFonts w:ascii="Arial" w:hAnsi="Arial" w:cs="Arial"/>
          <w:sz w:val="20"/>
          <w:szCs w:val="20"/>
        </w:rPr>
        <w:t>Carmolli</w:t>
      </w:r>
      <w:proofErr w:type="spellEnd"/>
      <w:r w:rsidR="00FD76E7" w:rsidRPr="004A3817">
        <w:rPr>
          <w:rFonts w:ascii="Arial" w:hAnsi="Arial" w:cs="Arial"/>
          <w:sz w:val="20"/>
          <w:szCs w:val="20"/>
        </w:rPr>
        <w:t xml:space="preserve"> M, Zhang D, Colgate ER, Nayak U, Taniuchi M, Dickson D, Weldon WC, </w:t>
      </w:r>
      <w:proofErr w:type="spellStart"/>
      <w:r w:rsidR="00FD76E7" w:rsidRPr="004A3817">
        <w:rPr>
          <w:rFonts w:ascii="Arial" w:hAnsi="Arial" w:cs="Arial"/>
          <w:sz w:val="20"/>
          <w:szCs w:val="20"/>
        </w:rPr>
        <w:t>Oberste</w:t>
      </w:r>
      <w:proofErr w:type="spellEnd"/>
      <w:r w:rsidR="00FD76E7" w:rsidRPr="004A3817">
        <w:rPr>
          <w:rFonts w:ascii="Arial" w:hAnsi="Arial" w:cs="Arial"/>
          <w:sz w:val="20"/>
          <w:szCs w:val="20"/>
        </w:rPr>
        <w:t xml:space="preserve"> MS, Zaman K, </w:t>
      </w:r>
      <w:proofErr w:type="spellStart"/>
      <w:r w:rsidR="00FD76E7" w:rsidRPr="004A3817">
        <w:rPr>
          <w:rFonts w:ascii="Arial" w:hAnsi="Arial" w:cs="Arial"/>
          <w:sz w:val="20"/>
          <w:szCs w:val="20"/>
        </w:rPr>
        <w:t>Houpt</w:t>
      </w:r>
      <w:proofErr w:type="spellEnd"/>
      <w:r w:rsidR="00FD76E7" w:rsidRPr="004A3817">
        <w:rPr>
          <w:rFonts w:ascii="Arial" w:hAnsi="Arial" w:cs="Arial"/>
          <w:sz w:val="20"/>
          <w:szCs w:val="20"/>
        </w:rPr>
        <w:t xml:space="preserve"> ER, Alam M, Kirkpatrick BD, Petri WA Jr.  </w:t>
      </w:r>
      <w:r w:rsidR="00FD76E7" w:rsidRPr="00106CF1">
        <w:rPr>
          <w:rFonts w:ascii="Arial" w:hAnsi="Arial" w:cs="Arial"/>
          <w:sz w:val="20"/>
          <w:szCs w:val="20"/>
          <w:u w:val="single"/>
        </w:rPr>
        <w:t xml:space="preserve">Effect of substituting IPV for </w:t>
      </w:r>
      <w:proofErr w:type="spellStart"/>
      <w:r w:rsidR="00FD76E7" w:rsidRPr="00106CF1">
        <w:rPr>
          <w:rFonts w:ascii="Arial" w:hAnsi="Arial" w:cs="Arial"/>
          <w:sz w:val="20"/>
          <w:szCs w:val="20"/>
          <w:u w:val="single"/>
        </w:rPr>
        <w:t>tOPV</w:t>
      </w:r>
      <w:proofErr w:type="spellEnd"/>
      <w:r w:rsidR="00FD76E7" w:rsidRPr="00106CF1">
        <w:rPr>
          <w:rFonts w:ascii="Arial" w:hAnsi="Arial" w:cs="Arial"/>
          <w:sz w:val="20"/>
          <w:szCs w:val="20"/>
          <w:u w:val="single"/>
        </w:rPr>
        <w:t xml:space="preserve"> on immunity to poliovirus in Bangladeshi infants: An open-label randomized controlled trial</w:t>
      </w:r>
      <w:r w:rsidR="00FD76E7" w:rsidRPr="004A3817">
        <w:rPr>
          <w:rFonts w:ascii="Arial" w:hAnsi="Arial" w:cs="Arial"/>
          <w:sz w:val="20"/>
          <w:szCs w:val="20"/>
        </w:rPr>
        <w:t xml:space="preserve">.  </w:t>
      </w:r>
      <w:r w:rsidR="00FD76E7">
        <w:rPr>
          <w:rFonts w:ascii="Arial" w:hAnsi="Arial" w:cs="Arial"/>
          <w:sz w:val="20"/>
          <w:szCs w:val="20"/>
        </w:rPr>
        <w:t>Vaccine 34:</w:t>
      </w:r>
      <w:r w:rsidR="00FD76E7" w:rsidRPr="004A3817">
        <w:rPr>
          <w:rFonts w:ascii="Arial" w:hAnsi="Arial" w:cs="Arial"/>
          <w:sz w:val="20"/>
          <w:szCs w:val="20"/>
        </w:rPr>
        <w:t>358–366</w:t>
      </w:r>
      <w:r w:rsidR="00FD76E7">
        <w:rPr>
          <w:rFonts w:ascii="Arial" w:hAnsi="Arial" w:cs="Arial"/>
          <w:sz w:val="20"/>
          <w:szCs w:val="20"/>
        </w:rPr>
        <w:t xml:space="preserve">, 2016. </w:t>
      </w:r>
      <w:r w:rsidR="003B46B8">
        <w:rPr>
          <w:rFonts w:ascii="Arial" w:hAnsi="Arial" w:cs="Arial"/>
          <w:sz w:val="20"/>
          <w:szCs w:val="20"/>
        </w:rPr>
        <w:t xml:space="preserve">PMID: </w:t>
      </w:r>
      <w:r w:rsidR="003B46B8" w:rsidRPr="003B46B8">
        <w:rPr>
          <w:rFonts w:ascii="Arial" w:eastAsia="Times New Roman" w:hAnsi="Arial" w:cs="Arial"/>
          <w:sz w:val="20"/>
          <w:szCs w:val="20"/>
          <w:lang w:val="en"/>
        </w:rPr>
        <w:t>26643930</w:t>
      </w:r>
      <w:r w:rsidR="003B46B8">
        <w:rPr>
          <w:rFonts w:ascii="Arial" w:eastAsia="Times New Roman" w:hAnsi="Arial" w:cs="Arial"/>
          <w:sz w:val="20"/>
          <w:szCs w:val="20"/>
          <w:lang w:val="en"/>
        </w:rPr>
        <w:t xml:space="preserve">. </w:t>
      </w:r>
      <w:r w:rsidR="00FD76E7">
        <w:rPr>
          <w:rFonts w:ascii="Arial" w:hAnsi="Arial" w:cs="Arial"/>
          <w:i/>
          <w:sz w:val="20"/>
          <w:szCs w:val="20"/>
        </w:rPr>
        <w:t xml:space="preserve">In the Bangladesh PROVIDE Cohort </w:t>
      </w:r>
      <w:r w:rsidR="00FD76E7" w:rsidRPr="00106CF1">
        <w:rPr>
          <w:rFonts w:ascii="Arial" w:hAnsi="Arial" w:cs="Arial"/>
          <w:i/>
          <w:sz w:val="20"/>
          <w:szCs w:val="20"/>
        </w:rPr>
        <w:t>IPV substitution for the 4</w:t>
      </w:r>
      <w:r w:rsidR="00FD76E7" w:rsidRPr="00106CF1">
        <w:rPr>
          <w:rFonts w:ascii="Arial" w:hAnsi="Arial" w:cs="Arial"/>
          <w:i/>
          <w:sz w:val="20"/>
          <w:szCs w:val="20"/>
          <w:vertAlign w:val="superscript"/>
        </w:rPr>
        <w:t>th</w:t>
      </w:r>
      <w:r w:rsidR="00FD76E7" w:rsidRPr="00106CF1">
        <w:rPr>
          <w:rFonts w:ascii="Arial" w:hAnsi="Arial" w:cs="Arial"/>
          <w:i/>
          <w:sz w:val="20"/>
          <w:szCs w:val="20"/>
        </w:rPr>
        <w:t xml:space="preserve"> dose of </w:t>
      </w:r>
      <w:proofErr w:type="spellStart"/>
      <w:r w:rsidR="00FD76E7" w:rsidRPr="00106CF1">
        <w:rPr>
          <w:rFonts w:ascii="Arial" w:hAnsi="Arial" w:cs="Arial"/>
          <w:i/>
          <w:sz w:val="20"/>
          <w:szCs w:val="20"/>
        </w:rPr>
        <w:t>tOPV</w:t>
      </w:r>
      <w:proofErr w:type="spellEnd"/>
      <w:r w:rsidR="00FD76E7" w:rsidRPr="00106CF1">
        <w:rPr>
          <w:rFonts w:ascii="Arial" w:hAnsi="Arial" w:cs="Arial"/>
          <w:i/>
          <w:sz w:val="20"/>
          <w:szCs w:val="20"/>
        </w:rPr>
        <w:t xml:space="preserve"> provided superior humoral immunity and similar intestinal</w:t>
      </w:r>
      <w:r w:rsidR="00FD76E7" w:rsidRPr="004A3817">
        <w:rPr>
          <w:rFonts w:ascii="Arial" w:hAnsi="Arial" w:cs="Arial"/>
          <w:i/>
          <w:sz w:val="20"/>
          <w:szCs w:val="20"/>
        </w:rPr>
        <w:t xml:space="preserve"> immunity.  The IPV-modified regimen may be considered for vaccination programs without loss of intestinal immunity.</w:t>
      </w:r>
    </w:p>
    <w:p w14:paraId="5DA1D662" w14:textId="2D924B60" w:rsidR="00FD76E7" w:rsidRDefault="00627850" w:rsidP="00FD76E7">
      <w:pPr>
        <w:spacing w:after="120"/>
        <w:rPr>
          <w:rFonts w:ascii="Arial" w:eastAsia="Times New Roman" w:hAnsi="Arial" w:cs="Arial"/>
          <w:i/>
          <w:color w:val="000000"/>
          <w:sz w:val="20"/>
          <w:szCs w:val="20"/>
          <w:shd w:val="clear" w:color="auto" w:fill="FFFFFF"/>
        </w:rPr>
      </w:pPr>
      <w:r w:rsidRPr="00F103A0">
        <w:rPr>
          <w:rFonts w:ascii="Arial" w:hAnsi="Arial" w:cs="Arial"/>
          <w:color w:val="DDD9C3" w:themeColor="background2" w:themeShade="E6"/>
          <w:sz w:val="20"/>
          <w:szCs w:val="20"/>
        </w:rPr>
        <w:t>4</w:t>
      </w:r>
      <w:r w:rsidR="00FD76E7" w:rsidRPr="00F103A0">
        <w:rPr>
          <w:rFonts w:ascii="Arial" w:hAnsi="Arial" w:cs="Arial"/>
          <w:color w:val="DDD9C3" w:themeColor="background2" w:themeShade="E6"/>
          <w:sz w:val="20"/>
          <w:szCs w:val="20"/>
        </w:rPr>
        <w:t xml:space="preserve">. </w:t>
      </w:r>
      <w:proofErr w:type="spellStart"/>
      <w:r w:rsidR="00FD76E7" w:rsidRPr="00F103A0">
        <w:rPr>
          <w:rFonts w:ascii="Arial" w:hAnsi="Arial" w:cs="Arial"/>
          <w:color w:val="DDD9C3" w:themeColor="background2" w:themeShade="E6"/>
          <w:sz w:val="20"/>
          <w:szCs w:val="20"/>
        </w:rPr>
        <w:t>Kanungo</w:t>
      </w:r>
      <w:proofErr w:type="spellEnd"/>
      <w:r w:rsidR="00FD76E7" w:rsidRPr="00F103A0">
        <w:rPr>
          <w:rFonts w:ascii="Arial" w:hAnsi="Arial" w:cs="Arial"/>
          <w:color w:val="DDD9C3" w:themeColor="background2" w:themeShade="E6"/>
          <w:sz w:val="20"/>
          <w:szCs w:val="20"/>
        </w:rPr>
        <w:t xml:space="preserve"> </w:t>
      </w:r>
      <w:r w:rsidR="00FD76E7" w:rsidRPr="003B46B8">
        <w:rPr>
          <w:rFonts w:ascii="Arial" w:hAnsi="Arial" w:cs="Arial"/>
          <w:color w:val="DDD9C3" w:themeColor="background2" w:themeShade="E6"/>
          <w:sz w:val="20"/>
          <w:szCs w:val="20"/>
        </w:rPr>
        <w:t xml:space="preserve">S, Kim DR, </w:t>
      </w:r>
      <w:proofErr w:type="spellStart"/>
      <w:r w:rsidR="00FD76E7" w:rsidRPr="003B46B8">
        <w:rPr>
          <w:rFonts w:ascii="Arial" w:hAnsi="Arial" w:cs="Arial"/>
          <w:color w:val="DDD9C3" w:themeColor="background2" w:themeShade="E6"/>
          <w:sz w:val="20"/>
          <w:szCs w:val="20"/>
        </w:rPr>
        <w:t>Haldar</w:t>
      </w:r>
      <w:proofErr w:type="spellEnd"/>
      <w:r w:rsidR="00FD76E7" w:rsidRPr="003B46B8">
        <w:rPr>
          <w:rFonts w:ascii="Arial" w:hAnsi="Arial" w:cs="Arial"/>
          <w:color w:val="DDD9C3" w:themeColor="background2" w:themeShade="E6"/>
          <w:sz w:val="20"/>
          <w:szCs w:val="20"/>
        </w:rPr>
        <w:t xml:space="preserve"> B, Snider C, </w:t>
      </w:r>
      <w:proofErr w:type="spellStart"/>
      <w:r w:rsidR="00FD76E7" w:rsidRPr="003B46B8">
        <w:rPr>
          <w:rFonts w:ascii="Arial" w:hAnsi="Arial" w:cs="Arial"/>
          <w:color w:val="DDD9C3" w:themeColor="background2" w:themeShade="E6"/>
          <w:sz w:val="20"/>
          <w:szCs w:val="20"/>
        </w:rPr>
        <w:t>Nalavade</w:t>
      </w:r>
      <w:proofErr w:type="spellEnd"/>
      <w:r w:rsidR="00FD76E7" w:rsidRPr="003B46B8">
        <w:rPr>
          <w:rFonts w:ascii="Arial" w:hAnsi="Arial" w:cs="Arial"/>
          <w:color w:val="DDD9C3" w:themeColor="background2" w:themeShade="E6"/>
          <w:sz w:val="20"/>
          <w:szCs w:val="20"/>
        </w:rPr>
        <w:t xml:space="preserve"> U, Kim SA, Park JY, Sinha A, Mallick AH, Manna B, Sur D, </w:t>
      </w:r>
      <w:proofErr w:type="spellStart"/>
      <w:r w:rsidR="00FD76E7" w:rsidRPr="003B46B8">
        <w:rPr>
          <w:rFonts w:ascii="Arial" w:hAnsi="Arial" w:cs="Arial"/>
          <w:color w:val="DDD9C3" w:themeColor="background2" w:themeShade="E6"/>
          <w:sz w:val="20"/>
          <w:szCs w:val="20"/>
        </w:rPr>
        <w:t>Nandy</w:t>
      </w:r>
      <w:proofErr w:type="spellEnd"/>
      <w:r w:rsidR="00FD76E7" w:rsidRPr="003B46B8">
        <w:rPr>
          <w:rFonts w:ascii="Arial" w:hAnsi="Arial" w:cs="Arial"/>
          <w:color w:val="DDD9C3" w:themeColor="background2" w:themeShade="E6"/>
          <w:sz w:val="20"/>
          <w:szCs w:val="20"/>
        </w:rPr>
        <w:t xml:space="preserve"> RK, Deshpande JM, </w:t>
      </w:r>
      <w:proofErr w:type="spellStart"/>
      <w:r w:rsidR="00FD76E7" w:rsidRPr="003B46B8">
        <w:rPr>
          <w:rFonts w:ascii="Arial" w:hAnsi="Arial" w:cs="Arial"/>
          <w:color w:val="DDD9C3" w:themeColor="background2" w:themeShade="E6"/>
          <w:sz w:val="20"/>
          <w:szCs w:val="20"/>
        </w:rPr>
        <w:t>Czerkinsky</w:t>
      </w:r>
      <w:proofErr w:type="spellEnd"/>
      <w:r w:rsidR="00FD76E7" w:rsidRPr="003B46B8">
        <w:rPr>
          <w:rFonts w:ascii="Arial" w:hAnsi="Arial" w:cs="Arial"/>
          <w:color w:val="DDD9C3" w:themeColor="background2" w:themeShade="E6"/>
          <w:sz w:val="20"/>
          <w:szCs w:val="20"/>
        </w:rPr>
        <w:t xml:space="preserve"> C, </w:t>
      </w:r>
      <w:proofErr w:type="spellStart"/>
      <w:r w:rsidR="00FD76E7" w:rsidRPr="003B46B8">
        <w:rPr>
          <w:rFonts w:ascii="Arial" w:hAnsi="Arial" w:cs="Arial"/>
          <w:color w:val="DDD9C3" w:themeColor="background2" w:themeShade="E6"/>
          <w:sz w:val="20"/>
          <w:szCs w:val="20"/>
        </w:rPr>
        <w:t>Wierzba</w:t>
      </w:r>
      <w:proofErr w:type="spellEnd"/>
      <w:r w:rsidR="00FD76E7" w:rsidRPr="003B46B8">
        <w:rPr>
          <w:rFonts w:ascii="Arial" w:hAnsi="Arial" w:cs="Arial"/>
          <w:color w:val="DDD9C3" w:themeColor="background2" w:themeShade="E6"/>
          <w:sz w:val="20"/>
          <w:szCs w:val="20"/>
        </w:rPr>
        <w:t xml:space="preserve"> TF, Petri WA Jr, Ali M, </w:t>
      </w:r>
      <w:proofErr w:type="spellStart"/>
      <w:r w:rsidR="00FD76E7" w:rsidRPr="003B46B8">
        <w:rPr>
          <w:rFonts w:ascii="Arial" w:hAnsi="Arial" w:cs="Arial"/>
          <w:color w:val="DDD9C3" w:themeColor="background2" w:themeShade="E6"/>
          <w:sz w:val="20"/>
          <w:szCs w:val="20"/>
        </w:rPr>
        <w:t>Dey</w:t>
      </w:r>
      <w:proofErr w:type="spellEnd"/>
      <w:r w:rsidR="00FD76E7" w:rsidRPr="003B46B8">
        <w:rPr>
          <w:rFonts w:ascii="Arial" w:hAnsi="Arial" w:cs="Arial"/>
          <w:color w:val="DDD9C3" w:themeColor="background2" w:themeShade="E6"/>
          <w:sz w:val="20"/>
          <w:szCs w:val="20"/>
        </w:rPr>
        <w:t xml:space="preserve"> A. </w:t>
      </w:r>
      <w:r w:rsidR="00FD76E7" w:rsidRPr="003B46B8">
        <w:rPr>
          <w:rFonts w:ascii="Arial" w:hAnsi="Arial" w:cs="Arial"/>
          <w:color w:val="DDD9C3" w:themeColor="background2" w:themeShade="E6"/>
          <w:sz w:val="20"/>
          <w:szCs w:val="20"/>
          <w:u w:val="single"/>
        </w:rPr>
        <w:t xml:space="preserve">Comparison of IPV to </w:t>
      </w:r>
      <w:proofErr w:type="spellStart"/>
      <w:r w:rsidR="00FD76E7" w:rsidRPr="003B46B8">
        <w:rPr>
          <w:rFonts w:ascii="Arial" w:hAnsi="Arial" w:cs="Arial"/>
          <w:color w:val="DDD9C3" w:themeColor="background2" w:themeShade="E6"/>
          <w:sz w:val="20"/>
          <w:szCs w:val="20"/>
          <w:u w:val="single"/>
        </w:rPr>
        <w:t>tOPV</w:t>
      </w:r>
      <w:proofErr w:type="spellEnd"/>
      <w:r w:rsidR="00FD76E7" w:rsidRPr="003B46B8">
        <w:rPr>
          <w:rFonts w:ascii="Arial" w:hAnsi="Arial" w:cs="Arial"/>
          <w:color w:val="DDD9C3" w:themeColor="background2" w:themeShade="E6"/>
          <w:sz w:val="20"/>
          <w:szCs w:val="20"/>
          <w:u w:val="single"/>
        </w:rPr>
        <w:t xml:space="preserve"> week 39 boost of primary OPV vaccination in </w:t>
      </w:r>
      <w:r w:rsidR="00FD76E7" w:rsidRPr="000135FE">
        <w:rPr>
          <w:rFonts w:ascii="Arial" w:hAnsi="Arial" w:cs="Arial"/>
          <w:color w:val="FF0000"/>
          <w:sz w:val="20"/>
          <w:szCs w:val="20"/>
          <w:u w:val="single"/>
        </w:rPr>
        <w:t>Indian infants</w:t>
      </w:r>
      <w:r w:rsidR="00FD76E7" w:rsidRPr="003B46B8">
        <w:rPr>
          <w:rFonts w:ascii="Arial" w:hAnsi="Arial" w:cs="Arial"/>
          <w:color w:val="DDD9C3" w:themeColor="background2" w:themeShade="E6"/>
          <w:sz w:val="20"/>
          <w:szCs w:val="20"/>
          <w:u w:val="single"/>
        </w:rPr>
        <w:t>: an open labelled randomized controlled trial</w:t>
      </w:r>
      <w:r w:rsidR="00FD76E7" w:rsidRPr="003B46B8">
        <w:rPr>
          <w:rFonts w:ascii="Arial" w:hAnsi="Arial" w:cs="Arial"/>
          <w:color w:val="DDD9C3" w:themeColor="background2" w:themeShade="E6"/>
          <w:sz w:val="20"/>
          <w:szCs w:val="20"/>
        </w:rPr>
        <w:t xml:space="preserve">. </w:t>
      </w:r>
      <w:proofErr w:type="spellStart"/>
      <w:r w:rsidR="00FD76E7" w:rsidRPr="003B46B8">
        <w:rPr>
          <w:rFonts w:ascii="Arial" w:hAnsi="Arial" w:cs="Arial"/>
          <w:color w:val="DDD9C3" w:themeColor="background2" w:themeShade="E6"/>
          <w:sz w:val="20"/>
          <w:szCs w:val="20"/>
        </w:rPr>
        <w:t>Heliyon</w:t>
      </w:r>
      <w:proofErr w:type="spellEnd"/>
      <w:r w:rsidR="00FD76E7" w:rsidRPr="003B46B8">
        <w:rPr>
          <w:rFonts w:ascii="Arial" w:hAnsi="Arial" w:cs="Arial"/>
          <w:color w:val="DDD9C3" w:themeColor="background2" w:themeShade="E6"/>
          <w:sz w:val="20"/>
          <w:szCs w:val="20"/>
        </w:rPr>
        <w:t>. 2017 Jan 9;3(1</w:t>
      </w:r>
      <w:proofErr w:type="gramStart"/>
      <w:r w:rsidR="00FD76E7" w:rsidRPr="003B46B8">
        <w:rPr>
          <w:rFonts w:ascii="Arial" w:hAnsi="Arial" w:cs="Arial"/>
          <w:color w:val="DDD9C3" w:themeColor="background2" w:themeShade="E6"/>
          <w:sz w:val="20"/>
          <w:szCs w:val="20"/>
        </w:rPr>
        <w:t>):e</w:t>
      </w:r>
      <w:proofErr w:type="gramEnd"/>
      <w:r w:rsidR="00FD76E7" w:rsidRPr="003B46B8">
        <w:rPr>
          <w:rFonts w:ascii="Arial" w:hAnsi="Arial" w:cs="Arial"/>
          <w:color w:val="DDD9C3" w:themeColor="background2" w:themeShade="E6"/>
          <w:sz w:val="20"/>
          <w:szCs w:val="20"/>
        </w:rPr>
        <w:t xml:space="preserve">00223. doi:10.1016/j. </w:t>
      </w:r>
      <w:proofErr w:type="gramStart"/>
      <w:r w:rsidR="00FD76E7" w:rsidRPr="003B46B8">
        <w:rPr>
          <w:rFonts w:ascii="Arial" w:hAnsi="Arial" w:cs="Arial"/>
          <w:color w:val="DDD9C3" w:themeColor="background2" w:themeShade="E6"/>
          <w:sz w:val="20"/>
          <w:szCs w:val="20"/>
        </w:rPr>
        <w:t>heliyon.2016.e</w:t>
      </w:r>
      <w:proofErr w:type="gramEnd"/>
      <w:r w:rsidR="00FD76E7" w:rsidRPr="003B46B8">
        <w:rPr>
          <w:rFonts w:ascii="Arial" w:hAnsi="Arial" w:cs="Arial"/>
          <w:color w:val="DDD9C3" w:themeColor="background2" w:themeShade="E6"/>
          <w:sz w:val="20"/>
          <w:szCs w:val="20"/>
        </w:rPr>
        <w:t xml:space="preserve">00223. </w:t>
      </w:r>
      <w:proofErr w:type="spellStart"/>
      <w:r w:rsidR="00FD76E7" w:rsidRPr="003B46B8">
        <w:rPr>
          <w:rFonts w:ascii="Arial" w:hAnsi="Arial" w:cs="Arial"/>
          <w:color w:val="DDD9C3" w:themeColor="background2" w:themeShade="E6"/>
          <w:sz w:val="20"/>
          <w:szCs w:val="20"/>
        </w:rPr>
        <w:t>eCollection</w:t>
      </w:r>
      <w:proofErr w:type="spellEnd"/>
      <w:r w:rsidR="00FD76E7" w:rsidRPr="003B46B8">
        <w:rPr>
          <w:rFonts w:ascii="Arial" w:hAnsi="Arial" w:cs="Arial"/>
          <w:color w:val="DDD9C3" w:themeColor="background2" w:themeShade="E6"/>
          <w:sz w:val="20"/>
          <w:szCs w:val="20"/>
        </w:rPr>
        <w:t xml:space="preserve"> 2017 </w:t>
      </w:r>
      <w:proofErr w:type="spellStart"/>
      <w:r w:rsidR="00FD76E7" w:rsidRPr="003B46B8">
        <w:rPr>
          <w:rFonts w:ascii="Arial" w:hAnsi="Arial" w:cs="Arial"/>
          <w:color w:val="DDD9C3" w:themeColor="background2" w:themeShade="E6"/>
          <w:sz w:val="20"/>
          <w:szCs w:val="20"/>
        </w:rPr>
        <w:t>Jan.PMID</w:t>
      </w:r>
      <w:proofErr w:type="spellEnd"/>
      <w:r w:rsidR="00FD76E7" w:rsidRPr="003B46B8">
        <w:rPr>
          <w:rFonts w:ascii="Arial" w:hAnsi="Arial" w:cs="Arial"/>
          <w:color w:val="DDD9C3" w:themeColor="background2" w:themeShade="E6"/>
          <w:sz w:val="20"/>
          <w:szCs w:val="20"/>
        </w:rPr>
        <w:t xml:space="preserve">: 28194449.  </w:t>
      </w:r>
      <w:r w:rsidR="00FD76E7" w:rsidRPr="003B46B8">
        <w:rPr>
          <w:rFonts w:ascii="Arial" w:eastAsia="Times New Roman" w:hAnsi="Arial" w:cs="Arial"/>
          <w:i/>
          <w:color w:val="DDD9C3" w:themeColor="background2" w:themeShade="E6"/>
          <w:sz w:val="20"/>
          <w:szCs w:val="20"/>
          <w:shd w:val="clear" w:color="auto" w:fill="FFFFFF"/>
        </w:rPr>
        <w:t xml:space="preserve">In the India PROVIDE Cohort an IPV boost at week 39 was equivalent to </w:t>
      </w:r>
      <w:proofErr w:type="spellStart"/>
      <w:r w:rsidR="00FD76E7" w:rsidRPr="003B46B8">
        <w:rPr>
          <w:rFonts w:ascii="Arial" w:eastAsia="Times New Roman" w:hAnsi="Arial" w:cs="Arial"/>
          <w:i/>
          <w:color w:val="DDD9C3" w:themeColor="background2" w:themeShade="E6"/>
          <w:sz w:val="20"/>
          <w:szCs w:val="20"/>
          <w:shd w:val="clear" w:color="auto" w:fill="FFFFFF"/>
        </w:rPr>
        <w:t>tOPV</w:t>
      </w:r>
      <w:proofErr w:type="spellEnd"/>
      <w:r w:rsidR="00FD76E7" w:rsidRPr="003B46B8">
        <w:rPr>
          <w:rFonts w:ascii="Arial" w:eastAsia="Times New Roman" w:hAnsi="Arial" w:cs="Arial"/>
          <w:i/>
          <w:color w:val="DDD9C3" w:themeColor="background2" w:themeShade="E6"/>
          <w:sz w:val="20"/>
          <w:szCs w:val="20"/>
          <w:shd w:val="clear" w:color="auto" w:fill="FFFFFF"/>
        </w:rPr>
        <w:t xml:space="preserve"> in intestinal immunity, and provided higher seroconversion compared to </w:t>
      </w:r>
      <w:proofErr w:type="spellStart"/>
      <w:r w:rsidR="00FD76E7" w:rsidRPr="003B46B8">
        <w:rPr>
          <w:rFonts w:ascii="Arial" w:eastAsia="Times New Roman" w:hAnsi="Arial" w:cs="Arial"/>
          <w:i/>
          <w:color w:val="DDD9C3" w:themeColor="background2" w:themeShade="E6"/>
          <w:sz w:val="20"/>
          <w:szCs w:val="20"/>
          <w:shd w:val="clear" w:color="auto" w:fill="FFFFFF"/>
        </w:rPr>
        <w:t>tOPV</w:t>
      </w:r>
      <w:proofErr w:type="spellEnd"/>
      <w:r w:rsidR="00FD76E7" w:rsidRPr="003B46B8">
        <w:rPr>
          <w:rFonts w:ascii="Arial" w:eastAsia="Times New Roman" w:hAnsi="Arial" w:cs="Arial"/>
          <w:i/>
          <w:color w:val="DDD9C3" w:themeColor="background2" w:themeShade="E6"/>
          <w:sz w:val="20"/>
          <w:szCs w:val="20"/>
          <w:shd w:val="clear" w:color="auto" w:fill="FFFFFF"/>
        </w:rPr>
        <w:t>. IPV for OPV boost should prove to be a step forward in the global polio eradication initiative to reduce the problem of circulating vaccine-derived poliovirus.</w:t>
      </w:r>
    </w:p>
    <w:p w14:paraId="7EEC514A" w14:textId="15581F8A" w:rsidR="00FD76E7" w:rsidRDefault="00627850" w:rsidP="00FD76E7">
      <w:pPr>
        <w:tabs>
          <w:tab w:val="left" w:pos="360"/>
        </w:tabs>
        <w:spacing w:after="120"/>
        <w:rPr>
          <w:rFonts w:ascii="Arial" w:hAnsi="Arial" w:cs="Arial"/>
          <w:sz w:val="20"/>
          <w:szCs w:val="20"/>
        </w:rPr>
      </w:pPr>
      <w:r>
        <w:rPr>
          <w:rFonts w:ascii="Arial" w:hAnsi="Arial" w:cs="Arial"/>
          <w:sz w:val="20"/>
          <w:szCs w:val="20"/>
        </w:rPr>
        <w:t>5</w:t>
      </w:r>
      <w:r w:rsidR="00FD76E7">
        <w:rPr>
          <w:rFonts w:ascii="Arial" w:hAnsi="Arial" w:cs="Arial"/>
          <w:sz w:val="20"/>
          <w:szCs w:val="20"/>
        </w:rPr>
        <w:t xml:space="preserve">. </w:t>
      </w:r>
      <w:r w:rsidR="00FD76E7" w:rsidRPr="005151A4">
        <w:rPr>
          <w:rFonts w:ascii="Arial" w:hAnsi="Arial" w:cs="Arial"/>
          <w:sz w:val="20"/>
          <w:szCs w:val="20"/>
        </w:rPr>
        <w:t xml:space="preserve">Taniuchi M, </w:t>
      </w:r>
      <w:proofErr w:type="spellStart"/>
      <w:r w:rsidR="00FD76E7" w:rsidRPr="005151A4">
        <w:rPr>
          <w:rFonts w:ascii="Arial" w:hAnsi="Arial" w:cs="Arial"/>
          <w:sz w:val="20"/>
          <w:szCs w:val="20"/>
        </w:rPr>
        <w:t>Famulare</w:t>
      </w:r>
      <w:proofErr w:type="spellEnd"/>
      <w:r w:rsidR="00FD76E7" w:rsidRPr="005151A4">
        <w:rPr>
          <w:rFonts w:ascii="Arial" w:hAnsi="Arial" w:cs="Arial"/>
          <w:sz w:val="20"/>
          <w:szCs w:val="20"/>
        </w:rPr>
        <w:t xml:space="preserve"> M, Zaman K, Uddin MJ, Upfill-Brown AM, Ahmed T, </w:t>
      </w:r>
      <w:proofErr w:type="spellStart"/>
      <w:r w:rsidR="00FD76E7" w:rsidRPr="005151A4">
        <w:rPr>
          <w:rFonts w:ascii="Arial" w:hAnsi="Arial" w:cs="Arial"/>
          <w:sz w:val="20"/>
          <w:szCs w:val="20"/>
        </w:rPr>
        <w:t>Saha</w:t>
      </w:r>
      <w:proofErr w:type="spellEnd"/>
      <w:r w:rsidR="00FD76E7" w:rsidRPr="005151A4">
        <w:rPr>
          <w:rFonts w:ascii="Arial" w:hAnsi="Arial" w:cs="Arial"/>
          <w:sz w:val="20"/>
          <w:szCs w:val="20"/>
        </w:rPr>
        <w:t xml:space="preserve"> P, Haque R, </w:t>
      </w:r>
      <w:proofErr w:type="spellStart"/>
      <w:r w:rsidR="00FD76E7" w:rsidRPr="005151A4">
        <w:rPr>
          <w:rFonts w:ascii="Arial" w:hAnsi="Arial" w:cs="Arial"/>
          <w:sz w:val="20"/>
          <w:szCs w:val="20"/>
        </w:rPr>
        <w:t>Bandyopadhyay</w:t>
      </w:r>
      <w:proofErr w:type="spellEnd"/>
      <w:r w:rsidR="00FD76E7" w:rsidRPr="005151A4">
        <w:rPr>
          <w:rFonts w:ascii="Arial" w:hAnsi="Arial" w:cs="Arial"/>
          <w:sz w:val="20"/>
          <w:szCs w:val="20"/>
        </w:rPr>
        <w:t xml:space="preserve"> AS, </w:t>
      </w:r>
      <w:proofErr w:type="spellStart"/>
      <w:r w:rsidR="00FD76E7" w:rsidRPr="005151A4">
        <w:rPr>
          <w:rFonts w:ascii="Arial" w:hAnsi="Arial" w:cs="Arial"/>
          <w:sz w:val="20"/>
          <w:szCs w:val="20"/>
        </w:rPr>
        <w:t>Modlin</w:t>
      </w:r>
      <w:proofErr w:type="spellEnd"/>
      <w:r w:rsidR="00FD76E7" w:rsidRPr="005151A4">
        <w:rPr>
          <w:rFonts w:ascii="Arial" w:hAnsi="Arial" w:cs="Arial"/>
          <w:sz w:val="20"/>
          <w:szCs w:val="20"/>
        </w:rPr>
        <w:t xml:space="preserve"> JF, Platts-Mills JA, </w:t>
      </w:r>
      <w:proofErr w:type="spellStart"/>
      <w:r w:rsidR="00FD76E7" w:rsidRPr="005151A4">
        <w:rPr>
          <w:rFonts w:ascii="Arial" w:hAnsi="Arial" w:cs="Arial"/>
          <w:sz w:val="20"/>
          <w:szCs w:val="20"/>
        </w:rPr>
        <w:t>Houpt</w:t>
      </w:r>
      <w:proofErr w:type="spellEnd"/>
      <w:r w:rsidR="00FD76E7" w:rsidRPr="005151A4">
        <w:rPr>
          <w:rFonts w:ascii="Arial" w:hAnsi="Arial" w:cs="Arial"/>
          <w:sz w:val="20"/>
          <w:szCs w:val="20"/>
        </w:rPr>
        <w:t xml:space="preserve"> ER, </w:t>
      </w:r>
      <w:proofErr w:type="spellStart"/>
      <w:r w:rsidR="00FD76E7" w:rsidRPr="005151A4">
        <w:rPr>
          <w:rFonts w:ascii="Arial" w:hAnsi="Arial" w:cs="Arial"/>
          <w:sz w:val="20"/>
          <w:szCs w:val="20"/>
        </w:rPr>
        <w:t>Yunus</w:t>
      </w:r>
      <w:proofErr w:type="spellEnd"/>
      <w:r w:rsidR="00FD76E7" w:rsidRPr="005151A4">
        <w:rPr>
          <w:rFonts w:ascii="Arial" w:hAnsi="Arial" w:cs="Arial"/>
          <w:sz w:val="20"/>
          <w:szCs w:val="20"/>
        </w:rPr>
        <w:t xml:space="preserve"> M, Petri WA Jr.</w:t>
      </w:r>
      <w:r w:rsidR="00FD76E7">
        <w:rPr>
          <w:rFonts w:ascii="Arial" w:hAnsi="Arial" w:cs="Arial"/>
          <w:sz w:val="20"/>
          <w:szCs w:val="20"/>
        </w:rPr>
        <w:t xml:space="preserve"> </w:t>
      </w:r>
      <w:r w:rsidR="00FD76E7" w:rsidRPr="00F41193">
        <w:rPr>
          <w:rFonts w:ascii="Arial" w:hAnsi="Arial" w:cs="Arial"/>
          <w:sz w:val="20"/>
          <w:szCs w:val="20"/>
          <w:u w:val="single"/>
        </w:rPr>
        <w:t>Community transmission of type 2 poliovirus after cessation of trivalent oral polio vaccine in Bangladesh: an open-label cluster-</w:t>
      </w:r>
      <w:proofErr w:type="spellStart"/>
      <w:r w:rsidR="00FD76E7" w:rsidRPr="00F41193">
        <w:rPr>
          <w:rFonts w:ascii="Arial" w:hAnsi="Arial" w:cs="Arial"/>
          <w:sz w:val="20"/>
          <w:szCs w:val="20"/>
          <w:u w:val="single"/>
        </w:rPr>
        <w:t>randomised</w:t>
      </w:r>
      <w:proofErr w:type="spellEnd"/>
      <w:r w:rsidR="00FD76E7" w:rsidRPr="00F41193">
        <w:rPr>
          <w:rFonts w:ascii="Arial" w:hAnsi="Arial" w:cs="Arial"/>
          <w:sz w:val="20"/>
          <w:szCs w:val="20"/>
          <w:u w:val="single"/>
        </w:rPr>
        <w:t xml:space="preserve"> trial and modelling study</w:t>
      </w:r>
      <w:r w:rsidR="00FD76E7" w:rsidRPr="00AB7966">
        <w:rPr>
          <w:rFonts w:ascii="Arial" w:hAnsi="Arial" w:cs="Arial"/>
          <w:sz w:val="20"/>
          <w:szCs w:val="20"/>
        </w:rPr>
        <w:t>.</w:t>
      </w:r>
      <w:r w:rsidR="00FD76E7">
        <w:rPr>
          <w:rFonts w:ascii="Arial" w:hAnsi="Arial" w:cs="Arial"/>
          <w:sz w:val="20"/>
          <w:szCs w:val="20"/>
        </w:rPr>
        <w:t xml:space="preserve"> </w:t>
      </w:r>
      <w:r w:rsidR="00FD76E7" w:rsidRPr="005151A4">
        <w:rPr>
          <w:rFonts w:ascii="Arial" w:hAnsi="Arial" w:cs="Arial"/>
          <w:sz w:val="20"/>
          <w:szCs w:val="20"/>
        </w:rPr>
        <w:t xml:space="preserve">Lancet Infect Dis. 2017 Oct;17(10):1069-1079. </w:t>
      </w:r>
      <w:proofErr w:type="spellStart"/>
      <w:r w:rsidR="00FD76E7" w:rsidRPr="005151A4">
        <w:rPr>
          <w:rFonts w:ascii="Arial" w:hAnsi="Arial" w:cs="Arial"/>
          <w:sz w:val="20"/>
          <w:szCs w:val="20"/>
        </w:rPr>
        <w:t>doi</w:t>
      </w:r>
      <w:proofErr w:type="spellEnd"/>
      <w:r w:rsidR="00FD76E7" w:rsidRPr="005151A4">
        <w:rPr>
          <w:rFonts w:ascii="Arial" w:hAnsi="Arial" w:cs="Arial"/>
          <w:sz w:val="20"/>
          <w:szCs w:val="20"/>
        </w:rPr>
        <w:t xml:space="preserve">: 10.1016/S1473-3099(17)30358-4. </w:t>
      </w:r>
      <w:proofErr w:type="spellStart"/>
      <w:r w:rsidR="00FD76E7" w:rsidRPr="005151A4">
        <w:rPr>
          <w:rFonts w:ascii="Arial" w:hAnsi="Arial" w:cs="Arial"/>
          <w:sz w:val="20"/>
          <w:szCs w:val="20"/>
        </w:rPr>
        <w:t>Epub</w:t>
      </w:r>
      <w:proofErr w:type="spellEnd"/>
      <w:r w:rsidR="00FD76E7" w:rsidRPr="005151A4">
        <w:rPr>
          <w:rFonts w:ascii="Arial" w:hAnsi="Arial" w:cs="Arial"/>
          <w:sz w:val="20"/>
          <w:szCs w:val="20"/>
        </w:rPr>
        <w:t xml:space="preserve"> 2017 Jul 7.</w:t>
      </w:r>
      <w:r w:rsidR="00FD76E7">
        <w:rPr>
          <w:rFonts w:ascii="Arial" w:hAnsi="Arial" w:cs="Arial"/>
          <w:sz w:val="20"/>
          <w:szCs w:val="20"/>
        </w:rPr>
        <w:t xml:space="preserve"> </w:t>
      </w:r>
      <w:r w:rsidR="00FD76E7" w:rsidRPr="005151A4">
        <w:rPr>
          <w:rFonts w:ascii="Arial" w:hAnsi="Arial" w:cs="Arial"/>
          <w:sz w:val="20"/>
          <w:szCs w:val="20"/>
        </w:rPr>
        <w:t>PMID: 28693854</w:t>
      </w:r>
      <w:r w:rsidR="00FD76E7">
        <w:rPr>
          <w:rFonts w:ascii="Arial" w:hAnsi="Arial" w:cs="Arial"/>
          <w:sz w:val="20"/>
          <w:szCs w:val="20"/>
        </w:rPr>
        <w:t xml:space="preserve"> </w:t>
      </w:r>
      <w:r w:rsidR="00FD76E7" w:rsidRPr="004B6BAB">
        <w:rPr>
          <w:rFonts w:ascii="Arial" w:hAnsi="Arial" w:cs="Arial"/>
          <w:i/>
          <w:sz w:val="20"/>
          <w:szCs w:val="20"/>
        </w:rPr>
        <w:t xml:space="preserve">In this study, simulating 1 year of </w:t>
      </w:r>
      <w:proofErr w:type="spellStart"/>
      <w:r w:rsidR="00FD76E7" w:rsidRPr="004B6BAB">
        <w:rPr>
          <w:rFonts w:ascii="Arial" w:hAnsi="Arial" w:cs="Arial"/>
          <w:i/>
          <w:sz w:val="20"/>
          <w:szCs w:val="20"/>
        </w:rPr>
        <w:t>tOPV</w:t>
      </w:r>
      <w:proofErr w:type="spellEnd"/>
      <w:r w:rsidR="00FD76E7" w:rsidRPr="004B6BAB">
        <w:rPr>
          <w:rFonts w:ascii="Arial" w:hAnsi="Arial" w:cs="Arial"/>
          <w:i/>
          <w:sz w:val="20"/>
          <w:szCs w:val="20"/>
        </w:rPr>
        <w:t xml:space="preserve"> cessation, Sabin 2 transmission was higher in household contacts of mOPV2 recipients in villages receiving </w:t>
      </w:r>
      <w:proofErr w:type="spellStart"/>
      <w:r w:rsidR="00FD76E7" w:rsidRPr="004B6BAB">
        <w:rPr>
          <w:rFonts w:ascii="Arial" w:hAnsi="Arial" w:cs="Arial"/>
          <w:i/>
          <w:sz w:val="20"/>
          <w:szCs w:val="20"/>
        </w:rPr>
        <w:t>bOPV</w:t>
      </w:r>
      <w:proofErr w:type="spellEnd"/>
      <w:r w:rsidR="00FD76E7" w:rsidRPr="004B6BAB">
        <w:rPr>
          <w:rFonts w:ascii="Arial" w:hAnsi="Arial" w:cs="Arial"/>
          <w:i/>
          <w:sz w:val="20"/>
          <w:szCs w:val="20"/>
        </w:rPr>
        <w:t xml:space="preserve"> and e</w:t>
      </w:r>
      <w:r w:rsidR="00FD76E7">
        <w:rPr>
          <w:rFonts w:ascii="Arial" w:hAnsi="Arial" w:cs="Arial"/>
          <w:i/>
          <w:sz w:val="20"/>
          <w:szCs w:val="20"/>
        </w:rPr>
        <w:t xml:space="preserve">ither one or two doses of IPV. The study demonstrated the mucosal immunity gap to OPV2 in children receiving </w:t>
      </w:r>
      <w:proofErr w:type="spellStart"/>
      <w:r w:rsidR="00FD76E7">
        <w:rPr>
          <w:rFonts w:ascii="Arial" w:hAnsi="Arial" w:cs="Arial"/>
          <w:i/>
          <w:sz w:val="20"/>
          <w:szCs w:val="20"/>
        </w:rPr>
        <w:t>bOPV</w:t>
      </w:r>
      <w:proofErr w:type="spellEnd"/>
      <w:r w:rsidR="00FD76E7">
        <w:rPr>
          <w:rFonts w:ascii="Arial" w:hAnsi="Arial" w:cs="Arial"/>
          <w:i/>
          <w:sz w:val="20"/>
          <w:szCs w:val="20"/>
        </w:rPr>
        <w:t xml:space="preserve"> immunization.</w:t>
      </w:r>
    </w:p>
    <w:p w14:paraId="160E80AC" w14:textId="12213FB1" w:rsidR="00FD76E7" w:rsidRPr="00627850" w:rsidRDefault="00627850" w:rsidP="00FD76E7">
      <w:pPr>
        <w:spacing w:after="120"/>
        <w:rPr>
          <w:rFonts w:ascii="Arial" w:hAnsi="Arial" w:cs="Arial"/>
          <w:i/>
          <w:color w:val="000000"/>
          <w:sz w:val="21"/>
          <w:szCs w:val="21"/>
        </w:rPr>
      </w:pPr>
      <w:r w:rsidRPr="00690D2F">
        <w:rPr>
          <w:rFonts w:ascii="Arial" w:hAnsi="Arial" w:cs="Arial"/>
          <w:sz w:val="20"/>
          <w:szCs w:val="20"/>
        </w:rPr>
        <w:lastRenderedPageBreak/>
        <w:t xml:space="preserve">6. </w:t>
      </w:r>
      <w:proofErr w:type="spellStart"/>
      <w:r w:rsidR="00FD76E7" w:rsidRPr="00690D2F">
        <w:rPr>
          <w:rFonts w:ascii="Arial" w:hAnsi="Arial" w:cs="Arial"/>
          <w:sz w:val="20"/>
          <w:szCs w:val="20"/>
        </w:rPr>
        <w:t>Upfill</w:t>
      </w:r>
      <w:proofErr w:type="spellEnd"/>
      <w:r w:rsidR="00FD76E7" w:rsidRPr="00690D2F">
        <w:rPr>
          <w:rFonts w:ascii="Arial" w:hAnsi="Arial" w:cs="Arial"/>
          <w:sz w:val="20"/>
          <w:szCs w:val="20"/>
        </w:rPr>
        <w:t>-Brown A, Taniuchi M, Platts-Mills</w:t>
      </w:r>
      <w:bookmarkStart w:id="0" w:name="_GoBack"/>
      <w:bookmarkEnd w:id="0"/>
      <w:r w:rsidR="00FD76E7" w:rsidRPr="00690D2F">
        <w:rPr>
          <w:rFonts w:ascii="Arial" w:hAnsi="Arial" w:cs="Arial"/>
          <w:sz w:val="20"/>
          <w:szCs w:val="20"/>
        </w:rPr>
        <w:t xml:space="preserve"> JA, Kirkpatrick B, Burgess SL, </w:t>
      </w:r>
      <w:proofErr w:type="spellStart"/>
      <w:r w:rsidR="00FD76E7" w:rsidRPr="00690D2F">
        <w:rPr>
          <w:rFonts w:ascii="Arial" w:hAnsi="Arial" w:cs="Arial"/>
          <w:sz w:val="20"/>
          <w:szCs w:val="20"/>
        </w:rPr>
        <w:t>Oberste</w:t>
      </w:r>
      <w:proofErr w:type="spellEnd"/>
      <w:r w:rsidR="00FD76E7" w:rsidRPr="00690D2F">
        <w:rPr>
          <w:rFonts w:ascii="Arial" w:hAnsi="Arial" w:cs="Arial"/>
          <w:sz w:val="20"/>
          <w:szCs w:val="20"/>
        </w:rPr>
        <w:t xml:space="preserve"> MS, Weldon W,</w:t>
      </w:r>
      <w:r w:rsidR="00FD76E7" w:rsidRPr="001F1D2E">
        <w:rPr>
          <w:rFonts w:ascii="Arial" w:hAnsi="Arial" w:cs="Arial"/>
          <w:sz w:val="20"/>
          <w:szCs w:val="20"/>
        </w:rPr>
        <w:t xml:space="preserve"> </w:t>
      </w:r>
      <w:proofErr w:type="spellStart"/>
      <w:r w:rsidR="00FD76E7" w:rsidRPr="001F1D2E">
        <w:rPr>
          <w:rFonts w:ascii="Arial" w:hAnsi="Arial" w:cs="Arial"/>
          <w:sz w:val="20"/>
          <w:szCs w:val="20"/>
        </w:rPr>
        <w:t>Houpt</w:t>
      </w:r>
      <w:proofErr w:type="spellEnd"/>
      <w:r w:rsidR="00FD76E7" w:rsidRPr="001F1D2E">
        <w:rPr>
          <w:rFonts w:ascii="Arial" w:hAnsi="Arial" w:cs="Arial"/>
          <w:sz w:val="20"/>
          <w:szCs w:val="20"/>
        </w:rPr>
        <w:t xml:space="preserve"> E, Haque R, Zaman K, Petri WA Jr.</w:t>
      </w:r>
      <w:r w:rsidR="00FD76E7" w:rsidRPr="001F1D2E">
        <w:rPr>
          <w:sz w:val="20"/>
          <w:szCs w:val="20"/>
        </w:rPr>
        <w:t xml:space="preserve"> </w:t>
      </w:r>
      <w:r w:rsidR="00FD76E7" w:rsidRPr="00F41193">
        <w:rPr>
          <w:rFonts w:ascii="Arial" w:hAnsi="Arial" w:cs="Arial"/>
          <w:sz w:val="20"/>
          <w:szCs w:val="20"/>
          <w:u w:val="single"/>
        </w:rPr>
        <w:t>Nonspecific Effects of Oral Polio Vaccine on Diarrheal Burden and Etiology Among Bangladeshi Infants</w:t>
      </w:r>
      <w:r w:rsidR="00FD76E7" w:rsidRPr="001F1D2E">
        <w:rPr>
          <w:rFonts w:ascii="Arial" w:hAnsi="Arial" w:cs="Arial"/>
          <w:sz w:val="20"/>
          <w:szCs w:val="20"/>
        </w:rPr>
        <w:t>.</w:t>
      </w:r>
      <w:r w:rsidR="00FD76E7" w:rsidRPr="001F1D2E">
        <w:rPr>
          <w:rStyle w:val="jrnl"/>
          <w:rFonts w:ascii="Arial" w:eastAsia="Times New Roman" w:hAnsi="Arial" w:cs="Arial"/>
          <w:color w:val="000000"/>
          <w:sz w:val="20"/>
          <w:szCs w:val="20"/>
        </w:rPr>
        <w:t xml:space="preserve"> </w:t>
      </w:r>
      <w:proofErr w:type="spellStart"/>
      <w:r w:rsidR="00FD76E7" w:rsidRPr="001F1D2E">
        <w:rPr>
          <w:rFonts w:ascii="Arial" w:eastAsia="Times New Roman" w:hAnsi="Arial" w:cs="Arial"/>
          <w:color w:val="000000"/>
          <w:sz w:val="20"/>
          <w:szCs w:val="20"/>
        </w:rPr>
        <w:t>Clin</w:t>
      </w:r>
      <w:proofErr w:type="spellEnd"/>
      <w:r w:rsidR="00FD76E7" w:rsidRPr="001F1D2E">
        <w:rPr>
          <w:rFonts w:ascii="Arial" w:eastAsia="Times New Roman" w:hAnsi="Arial" w:cs="Arial"/>
          <w:color w:val="000000"/>
          <w:sz w:val="20"/>
          <w:szCs w:val="20"/>
        </w:rPr>
        <w:t xml:space="preserve"> Infect Dis</w:t>
      </w:r>
      <w:r w:rsidR="00FD76E7" w:rsidRPr="001F1D2E">
        <w:rPr>
          <w:rFonts w:ascii="Arial" w:eastAsia="Times New Roman" w:hAnsi="Arial" w:cs="Arial"/>
          <w:color w:val="000000"/>
          <w:sz w:val="20"/>
          <w:szCs w:val="20"/>
          <w:shd w:val="clear" w:color="auto" w:fill="FFFFFF"/>
        </w:rPr>
        <w:t xml:space="preserve">. 2017 Aug 1;65(3):414-419. </w:t>
      </w:r>
      <w:proofErr w:type="spellStart"/>
      <w:r w:rsidR="00FD76E7" w:rsidRPr="001F1D2E">
        <w:rPr>
          <w:rFonts w:ascii="Arial" w:eastAsia="Times New Roman" w:hAnsi="Arial" w:cs="Arial"/>
          <w:color w:val="000000"/>
          <w:sz w:val="20"/>
          <w:szCs w:val="20"/>
          <w:shd w:val="clear" w:color="auto" w:fill="FFFFFF"/>
        </w:rPr>
        <w:t>doi</w:t>
      </w:r>
      <w:proofErr w:type="spellEnd"/>
      <w:r w:rsidR="00FD76E7" w:rsidRPr="001F1D2E">
        <w:rPr>
          <w:rFonts w:ascii="Arial" w:eastAsia="Times New Roman" w:hAnsi="Arial" w:cs="Arial"/>
          <w:color w:val="000000"/>
          <w:sz w:val="20"/>
          <w:szCs w:val="20"/>
          <w:shd w:val="clear" w:color="auto" w:fill="FFFFFF"/>
        </w:rPr>
        <w:t>: 10.1093/</w:t>
      </w:r>
      <w:proofErr w:type="spellStart"/>
      <w:r w:rsidR="00FD76E7" w:rsidRPr="001F1D2E">
        <w:rPr>
          <w:rFonts w:ascii="Arial" w:eastAsia="Times New Roman" w:hAnsi="Arial" w:cs="Arial"/>
          <w:color w:val="000000"/>
          <w:sz w:val="20"/>
          <w:szCs w:val="20"/>
          <w:shd w:val="clear" w:color="auto" w:fill="FFFFFF"/>
        </w:rPr>
        <w:t>cid</w:t>
      </w:r>
      <w:proofErr w:type="spellEnd"/>
      <w:r w:rsidR="00FD76E7" w:rsidRPr="001F1D2E">
        <w:rPr>
          <w:rFonts w:ascii="Arial" w:eastAsia="Times New Roman" w:hAnsi="Arial" w:cs="Arial"/>
          <w:color w:val="000000"/>
          <w:sz w:val="20"/>
          <w:szCs w:val="20"/>
          <w:shd w:val="clear" w:color="auto" w:fill="FFFFFF"/>
        </w:rPr>
        <w:t>/cix354.</w:t>
      </w:r>
      <w:r w:rsidR="00FD76E7" w:rsidRPr="001F1D2E">
        <w:rPr>
          <w:sz w:val="20"/>
          <w:szCs w:val="20"/>
        </w:rPr>
        <w:t xml:space="preserve"> </w:t>
      </w:r>
      <w:r w:rsidR="00FD76E7" w:rsidRPr="001F1D2E">
        <w:rPr>
          <w:rFonts w:ascii="Arial" w:eastAsia="Times New Roman" w:hAnsi="Arial" w:cs="Arial"/>
          <w:color w:val="000000"/>
          <w:sz w:val="20"/>
          <w:szCs w:val="20"/>
          <w:shd w:val="clear" w:color="auto" w:fill="FFFFFF"/>
        </w:rPr>
        <w:t>PMID: 28444240.</w:t>
      </w:r>
      <w:r w:rsidR="00FD76E7">
        <w:rPr>
          <w:rFonts w:ascii="Arial" w:eastAsia="Times New Roman" w:hAnsi="Arial" w:cs="Arial"/>
          <w:color w:val="000000"/>
          <w:sz w:val="20"/>
          <w:szCs w:val="20"/>
          <w:shd w:val="clear" w:color="auto" w:fill="FFFFFF"/>
        </w:rPr>
        <w:t xml:space="preserve"> </w:t>
      </w:r>
      <w:r w:rsidR="00FD76E7" w:rsidRPr="001F1D2E">
        <w:rPr>
          <w:rFonts w:ascii="Arial" w:hAnsi="Arial" w:cs="Arial"/>
          <w:i/>
          <w:color w:val="000000"/>
          <w:sz w:val="20"/>
          <w:szCs w:val="20"/>
        </w:rPr>
        <w:t>Following vaccination with trivalent oral polio</w:t>
      </w:r>
      <w:r w:rsidR="00FD76E7" w:rsidRPr="00D142CB">
        <w:rPr>
          <w:rFonts w:ascii="Arial" w:hAnsi="Arial" w:cs="Arial"/>
          <w:i/>
          <w:color w:val="000000"/>
          <w:sz w:val="21"/>
          <w:szCs w:val="21"/>
        </w:rPr>
        <w:t xml:space="preserve"> vaccine (</w:t>
      </w:r>
      <w:proofErr w:type="spellStart"/>
      <w:r w:rsidR="00FD76E7" w:rsidRPr="00D142CB">
        <w:rPr>
          <w:rFonts w:ascii="Arial" w:hAnsi="Arial" w:cs="Arial"/>
          <w:i/>
          <w:color w:val="000000"/>
          <w:sz w:val="21"/>
          <w:szCs w:val="21"/>
        </w:rPr>
        <w:t>tOPV</w:t>
      </w:r>
      <w:proofErr w:type="spellEnd"/>
      <w:r w:rsidR="00FD76E7" w:rsidRPr="00D142CB">
        <w:rPr>
          <w:rFonts w:ascii="Arial" w:hAnsi="Arial" w:cs="Arial"/>
          <w:i/>
          <w:color w:val="000000"/>
          <w:sz w:val="21"/>
          <w:szCs w:val="21"/>
        </w:rPr>
        <w:t xml:space="preserve">) infants were randomly assigned to receive </w:t>
      </w:r>
      <w:proofErr w:type="spellStart"/>
      <w:r w:rsidR="00FD76E7" w:rsidRPr="00D142CB">
        <w:rPr>
          <w:rFonts w:ascii="Arial" w:hAnsi="Arial" w:cs="Arial"/>
          <w:i/>
          <w:color w:val="000000"/>
          <w:sz w:val="21"/>
          <w:szCs w:val="21"/>
        </w:rPr>
        <w:t>tOPV</w:t>
      </w:r>
      <w:proofErr w:type="spellEnd"/>
      <w:r w:rsidR="00FD76E7" w:rsidRPr="00D142CB">
        <w:rPr>
          <w:rFonts w:ascii="Arial" w:hAnsi="Arial" w:cs="Arial"/>
          <w:i/>
          <w:color w:val="000000"/>
          <w:sz w:val="21"/>
          <w:szCs w:val="21"/>
        </w:rPr>
        <w:t xml:space="preserve"> (n = 315) or inactivated polio vaccine (IPV) (n = 299) at 39 weeks. Episodes of diarrhea were documented through clinic visits and twice-weekly house visits through 52 weeks. </w:t>
      </w:r>
      <w:r w:rsidR="00FD76E7">
        <w:rPr>
          <w:rFonts w:ascii="Arial" w:hAnsi="Arial" w:cs="Arial"/>
          <w:i/>
          <w:color w:val="000000"/>
          <w:sz w:val="21"/>
          <w:szCs w:val="21"/>
        </w:rPr>
        <w:t>T</w:t>
      </w:r>
      <w:r w:rsidR="00FD76E7" w:rsidRPr="00D142CB">
        <w:rPr>
          <w:rFonts w:ascii="Arial" w:hAnsi="Arial" w:cs="Arial"/>
          <w:i/>
          <w:color w:val="000000"/>
          <w:sz w:val="21"/>
          <w:szCs w:val="21"/>
        </w:rPr>
        <w:t xml:space="preserve">he number of days with diarrhea (P = .0037) </w:t>
      </w:r>
      <w:r w:rsidR="00FD76E7">
        <w:rPr>
          <w:rFonts w:ascii="Arial" w:hAnsi="Arial" w:cs="Arial"/>
          <w:i/>
          <w:color w:val="000000"/>
          <w:sz w:val="21"/>
          <w:szCs w:val="21"/>
        </w:rPr>
        <w:t>were</w:t>
      </w:r>
      <w:r w:rsidR="00FD76E7" w:rsidRPr="00D142CB">
        <w:rPr>
          <w:rFonts w:ascii="Arial" w:hAnsi="Arial" w:cs="Arial"/>
          <w:i/>
          <w:color w:val="000000"/>
          <w:sz w:val="21"/>
          <w:szCs w:val="21"/>
        </w:rPr>
        <w:t xml:space="preserve"> lower in the OPV arm. Our results suggest that OPV may cause nonspecific reductions in mortality, as has been studied elsewhere, by reducing etiology-specific diarrheal burden.</w:t>
      </w:r>
    </w:p>
    <w:p w14:paraId="77617130" w14:textId="0FFE69A2" w:rsidR="007E344C" w:rsidRDefault="007E344C" w:rsidP="007E344C">
      <w:pPr>
        <w:tabs>
          <w:tab w:val="left" w:pos="360"/>
          <w:tab w:val="num" w:pos="540"/>
        </w:tabs>
        <w:rPr>
          <w:rFonts w:ascii="Arial" w:hAnsi="Arial" w:cs="Arial"/>
          <w:b/>
          <w:sz w:val="20"/>
          <w:szCs w:val="20"/>
        </w:rPr>
      </w:pPr>
      <w:r w:rsidRPr="004A3817">
        <w:rPr>
          <w:rFonts w:ascii="Arial" w:hAnsi="Arial" w:cs="Arial"/>
          <w:b/>
          <w:sz w:val="20"/>
          <w:szCs w:val="20"/>
        </w:rPr>
        <w:t>Rotavirus Vaccine Failure</w:t>
      </w:r>
    </w:p>
    <w:p w14:paraId="3D58035A" w14:textId="0A5B0A29" w:rsidR="00627850" w:rsidRDefault="00627850" w:rsidP="00627850">
      <w:pPr>
        <w:tabs>
          <w:tab w:val="left" w:pos="360"/>
          <w:tab w:val="num" w:pos="540"/>
        </w:tabs>
        <w:spacing w:after="120"/>
        <w:rPr>
          <w:rFonts w:ascii="Arial" w:hAnsi="Arial" w:cs="Arial"/>
          <w:i/>
          <w:sz w:val="20"/>
          <w:szCs w:val="20"/>
        </w:rPr>
      </w:pPr>
      <w:r>
        <w:rPr>
          <w:rFonts w:ascii="Arial" w:hAnsi="Arial" w:cs="Arial"/>
          <w:sz w:val="20"/>
          <w:szCs w:val="20"/>
        </w:rPr>
        <w:t xml:space="preserve">7. </w:t>
      </w:r>
      <w:r w:rsidRPr="00106CF1">
        <w:rPr>
          <w:rFonts w:ascii="Arial" w:hAnsi="Arial" w:cs="Arial"/>
          <w:sz w:val="20"/>
          <w:szCs w:val="20"/>
        </w:rPr>
        <w:t xml:space="preserve">Colgate ER, Haque R, Dickson DM, </w:t>
      </w:r>
      <w:proofErr w:type="spellStart"/>
      <w:r w:rsidRPr="00106CF1">
        <w:rPr>
          <w:rFonts w:ascii="Arial" w:hAnsi="Arial" w:cs="Arial"/>
          <w:sz w:val="20"/>
          <w:szCs w:val="20"/>
        </w:rPr>
        <w:t>Carmolli</w:t>
      </w:r>
      <w:proofErr w:type="spellEnd"/>
      <w:r w:rsidRPr="00106CF1">
        <w:rPr>
          <w:rFonts w:ascii="Arial" w:hAnsi="Arial" w:cs="Arial"/>
          <w:sz w:val="20"/>
          <w:szCs w:val="20"/>
        </w:rPr>
        <w:t xml:space="preserve"> MP, Mychaleckyj JC, Nayak U, </w:t>
      </w:r>
      <w:proofErr w:type="spellStart"/>
      <w:r w:rsidRPr="00106CF1">
        <w:rPr>
          <w:rFonts w:ascii="Arial" w:hAnsi="Arial" w:cs="Arial"/>
          <w:sz w:val="20"/>
          <w:szCs w:val="20"/>
        </w:rPr>
        <w:t>Qadri</w:t>
      </w:r>
      <w:proofErr w:type="spellEnd"/>
      <w:r w:rsidRPr="00106CF1">
        <w:rPr>
          <w:rFonts w:ascii="Arial" w:hAnsi="Arial" w:cs="Arial"/>
          <w:sz w:val="20"/>
          <w:szCs w:val="20"/>
        </w:rPr>
        <w:t xml:space="preserve"> F, Alam M, Walsh MC, Diehl SA, Zaman Z, Petri WA Jr, Kirkpatrick BD.  </w:t>
      </w:r>
      <w:r w:rsidRPr="00106CF1">
        <w:rPr>
          <w:rFonts w:ascii="Arial" w:hAnsi="Arial" w:cs="Arial"/>
          <w:sz w:val="20"/>
          <w:szCs w:val="20"/>
          <w:u w:val="single"/>
        </w:rPr>
        <w:t xml:space="preserve">Delayed Dosing of Oral Rotavirus Vaccine Demonstrates Decreased Risk of Rotavirus Gastroenteritis Associated </w:t>
      </w:r>
      <w:proofErr w:type="gramStart"/>
      <w:r w:rsidRPr="00106CF1">
        <w:rPr>
          <w:rFonts w:ascii="Arial" w:hAnsi="Arial" w:cs="Arial"/>
          <w:sz w:val="20"/>
          <w:szCs w:val="20"/>
          <w:u w:val="single"/>
        </w:rPr>
        <w:t>With</w:t>
      </w:r>
      <w:proofErr w:type="gramEnd"/>
      <w:r w:rsidRPr="00106CF1">
        <w:rPr>
          <w:rFonts w:ascii="Arial" w:hAnsi="Arial" w:cs="Arial"/>
          <w:sz w:val="20"/>
          <w:szCs w:val="20"/>
          <w:u w:val="single"/>
        </w:rPr>
        <w:t xml:space="preserve"> Serum Zinc: A Randomized Controlled Trial</w:t>
      </w:r>
      <w:r w:rsidRPr="00106CF1">
        <w:rPr>
          <w:rFonts w:ascii="Arial" w:hAnsi="Arial" w:cs="Arial"/>
          <w:sz w:val="20"/>
          <w:szCs w:val="20"/>
        </w:rPr>
        <w:t xml:space="preserve">. </w:t>
      </w:r>
      <w:proofErr w:type="spellStart"/>
      <w:r w:rsidRPr="00106CF1">
        <w:rPr>
          <w:rFonts w:ascii="Arial" w:hAnsi="Arial" w:cs="Arial"/>
          <w:sz w:val="20"/>
          <w:szCs w:val="20"/>
        </w:rPr>
        <w:t>Clin</w:t>
      </w:r>
      <w:proofErr w:type="spellEnd"/>
      <w:r w:rsidRPr="00106CF1">
        <w:rPr>
          <w:rFonts w:ascii="Arial" w:hAnsi="Arial" w:cs="Arial"/>
          <w:sz w:val="20"/>
          <w:szCs w:val="20"/>
        </w:rPr>
        <w:t xml:space="preserve"> Infec</w:t>
      </w:r>
      <w:r>
        <w:rPr>
          <w:rFonts w:ascii="Arial" w:hAnsi="Arial" w:cs="Arial"/>
          <w:sz w:val="20"/>
          <w:szCs w:val="20"/>
        </w:rPr>
        <w:t>t Dis 63:634-41, 2016.</w:t>
      </w:r>
      <w:r w:rsidR="003B46B8">
        <w:rPr>
          <w:rFonts w:ascii="Arial" w:hAnsi="Arial" w:cs="Arial"/>
          <w:sz w:val="20"/>
          <w:szCs w:val="20"/>
        </w:rPr>
        <w:t xml:space="preserve"> </w:t>
      </w:r>
      <w:r w:rsidR="003B46B8" w:rsidRPr="001F1D2E">
        <w:rPr>
          <w:rFonts w:ascii="Arial" w:eastAsia="Times New Roman" w:hAnsi="Arial" w:cs="Arial"/>
          <w:color w:val="000000"/>
          <w:sz w:val="20"/>
          <w:szCs w:val="20"/>
          <w:shd w:val="clear" w:color="auto" w:fill="FFFFFF"/>
        </w:rPr>
        <w:t>PMID:</w:t>
      </w:r>
      <w:r w:rsidR="003B46B8">
        <w:rPr>
          <w:rFonts w:ascii="Arial" w:eastAsia="Times New Roman" w:hAnsi="Arial" w:cs="Arial"/>
          <w:color w:val="000000"/>
          <w:sz w:val="20"/>
          <w:szCs w:val="20"/>
          <w:shd w:val="clear" w:color="auto" w:fill="FFFFFF"/>
        </w:rPr>
        <w:t>27217217</w:t>
      </w:r>
      <w:r>
        <w:rPr>
          <w:rFonts w:ascii="Arial" w:hAnsi="Arial" w:cs="Arial"/>
          <w:sz w:val="20"/>
          <w:szCs w:val="20"/>
        </w:rPr>
        <w:t xml:space="preserve"> </w:t>
      </w:r>
      <w:proofErr w:type="spellStart"/>
      <w:r w:rsidRPr="00106CF1">
        <w:rPr>
          <w:rFonts w:ascii="Arial" w:hAnsi="Arial" w:cs="Arial"/>
          <w:i/>
          <w:sz w:val="20"/>
          <w:szCs w:val="20"/>
        </w:rPr>
        <w:t>Rotarix</w:t>
      </w:r>
      <w:proofErr w:type="spellEnd"/>
      <w:r w:rsidRPr="004A3817">
        <w:rPr>
          <w:rFonts w:ascii="Arial" w:hAnsi="Arial" w:cs="Arial"/>
          <w:i/>
          <w:sz w:val="20"/>
          <w:szCs w:val="20"/>
        </w:rPr>
        <w:t xml:space="preserve"> post-vaccination efficacy against severe rotavirus diarrhea was higher than anticipated at 73.5% using delayed dosing. Serum zinc and family income were associated with protection from</w:t>
      </w:r>
      <w:r>
        <w:rPr>
          <w:rFonts w:ascii="Arial" w:hAnsi="Arial" w:cs="Arial"/>
          <w:i/>
          <w:sz w:val="20"/>
          <w:szCs w:val="20"/>
        </w:rPr>
        <w:t xml:space="preserve"> </w:t>
      </w:r>
      <w:r w:rsidRPr="004A3817">
        <w:rPr>
          <w:rFonts w:ascii="Arial" w:hAnsi="Arial" w:cs="Arial"/>
          <w:i/>
          <w:sz w:val="20"/>
          <w:szCs w:val="20"/>
        </w:rPr>
        <w:t>rotavirus diarrhea independent of vaccination.</w:t>
      </w:r>
    </w:p>
    <w:p w14:paraId="7040284F" w14:textId="21F11118" w:rsidR="007E344C" w:rsidRPr="00212D2F" w:rsidRDefault="00627850" w:rsidP="007E344C">
      <w:pPr>
        <w:tabs>
          <w:tab w:val="left" w:pos="360"/>
        </w:tabs>
        <w:spacing w:after="120"/>
        <w:rPr>
          <w:rFonts w:ascii="Arial" w:hAnsi="Arial" w:cs="Arial"/>
          <w:sz w:val="20"/>
          <w:szCs w:val="20"/>
        </w:rPr>
      </w:pPr>
      <w:r>
        <w:rPr>
          <w:rFonts w:ascii="Arial" w:hAnsi="Arial" w:cs="Arial"/>
          <w:sz w:val="20"/>
          <w:szCs w:val="20"/>
        </w:rPr>
        <w:t xml:space="preserve">8. </w:t>
      </w:r>
      <w:r w:rsidR="007E344C" w:rsidRPr="00106CF1">
        <w:rPr>
          <w:rFonts w:ascii="Arial" w:hAnsi="Arial" w:cs="Arial"/>
          <w:sz w:val="20"/>
          <w:szCs w:val="20"/>
        </w:rPr>
        <w:t xml:space="preserve">Taniuchi M, Platts-Mills JA, Begum S, Uddin MJ, </w:t>
      </w:r>
      <w:proofErr w:type="spellStart"/>
      <w:r w:rsidR="007E344C" w:rsidRPr="00106CF1">
        <w:rPr>
          <w:rFonts w:ascii="Arial" w:hAnsi="Arial" w:cs="Arial"/>
          <w:sz w:val="20"/>
          <w:szCs w:val="20"/>
        </w:rPr>
        <w:t>Sobuz</w:t>
      </w:r>
      <w:proofErr w:type="spellEnd"/>
      <w:r w:rsidR="007E344C" w:rsidRPr="00106CF1">
        <w:rPr>
          <w:rFonts w:ascii="Arial" w:hAnsi="Arial" w:cs="Arial"/>
          <w:sz w:val="20"/>
          <w:szCs w:val="20"/>
        </w:rPr>
        <w:t xml:space="preserve"> SU, Liu J, Colgate ER, </w:t>
      </w:r>
      <w:proofErr w:type="spellStart"/>
      <w:r w:rsidR="007E344C" w:rsidRPr="00106CF1">
        <w:rPr>
          <w:rFonts w:ascii="Arial" w:hAnsi="Arial" w:cs="Arial"/>
          <w:sz w:val="20"/>
          <w:szCs w:val="20"/>
        </w:rPr>
        <w:t>Carmolli</w:t>
      </w:r>
      <w:proofErr w:type="spellEnd"/>
      <w:r w:rsidR="007E344C" w:rsidRPr="00106CF1">
        <w:rPr>
          <w:rFonts w:ascii="Arial" w:hAnsi="Arial" w:cs="Arial"/>
          <w:sz w:val="20"/>
          <w:szCs w:val="20"/>
        </w:rPr>
        <w:t xml:space="preserve"> MP, Dickson DM, Nayak U, Kirkpatrick BD, Haque R, Petri WA Jr, </w:t>
      </w:r>
      <w:proofErr w:type="spellStart"/>
      <w:r w:rsidR="007E344C" w:rsidRPr="00106CF1">
        <w:rPr>
          <w:rFonts w:ascii="Arial" w:hAnsi="Arial" w:cs="Arial"/>
          <w:sz w:val="20"/>
          <w:szCs w:val="20"/>
        </w:rPr>
        <w:t>Houpt</w:t>
      </w:r>
      <w:proofErr w:type="spellEnd"/>
      <w:r w:rsidR="007E344C" w:rsidRPr="00106CF1">
        <w:rPr>
          <w:rFonts w:ascii="Arial" w:hAnsi="Arial" w:cs="Arial"/>
          <w:sz w:val="20"/>
          <w:szCs w:val="20"/>
        </w:rPr>
        <w:t xml:space="preserve"> ER.  </w:t>
      </w:r>
      <w:r w:rsidR="007E344C" w:rsidRPr="00106CF1">
        <w:rPr>
          <w:rFonts w:ascii="Arial" w:hAnsi="Arial" w:cs="Arial"/>
          <w:sz w:val="20"/>
          <w:szCs w:val="20"/>
          <w:u w:val="single"/>
        </w:rPr>
        <w:t>Impact of Enterovirus and Other Enteric Pathogens on Oral Polio and Rotavirus Vaccine Performance in Bangladeshi Infants</w:t>
      </w:r>
      <w:r w:rsidR="007E344C">
        <w:rPr>
          <w:rFonts w:ascii="Arial" w:hAnsi="Arial" w:cs="Arial"/>
          <w:sz w:val="20"/>
          <w:szCs w:val="20"/>
        </w:rPr>
        <w:t xml:space="preserve">.  Vaccine 34:3068-75, 2016. </w:t>
      </w:r>
      <w:r w:rsidR="003B46B8">
        <w:rPr>
          <w:rFonts w:ascii="Arial" w:hAnsi="Arial" w:cs="Arial"/>
          <w:sz w:val="20"/>
          <w:szCs w:val="20"/>
        </w:rPr>
        <w:t xml:space="preserve">PMID: 27154394.  </w:t>
      </w:r>
      <w:r w:rsidR="007E344C" w:rsidRPr="004A3817">
        <w:rPr>
          <w:rFonts w:ascii="Arial" w:hAnsi="Arial" w:cs="Arial"/>
          <w:i/>
          <w:sz w:val="20"/>
          <w:szCs w:val="20"/>
        </w:rPr>
        <w:t>C</w:t>
      </w:r>
      <w:r w:rsidR="007E344C">
        <w:rPr>
          <w:rFonts w:ascii="Arial" w:hAnsi="Arial" w:cs="Arial"/>
          <w:i/>
          <w:sz w:val="20"/>
          <w:szCs w:val="20"/>
        </w:rPr>
        <w:t>ampylobacter and enterovirus infection</w:t>
      </w:r>
      <w:r w:rsidR="007E344C" w:rsidRPr="004A3817">
        <w:rPr>
          <w:rFonts w:ascii="Arial" w:hAnsi="Arial" w:cs="Arial"/>
          <w:i/>
          <w:sz w:val="20"/>
          <w:szCs w:val="20"/>
        </w:rPr>
        <w:t xml:space="preserve"> at the time of administration of the first dose of OPV was associated with lower OPV1-2 serum neutralizing titers, while enterovirus quantity was also assoc</w:t>
      </w:r>
      <w:r w:rsidR="007E344C">
        <w:rPr>
          <w:rFonts w:ascii="Arial" w:hAnsi="Arial" w:cs="Arial"/>
          <w:i/>
          <w:sz w:val="20"/>
          <w:szCs w:val="20"/>
        </w:rPr>
        <w:t>iated with diminished rotavirus IgA vaccine response.</w:t>
      </w:r>
    </w:p>
    <w:p w14:paraId="685751DD" w14:textId="6A570604" w:rsidR="007E344C" w:rsidRPr="006B5D7B" w:rsidRDefault="00627850" w:rsidP="007E344C">
      <w:pPr>
        <w:spacing w:after="120"/>
        <w:rPr>
          <w:rFonts w:ascii="Times" w:eastAsia="Times New Roman" w:hAnsi="Times" w:cs="Times New Roman"/>
          <w:i/>
          <w:sz w:val="20"/>
          <w:szCs w:val="20"/>
        </w:rPr>
      </w:pPr>
      <w:r>
        <w:rPr>
          <w:rFonts w:ascii="Arial" w:hAnsi="Arial" w:cs="Arial"/>
          <w:sz w:val="20"/>
          <w:szCs w:val="20"/>
        </w:rPr>
        <w:t xml:space="preserve">9. </w:t>
      </w:r>
      <w:proofErr w:type="spellStart"/>
      <w:r w:rsidR="007E344C" w:rsidRPr="00106CF1">
        <w:rPr>
          <w:rFonts w:ascii="Arial" w:hAnsi="Arial" w:cs="Arial"/>
          <w:sz w:val="20"/>
          <w:szCs w:val="20"/>
        </w:rPr>
        <w:t>Verkerke</w:t>
      </w:r>
      <w:proofErr w:type="spellEnd"/>
      <w:r w:rsidR="007E344C" w:rsidRPr="00106CF1">
        <w:rPr>
          <w:rFonts w:ascii="Arial" w:hAnsi="Arial" w:cs="Arial"/>
          <w:sz w:val="20"/>
          <w:szCs w:val="20"/>
        </w:rPr>
        <w:t xml:space="preserve"> H, </w:t>
      </w:r>
      <w:proofErr w:type="spellStart"/>
      <w:r w:rsidR="007E344C" w:rsidRPr="00106CF1">
        <w:rPr>
          <w:rFonts w:ascii="Arial" w:hAnsi="Arial" w:cs="Arial"/>
          <w:sz w:val="20"/>
          <w:szCs w:val="20"/>
        </w:rPr>
        <w:t>Sobuz</w:t>
      </w:r>
      <w:proofErr w:type="spellEnd"/>
      <w:r w:rsidR="007E344C" w:rsidRPr="00106CF1">
        <w:rPr>
          <w:rFonts w:ascii="Arial" w:hAnsi="Arial" w:cs="Arial"/>
          <w:sz w:val="20"/>
          <w:szCs w:val="20"/>
        </w:rPr>
        <w:t xml:space="preserve"> S, Ma JZ, Petri SE, </w:t>
      </w:r>
      <w:proofErr w:type="spellStart"/>
      <w:r w:rsidR="007E344C" w:rsidRPr="00106CF1">
        <w:rPr>
          <w:rFonts w:ascii="Arial" w:hAnsi="Arial" w:cs="Arial"/>
          <w:sz w:val="20"/>
          <w:szCs w:val="20"/>
        </w:rPr>
        <w:t>Reichman</w:t>
      </w:r>
      <w:proofErr w:type="spellEnd"/>
      <w:r w:rsidR="007E344C" w:rsidRPr="00106CF1">
        <w:rPr>
          <w:rFonts w:ascii="Arial" w:hAnsi="Arial" w:cs="Arial"/>
          <w:sz w:val="20"/>
          <w:szCs w:val="20"/>
        </w:rPr>
        <w:t xml:space="preserve"> D, </w:t>
      </w:r>
      <w:proofErr w:type="spellStart"/>
      <w:r w:rsidR="007E344C" w:rsidRPr="00106CF1">
        <w:rPr>
          <w:rFonts w:ascii="Arial" w:hAnsi="Arial" w:cs="Arial"/>
          <w:sz w:val="20"/>
          <w:szCs w:val="20"/>
        </w:rPr>
        <w:t>Qadri</w:t>
      </w:r>
      <w:proofErr w:type="spellEnd"/>
      <w:r w:rsidR="007E344C" w:rsidRPr="00106CF1">
        <w:rPr>
          <w:rFonts w:ascii="Arial" w:hAnsi="Arial" w:cs="Arial"/>
          <w:sz w:val="20"/>
          <w:szCs w:val="20"/>
        </w:rPr>
        <w:t xml:space="preserve"> F, Rahman M, Haque R, Petri WA Jr.  </w:t>
      </w:r>
      <w:r w:rsidR="007E344C" w:rsidRPr="00106CF1">
        <w:rPr>
          <w:rFonts w:ascii="Arial" w:hAnsi="Arial" w:cs="Arial"/>
          <w:sz w:val="20"/>
          <w:szCs w:val="20"/>
          <w:u w:val="single"/>
        </w:rPr>
        <w:t>Malnutrition Is Associated with Protection from Rotavirus Diarrhea: Evidence from a Longitudinal Birth Cohort Study in Bangladesh</w:t>
      </w:r>
      <w:r w:rsidR="007E344C">
        <w:rPr>
          <w:rFonts w:ascii="Arial" w:hAnsi="Arial" w:cs="Arial"/>
          <w:sz w:val="20"/>
          <w:szCs w:val="20"/>
        </w:rPr>
        <w:t xml:space="preserve">. J </w:t>
      </w:r>
      <w:proofErr w:type="spellStart"/>
      <w:r w:rsidR="007E344C">
        <w:rPr>
          <w:rFonts w:ascii="Arial" w:hAnsi="Arial" w:cs="Arial"/>
          <w:sz w:val="20"/>
          <w:szCs w:val="20"/>
        </w:rPr>
        <w:t>Clin</w:t>
      </w:r>
      <w:proofErr w:type="spellEnd"/>
      <w:r w:rsidR="007E344C">
        <w:rPr>
          <w:rFonts w:ascii="Arial" w:hAnsi="Arial" w:cs="Arial"/>
          <w:sz w:val="20"/>
          <w:szCs w:val="20"/>
        </w:rPr>
        <w:t xml:space="preserve"> </w:t>
      </w:r>
      <w:proofErr w:type="spellStart"/>
      <w:r w:rsidR="007E344C">
        <w:rPr>
          <w:rFonts w:ascii="Arial" w:hAnsi="Arial" w:cs="Arial"/>
          <w:sz w:val="20"/>
          <w:szCs w:val="20"/>
        </w:rPr>
        <w:t>Microbiol</w:t>
      </w:r>
      <w:proofErr w:type="spellEnd"/>
      <w:r w:rsidR="007E344C" w:rsidRPr="00106CF1">
        <w:rPr>
          <w:rFonts w:ascii="Arial" w:hAnsi="Arial" w:cs="Arial"/>
          <w:sz w:val="20"/>
          <w:szCs w:val="20"/>
        </w:rPr>
        <w:t xml:space="preserve"> </w:t>
      </w:r>
      <w:r w:rsidR="007E344C">
        <w:rPr>
          <w:rFonts w:ascii="Arial" w:hAnsi="Arial" w:cs="Arial"/>
          <w:sz w:val="20"/>
          <w:szCs w:val="20"/>
        </w:rPr>
        <w:t xml:space="preserve">54:2568-74, 2016. </w:t>
      </w:r>
      <w:r w:rsidR="003B46B8">
        <w:rPr>
          <w:rFonts w:ascii="Arial" w:hAnsi="Arial" w:cs="Arial"/>
          <w:sz w:val="20"/>
          <w:szCs w:val="20"/>
        </w:rPr>
        <w:t xml:space="preserve">PMID: 27510830. </w:t>
      </w:r>
      <w:r w:rsidR="007E344C">
        <w:rPr>
          <w:rFonts w:ascii="Arial" w:hAnsi="Arial" w:cs="Arial"/>
          <w:sz w:val="20"/>
          <w:szCs w:val="20"/>
        </w:rPr>
        <w:t xml:space="preserve"> </w:t>
      </w:r>
      <w:r w:rsidR="007E344C" w:rsidRPr="006B5D7B">
        <w:rPr>
          <w:rFonts w:ascii="Arial" w:eastAsia="Times New Roman" w:hAnsi="Arial" w:cs="Arial"/>
          <w:i/>
          <w:color w:val="000000"/>
          <w:sz w:val="20"/>
          <w:szCs w:val="20"/>
          <w:shd w:val="clear" w:color="auto" w:fill="FFFFFF"/>
        </w:rPr>
        <w:t>We observed that common measures of healthy growth and development were positively associated with a risk of symptomatic rotavirus infection. This finding runs counter to the idea that improving childhood nutrition will implicitly decrease the incidence of symptomatic infection by enteric pathogens. As childhood nutrition improves worldwide, rotavirus infection may remain a public health challenge, making universal vaccination of even greater importance.</w:t>
      </w:r>
    </w:p>
    <w:p w14:paraId="20FE8224" w14:textId="26B1EBC4" w:rsidR="007E344C" w:rsidRPr="007E344C" w:rsidRDefault="00627850" w:rsidP="007E344C">
      <w:pPr>
        <w:tabs>
          <w:tab w:val="left" w:pos="360"/>
          <w:tab w:val="num" w:pos="540"/>
        </w:tabs>
        <w:spacing w:after="120"/>
        <w:rPr>
          <w:rFonts w:ascii="Arial" w:hAnsi="Arial" w:cs="Arial"/>
          <w:sz w:val="20"/>
          <w:szCs w:val="20"/>
        </w:rPr>
      </w:pPr>
      <w:r>
        <w:rPr>
          <w:rFonts w:ascii="Arial" w:hAnsi="Arial" w:cs="Arial"/>
          <w:sz w:val="20"/>
          <w:szCs w:val="20"/>
        </w:rPr>
        <w:t xml:space="preserve">10. </w:t>
      </w:r>
      <w:r w:rsidR="007E344C" w:rsidRPr="007E344C">
        <w:rPr>
          <w:rFonts w:ascii="Arial" w:hAnsi="Arial" w:cs="Arial"/>
          <w:sz w:val="20"/>
          <w:szCs w:val="20"/>
        </w:rPr>
        <w:t xml:space="preserve">Sinha A, Kanungo S, Kim DR, Manna B, Song M, Park JY, </w:t>
      </w:r>
      <w:proofErr w:type="spellStart"/>
      <w:r w:rsidR="007E344C" w:rsidRPr="007E344C">
        <w:rPr>
          <w:rFonts w:ascii="Arial" w:hAnsi="Arial" w:cs="Arial"/>
          <w:sz w:val="20"/>
          <w:szCs w:val="20"/>
        </w:rPr>
        <w:t>Haldar</w:t>
      </w:r>
      <w:proofErr w:type="spellEnd"/>
      <w:r w:rsidR="007E344C" w:rsidRPr="007E344C">
        <w:rPr>
          <w:rFonts w:ascii="Arial" w:hAnsi="Arial" w:cs="Arial"/>
          <w:sz w:val="20"/>
          <w:szCs w:val="20"/>
        </w:rPr>
        <w:t xml:space="preserve"> B, Sharma P, Mallick AH, Kim SA, </w:t>
      </w:r>
      <w:proofErr w:type="spellStart"/>
      <w:r w:rsidR="007E344C" w:rsidRPr="007E344C">
        <w:rPr>
          <w:rFonts w:ascii="Arial" w:hAnsi="Arial" w:cs="Arial"/>
          <w:sz w:val="20"/>
          <w:szCs w:val="20"/>
        </w:rPr>
        <w:t>Babji</w:t>
      </w:r>
      <w:proofErr w:type="spellEnd"/>
      <w:r w:rsidR="007E344C" w:rsidRPr="007E344C">
        <w:rPr>
          <w:rFonts w:ascii="Arial" w:hAnsi="Arial" w:cs="Arial"/>
          <w:sz w:val="20"/>
          <w:szCs w:val="20"/>
        </w:rPr>
        <w:t xml:space="preserve"> S, Sur D, Kang G, Ali M, Petri WA Jr, </w:t>
      </w:r>
      <w:proofErr w:type="spellStart"/>
      <w:r w:rsidR="007E344C" w:rsidRPr="007E344C">
        <w:rPr>
          <w:rFonts w:ascii="Arial" w:hAnsi="Arial" w:cs="Arial"/>
          <w:sz w:val="20"/>
          <w:szCs w:val="20"/>
        </w:rPr>
        <w:t>Wierzba</w:t>
      </w:r>
      <w:proofErr w:type="spellEnd"/>
      <w:r w:rsidR="007E344C" w:rsidRPr="007E344C">
        <w:rPr>
          <w:rFonts w:ascii="Arial" w:hAnsi="Arial" w:cs="Arial"/>
          <w:sz w:val="20"/>
          <w:szCs w:val="20"/>
        </w:rPr>
        <w:t xml:space="preserve"> TF, </w:t>
      </w:r>
      <w:proofErr w:type="spellStart"/>
      <w:r w:rsidR="007E344C" w:rsidRPr="007E344C">
        <w:rPr>
          <w:rFonts w:ascii="Arial" w:hAnsi="Arial" w:cs="Arial"/>
          <w:sz w:val="20"/>
          <w:szCs w:val="20"/>
        </w:rPr>
        <w:t>Czerkinsky</w:t>
      </w:r>
      <w:proofErr w:type="spellEnd"/>
      <w:r w:rsidR="007E344C" w:rsidRPr="007E344C">
        <w:rPr>
          <w:rFonts w:ascii="Arial" w:hAnsi="Arial" w:cs="Arial"/>
          <w:sz w:val="20"/>
          <w:szCs w:val="20"/>
        </w:rPr>
        <w:t xml:space="preserve"> C, </w:t>
      </w:r>
      <w:proofErr w:type="spellStart"/>
      <w:r w:rsidR="007E344C" w:rsidRPr="007E344C">
        <w:rPr>
          <w:rFonts w:ascii="Arial" w:hAnsi="Arial" w:cs="Arial"/>
          <w:sz w:val="20"/>
          <w:szCs w:val="20"/>
        </w:rPr>
        <w:t>Nandy</w:t>
      </w:r>
      <w:proofErr w:type="spellEnd"/>
      <w:r w:rsidR="007E344C" w:rsidRPr="007E344C">
        <w:rPr>
          <w:rFonts w:ascii="Arial" w:hAnsi="Arial" w:cs="Arial"/>
          <w:sz w:val="20"/>
          <w:szCs w:val="20"/>
        </w:rPr>
        <w:t xml:space="preserve"> RK, </w:t>
      </w:r>
      <w:proofErr w:type="spellStart"/>
      <w:r w:rsidR="007E344C" w:rsidRPr="007E344C">
        <w:rPr>
          <w:rFonts w:ascii="Arial" w:hAnsi="Arial" w:cs="Arial"/>
          <w:sz w:val="20"/>
          <w:szCs w:val="20"/>
        </w:rPr>
        <w:t>Dey</w:t>
      </w:r>
      <w:proofErr w:type="spellEnd"/>
      <w:r w:rsidR="007E344C" w:rsidRPr="007E344C">
        <w:rPr>
          <w:rFonts w:ascii="Arial" w:hAnsi="Arial" w:cs="Arial"/>
          <w:sz w:val="20"/>
          <w:szCs w:val="20"/>
        </w:rPr>
        <w:t xml:space="preserve"> A. </w:t>
      </w:r>
      <w:r w:rsidR="007E344C" w:rsidRPr="007E344C">
        <w:rPr>
          <w:rFonts w:ascii="Arial" w:hAnsi="Arial" w:cs="Arial"/>
          <w:sz w:val="20"/>
          <w:szCs w:val="20"/>
          <w:u w:val="single"/>
        </w:rPr>
        <w:t>Antibody secreting B cells and plasma antibody response to rotavirus vaccination in infants from Kolkata India</w:t>
      </w:r>
      <w:r w:rsidR="007E344C" w:rsidRPr="007E344C">
        <w:rPr>
          <w:rFonts w:ascii="Arial" w:hAnsi="Arial" w:cs="Arial"/>
          <w:sz w:val="20"/>
          <w:szCs w:val="20"/>
        </w:rPr>
        <w:t xml:space="preserve">. </w:t>
      </w:r>
      <w:proofErr w:type="spellStart"/>
      <w:r w:rsidR="007E344C" w:rsidRPr="007E344C">
        <w:rPr>
          <w:rFonts w:ascii="Arial" w:hAnsi="Arial" w:cs="Arial"/>
          <w:sz w:val="20"/>
          <w:szCs w:val="20"/>
        </w:rPr>
        <w:t>Heliyon</w:t>
      </w:r>
      <w:proofErr w:type="spellEnd"/>
      <w:r w:rsidR="007E344C" w:rsidRPr="007E344C">
        <w:rPr>
          <w:rFonts w:ascii="Arial" w:hAnsi="Arial" w:cs="Arial"/>
          <w:sz w:val="20"/>
          <w:szCs w:val="20"/>
        </w:rPr>
        <w:t>. 2018 Feb 1;4(1</w:t>
      </w:r>
      <w:proofErr w:type="gramStart"/>
      <w:r w:rsidR="007E344C" w:rsidRPr="007E344C">
        <w:rPr>
          <w:rFonts w:ascii="Arial" w:hAnsi="Arial" w:cs="Arial"/>
          <w:sz w:val="20"/>
          <w:szCs w:val="20"/>
        </w:rPr>
        <w:t>):e</w:t>
      </w:r>
      <w:proofErr w:type="gramEnd"/>
      <w:r w:rsidR="007E344C" w:rsidRPr="007E344C">
        <w:rPr>
          <w:rFonts w:ascii="Arial" w:hAnsi="Arial" w:cs="Arial"/>
          <w:sz w:val="20"/>
          <w:szCs w:val="20"/>
        </w:rPr>
        <w:t xml:space="preserve">00519. </w:t>
      </w:r>
      <w:proofErr w:type="spellStart"/>
      <w:r w:rsidR="007E344C" w:rsidRPr="007E344C">
        <w:rPr>
          <w:rFonts w:ascii="Arial" w:hAnsi="Arial" w:cs="Arial"/>
          <w:sz w:val="20"/>
          <w:szCs w:val="20"/>
        </w:rPr>
        <w:t>doi</w:t>
      </w:r>
      <w:proofErr w:type="spellEnd"/>
      <w:r w:rsidR="007E344C" w:rsidRPr="007E344C">
        <w:rPr>
          <w:rFonts w:ascii="Arial" w:hAnsi="Arial" w:cs="Arial"/>
          <w:sz w:val="20"/>
          <w:szCs w:val="20"/>
        </w:rPr>
        <w:t xml:space="preserve">: </w:t>
      </w:r>
      <w:proofErr w:type="gramStart"/>
      <w:r w:rsidR="007E344C" w:rsidRPr="007E344C">
        <w:rPr>
          <w:rFonts w:ascii="Arial" w:hAnsi="Arial" w:cs="Arial"/>
          <w:sz w:val="20"/>
          <w:szCs w:val="20"/>
        </w:rPr>
        <w:t>10.1016/j.heliyon.2018.e</w:t>
      </w:r>
      <w:proofErr w:type="gramEnd"/>
      <w:r w:rsidR="007E344C" w:rsidRPr="007E344C">
        <w:rPr>
          <w:rFonts w:ascii="Arial" w:hAnsi="Arial" w:cs="Arial"/>
          <w:sz w:val="20"/>
          <w:szCs w:val="20"/>
        </w:rPr>
        <w:t>00519. PMID: 29560435.</w:t>
      </w:r>
      <w:r w:rsidR="007E344C">
        <w:rPr>
          <w:rFonts w:ascii="Arial" w:hAnsi="Arial" w:cs="Arial"/>
          <w:sz w:val="20"/>
          <w:szCs w:val="20"/>
        </w:rPr>
        <w:t xml:space="preserve"> </w:t>
      </w:r>
      <w:r w:rsidR="007E344C" w:rsidRPr="007E344C">
        <w:rPr>
          <w:rFonts w:ascii="Arial" w:hAnsi="Arial" w:cs="Arial"/>
          <w:i/>
          <w:sz w:val="20"/>
          <w:szCs w:val="20"/>
        </w:rPr>
        <w:t>We evaluated circulating antibody-secreting cells (ASCs) as a potential means to evaluate mucosal immune responses to rotavirus vaccine.</w:t>
      </w:r>
      <w:r w:rsidR="009F2E3E">
        <w:rPr>
          <w:rFonts w:ascii="Arial" w:hAnsi="Arial" w:cs="Arial"/>
          <w:i/>
          <w:sz w:val="20"/>
          <w:szCs w:val="20"/>
        </w:rPr>
        <w:t xml:space="preserve"> </w:t>
      </w:r>
      <w:r w:rsidR="007E344C" w:rsidRPr="007E344C">
        <w:rPr>
          <w:rFonts w:ascii="Arial" w:hAnsi="Arial" w:cs="Arial"/>
          <w:i/>
          <w:sz w:val="20"/>
          <w:szCs w:val="20"/>
        </w:rPr>
        <w:t xml:space="preserve">Total blood IgA-ASC responses were detected in 26.4% of subjects who were non-responders before vaccination. </w:t>
      </w:r>
      <w:r w:rsidR="009F2E3E">
        <w:rPr>
          <w:rFonts w:ascii="Arial" w:hAnsi="Arial" w:cs="Arial"/>
          <w:i/>
          <w:sz w:val="20"/>
          <w:szCs w:val="20"/>
        </w:rPr>
        <w:t xml:space="preserve"> </w:t>
      </w:r>
    </w:p>
    <w:p w14:paraId="5ED374B8" w14:textId="03114E20" w:rsidR="007E344C" w:rsidRPr="00090C7A" w:rsidRDefault="00627850" w:rsidP="007E344C">
      <w:pPr>
        <w:tabs>
          <w:tab w:val="left" w:pos="360"/>
          <w:tab w:val="num" w:pos="540"/>
        </w:tabs>
        <w:spacing w:after="120"/>
        <w:rPr>
          <w:rFonts w:ascii="Arial" w:hAnsi="Arial" w:cs="Arial"/>
          <w:i/>
          <w:sz w:val="20"/>
          <w:szCs w:val="20"/>
        </w:rPr>
      </w:pPr>
      <w:r>
        <w:rPr>
          <w:rFonts w:ascii="Arial" w:hAnsi="Arial" w:cs="Arial"/>
          <w:sz w:val="20"/>
          <w:szCs w:val="20"/>
        </w:rPr>
        <w:t xml:space="preserve">11. </w:t>
      </w:r>
      <w:proofErr w:type="spellStart"/>
      <w:r w:rsidR="007E344C" w:rsidRPr="007E344C">
        <w:rPr>
          <w:rFonts w:ascii="Arial" w:hAnsi="Arial" w:cs="Arial"/>
          <w:sz w:val="20"/>
          <w:szCs w:val="20"/>
        </w:rPr>
        <w:t>Rogawski</w:t>
      </w:r>
      <w:proofErr w:type="spellEnd"/>
      <w:r w:rsidR="007E344C" w:rsidRPr="007E344C">
        <w:rPr>
          <w:rFonts w:ascii="Arial" w:hAnsi="Arial" w:cs="Arial"/>
          <w:sz w:val="20"/>
          <w:szCs w:val="20"/>
        </w:rPr>
        <w:t xml:space="preserve"> ET, Platts-Mills JA, Colgate ER, Haque R, Zaman K, Petri WA, Kirkpatrick BD. </w:t>
      </w:r>
      <w:r w:rsidR="007E344C" w:rsidRPr="007E344C">
        <w:rPr>
          <w:rFonts w:ascii="Arial" w:hAnsi="Arial" w:cs="Arial"/>
          <w:sz w:val="20"/>
          <w:szCs w:val="20"/>
          <w:u w:val="single"/>
        </w:rPr>
        <w:t>Quantifying the Impact of Natural Immunity on Rotavirus Vaccine Efficacy Estimates: A Clinical Trial in Dhaka, Bangladesh (PROVIDE) and a Simulation Study</w:t>
      </w:r>
      <w:r w:rsidR="007E344C" w:rsidRPr="007E344C">
        <w:rPr>
          <w:rFonts w:ascii="Arial" w:hAnsi="Arial" w:cs="Arial"/>
          <w:sz w:val="20"/>
          <w:szCs w:val="20"/>
        </w:rPr>
        <w:t xml:space="preserve">. J Infect Dis. 2018 Mar 5;217(6):861-868. </w:t>
      </w:r>
      <w:proofErr w:type="spellStart"/>
      <w:r w:rsidR="007E344C" w:rsidRPr="007E344C">
        <w:rPr>
          <w:rFonts w:ascii="Arial" w:hAnsi="Arial" w:cs="Arial"/>
          <w:sz w:val="20"/>
          <w:szCs w:val="20"/>
        </w:rPr>
        <w:t>doi</w:t>
      </w:r>
      <w:proofErr w:type="spellEnd"/>
      <w:r w:rsidR="007E344C" w:rsidRPr="007E344C">
        <w:rPr>
          <w:rFonts w:ascii="Arial" w:hAnsi="Arial" w:cs="Arial"/>
          <w:sz w:val="20"/>
          <w:szCs w:val="20"/>
        </w:rPr>
        <w:t>: 10.1093/</w:t>
      </w:r>
      <w:proofErr w:type="spellStart"/>
      <w:r w:rsidR="007E344C" w:rsidRPr="007E344C">
        <w:rPr>
          <w:rFonts w:ascii="Arial" w:hAnsi="Arial" w:cs="Arial"/>
          <w:sz w:val="20"/>
          <w:szCs w:val="20"/>
        </w:rPr>
        <w:t>infdis</w:t>
      </w:r>
      <w:proofErr w:type="spellEnd"/>
      <w:r w:rsidR="007E344C" w:rsidRPr="007E344C">
        <w:rPr>
          <w:rFonts w:ascii="Arial" w:hAnsi="Arial" w:cs="Arial"/>
          <w:sz w:val="20"/>
          <w:szCs w:val="20"/>
        </w:rPr>
        <w:t xml:space="preserve">/jix668. PMID: 29514306 </w:t>
      </w:r>
      <w:r w:rsidR="007E344C" w:rsidRPr="007E344C">
        <w:rPr>
          <w:rFonts w:ascii="Arial" w:hAnsi="Arial" w:cs="Arial"/>
          <w:i/>
          <w:sz w:val="20"/>
          <w:szCs w:val="20"/>
        </w:rPr>
        <w:t xml:space="preserve">We compared the PROVIDE original per-protocol </w:t>
      </w:r>
      <w:proofErr w:type="spellStart"/>
      <w:r w:rsidR="007E344C" w:rsidRPr="007E344C">
        <w:rPr>
          <w:rFonts w:ascii="Arial" w:hAnsi="Arial" w:cs="Arial"/>
          <w:i/>
          <w:sz w:val="20"/>
          <w:szCs w:val="20"/>
        </w:rPr>
        <w:t>Rotarix</w:t>
      </w:r>
      <w:proofErr w:type="spellEnd"/>
      <w:r w:rsidR="007E344C" w:rsidRPr="007E344C">
        <w:rPr>
          <w:rFonts w:ascii="Arial" w:hAnsi="Arial" w:cs="Arial"/>
          <w:i/>
          <w:sz w:val="20"/>
          <w:szCs w:val="20"/>
        </w:rPr>
        <w:t xml:space="preserve"> vaccine efficacy to efficacy derived from a survival model in which children were considered immune after their first rotavirus diarrhea episode. Accounting for naturally acquired immunity increased efficacy against severe rotavirus diarrhea from 63% to </w:t>
      </w:r>
      <w:r w:rsidR="007E344C" w:rsidRPr="00090C7A">
        <w:rPr>
          <w:rFonts w:ascii="Arial" w:hAnsi="Arial" w:cs="Arial"/>
          <w:i/>
          <w:sz w:val="20"/>
          <w:szCs w:val="20"/>
        </w:rPr>
        <w:t>70%.</w:t>
      </w:r>
    </w:p>
    <w:p w14:paraId="7131A848" w14:textId="6FBCEF24" w:rsidR="007E344C" w:rsidRPr="00090C7A" w:rsidRDefault="00627850" w:rsidP="007E344C">
      <w:pPr>
        <w:spacing w:after="120"/>
        <w:rPr>
          <w:rFonts w:ascii="Arial" w:hAnsi="Arial" w:cs="Arial"/>
          <w:i/>
          <w:sz w:val="20"/>
          <w:szCs w:val="20"/>
        </w:rPr>
      </w:pPr>
      <w:r w:rsidRPr="00090C7A">
        <w:rPr>
          <w:rFonts w:ascii="Arial" w:hAnsi="Arial" w:cs="Arial"/>
          <w:sz w:val="20"/>
          <w:szCs w:val="20"/>
        </w:rPr>
        <w:t xml:space="preserve">12. </w:t>
      </w:r>
      <w:r w:rsidR="007E344C" w:rsidRPr="00090C7A">
        <w:rPr>
          <w:rFonts w:ascii="Arial" w:hAnsi="Arial" w:cs="Arial"/>
          <w:sz w:val="20"/>
          <w:szCs w:val="20"/>
        </w:rPr>
        <w:t xml:space="preserve">Lee B, </w:t>
      </w:r>
      <w:proofErr w:type="spellStart"/>
      <w:r w:rsidR="007E344C" w:rsidRPr="00090C7A">
        <w:rPr>
          <w:rFonts w:ascii="Arial" w:hAnsi="Arial" w:cs="Arial"/>
          <w:sz w:val="20"/>
          <w:szCs w:val="20"/>
        </w:rPr>
        <w:t>Carmolli</w:t>
      </w:r>
      <w:proofErr w:type="spellEnd"/>
      <w:r w:rsidR="007E344C" w:rsidRPr="00090C7A">
        <w:rPr>
          <w:rFonts w:ascii="Arial" w:hAnsi="Arial" w:cs="Arial"/>
          <w:sz w:val="20"/>
          <w:szCs w:val="20"/>
        </w:rPr>
        <w:t xml:space="preserve"> M, Dickson DM, Colgate ER, Diehl SA, Uddin MI, Islam S, Hossain M, </w:t>
      </w:r>
      <w:proofErr w:type="spellStart"/>
      <w:r w:rsidR="007E344C" w:rsidRPr="00090C7A">
        <w:rPr>
          <w:rFonts w:ascii="Arial" w:hAnsi="Arial" w:cs="Arial"/>
          <w:sz w:val="20"/>
          <w:szCs w:val="20"/>
        </w:rPr>
        <w:t>Rafique</w:t>
      </w:r>
      <w:proofErr w:type="spellEnd"/>
      <w:r w:rsidR="007E344C" w:rsidRPr="00090C7A">
        <w:rPr>
          <w:rFonts w:ascii="Arial" w:hAnsi="Arial" w:cs="Arial"/>
          <w:sz w:val="20"/>
          <w:szCs w:val="20"/>
        </w:rPr>
        <w:t xml:space="preserve"> TA, </w:t>
      </w:r>
      <w:proofErr w:type="spellStart"/>
      <w:r w:rsidR="007E344C" w:rsidRPr="00090C7A">
        <w:rPr>
          <w:rFonts w:ascii="Arial" w:hAnsi="Arial" w:cs="Arial"/>
          <w:sz w:val="20"/>
          <w:szCs w:val="20"/>
        </w:rPr>
        <w:t>Bhuiyan</w:t>
      </w:r>
      <w:proofErr w:type="spellEnd"/>
      <w:r w:rsidR="007E344C" w:rsidRPr="00090C7A">
        <w:rPr>
          <w:rFonts w:ascii="Arial" w:hAnsi="Arial" w:cs="Arial"/>
          <w:sz w:val="20"/>
          <w:szCs w:val="20"/>
        </w:rPr>
        <w:t xml:space="preserve"> TR, Alam M, Nayak U, Mychaleckyj JC, McNeal MM, Petri WA Jr, </w:t>
      </w:r>
      <w:proofErr w:type="spellStart"/>
      <w:r w:rsidR="007E344C" w:rsidRPr="00090C7A">
        <w:rPr>
          <w:rFonts w:ascii="Arial" w:hAnsi="Arial" w:cs="Arial"/>
          <w:sz w:val="20"/>
          <w:szCs w:val="20"/>
        </w:rPr>
        <w:t>Qadri</w:t>
      </w:r>
      <w:proofErr w:type="spellEnd"/>
      <w:r w:rsidR="007E344C" w:rsidRPr="00090C7A">
        <w:rPr>
          <w:rFonts w:ascii="Arial" w:hAnsi="Arial" w:cs="Arial"/>
          <w:sz w:val="20"/>
          <w:szCs w:val="20"/>
        </w:rPr>
        <w:t xml:space="preserve"> F, Haque R, Kirkpatrick BD. </w:t>
      </w:r>
      <w:r w:rsidR="007E344C" w:rsidRPr="00090C7A">
        <w:rPr>
          <w:rFonts w:ascii="Arial" w:hAnsi="Arial" w:cs="Arial"/>
          <w:sz w:val="20"/>
          <w:szCs w:val="20"/>
          <w:u w:val="single"/>
        </w:rPr>
        <w:t>Rotavirus-specific IgA Responses Are Impaired and Serve as a Sub-Optimal Correlate of Protection among Infants in Bangladesh</w:t>
      </w:r>
      <w:r w:rsidR="007E344C" w:rsidRPr="00090C7A">
        <w:rPr>
          <w:rFonts w:ascii="Arial" w:hAnsi="Arial" w:cs="Arial"/>
          <w:sz w:val="20"/>
          <w:szCs w:val="20"/>
        </w:rPr>
        <w:t xml:space="preserve">. </w:t>
      </w:r>
      <w:proofErr w:type="spellStart"/>
      <w:r w:rsidR="007E344C" w:rsidRPr="00090C7A">
        <w:rPr>
          <w:rFonts w:ascii="Arial" w:hAnsi="Arial" w:cs="Arial"/>
          <w:sz w:val="20"/>
          <w:szCs w:val="20"/>
        </w:rPr>
        <w:t>Clin</w:t>
      </w:r>
      <w:proofErr w:type="spellEnd"/>
      <w:r w:rsidR="007E344C" w:rsidRPr="00090C7A">
        <w:rPr>
          <w:rFonts w:ascii="Arial" w:hAnsi="Arial" w:cs="Arial"/>
          <w:sz w:val="20"/>
          <w:szCs w:val="20"/>
        </w:rPr>
        <w:t xml:space="preserve"> Infect Dis. 2018 Jan 31. </w:t>
      </w:r>
      <w:proofErr w:type="spellStart"/>
      <w:r w:rsidR="007E344C" w:rsidRPr="00090C7A">
        <w:rPr>
          <w:rFonts w:ascii="Arial" w:hAnsi="Arial" w:cs="Arial"/>
          <w:sz w:val="20"/>
          <w:szCs w:val="20"/>
        </w:rPr>
        <w:t>doi</w:t>
      </w:r>
      <w:proofErr w:type="spellEnd"/>
      <w:r w:rsidR="007E344C" w:rsidRPr="00090C7A">
        <w:rPr>
          <w:rFonts w:ascii="Arial" w:hAnsi="Arial" w:cs="Arial"/>
          <w:sz w:val="20"/>
          <w:szCs w:val="20"/>
        </w:rPr>
        <w:t xml:space="preserve">: </w:t>
      </w:r>
      <w:r w:rsidR="007E344C" w:rsidRPr="00090C7A">
        <w:rPr>
          <w:rFonts w:ascii="Arial" w:hAnsi="Arial" w:cs="Arial"/>
          <w:sz w:val="20"/>
          <w:szCs w:val="20"/>
        </w:rPr>
        <w:lastRenderedPageBreak/>
        <w:t>10.1093/</w:t>
      </w:r>
      <w:proofErr w:type="spellStart"/>
      <w:r w:rsidR="007E344C" w:rsidRPr="00090C7A">
        <w:rPr>
          <w:rFonts w:ascii="Arial" w:hAnsi="Arial" w:cs="Arial"/>
          <w:sz w:val="20"/>
          <w:szCs w:val="20"/>
        </w:rPr>
        <w:t>cid</w:t>
      </w:r>
      <w:proofErr w:type="spellEnd"/>
      <w:r w:rsidR="007E344C" w:rsidRPr="00090C7A">
        <w:rPr>
          <w:rFonts w:ascii="Arial" w:hAnsi="Arial" w:cs="Arial"/>
          <w:sz w:val="20"/>
          <w:szCs w:val="20"/>
        </w:rPr>
        <w:t xml:space="preserve">/ciy076. PMID: 29394355. </w:t>
      </w:r>
      <w:r w:rsidR="007E344C" w:rsidRPr="00090C7A">
        <w:rPr>
          <w:rFonts w:ascii="Arial" w:hAnsi="Arial" w:cs="Arial"/>
          <w:i/>
          <w:sz w:val="20"/>
          <w:szCs w:val="20"/>
        </w:rPr>
        <w:t xml:space="preserve">Increased RV-specific maternal antibodies significantly impaired immunogenicity. Seroconversion was associated with reduced risk of RVD through one year of life, but RV-IgA </w:t>
      </w:r>
      <w:proofErr w:type="spellStart"/>
      <w:r w:rsidR="007E344C" w:rsidRPr="00090C7A">
        <w:rPr>
          <w:rFonts w:ascii="Arial" w:hAnsi="Arial" w:cs="Arial"/>
          <w:i/>
          <w:sz w:val="20"/>
          <w:szCs w:val="20"/>
        </w:rPr>
        <w:t>seropositivity</w:t>
      </w:r>
      <w:proofErr w:type="spellEnd"/>
      <w:r w:rsidR="007E344C" w:rsidRPr="00090C7A">
        <w:rPr>
          <w:rFonts w:ascii="Arial" w:hAnsi="Arial" w:cs="Arial"/>
          <w:i/>
          <w:sz w:val="20"/>
          <w:szCs w:val="20"/>
        </w:rPr>
        <w:t xml:space="preserve"> only explained 7.8% of the vaccine effect demonstrated by the clinical endpoint (RVD).</w:t>
      </w:r>
    </w:p>
    <w:p w14:paraId="1911D283" w14:textId="5BBA6A8D" w:rsidR="007E344C" w:rsidRPr="00164235" w:rsidRDefault="00627850" w:rsidP="007E344C">
      <w:pPr>
        <w:spacing w:after="120"/>
        <w:rPr>
          <w:rFonts w:ascii="Arial" w:hAnsi="Arial" w:cs="Arial"/>
          <w:i/>
          <w:color w:val="000000"/>
          <w:sz w:val="20"/>
          <w:szCs w:val="20"/>
        </w:rPr>
      </w:pPr>
      <w:r w:rsidRPr="00090C7A">
        <w:rPr>
          <w:rFonts w:ascii="Arial" w:hAnsi="Arial" w:cs="Arial"/>
          <w:sz w:val="20"/>
          <w:szCs w:val="20"/>
        </w:rPr>
        <w:t xml:space="preserve">13. </w:t>
      </w:r>
      <w:r w:rsidR="007E344C" w:rsidRPr="00090C7A">
        <w:rPr>
          <w:rFonts w:ascii="Arial" w:hAnsi="Arial" w:cs="Arial"/>
          <w:sz w:val="20"/>
          <w:szCs w:val="20"/>
        </w:rPr>
        <w:t xml:space="preserve">Lee B, Dickson DM, </w:t>
      </w:r>
      <w:proofErr w:type="spellStart"/>
      <w:r w:rsidR="007E344C" w:rsidRPr="00090C7A">
        <w:rPr>
          <w:rFonts w:ascii="Arial" w:hAnsi="Arial" w:cs="Arial"/>
          <w:sz w:val="20"/>
          <w:szCs w:val="20"/>
        </w:rPr>
        <w:t>deCamp</w:t>
      </w:r>
      <w:proofErr w:type="spellEnd"/>
      <w:r w:rsidR="007E344C" w:rsidRPr="00090C7A">
        <w:rPr>
          <w:rFonts w:ascii="Arial" w:hAnsi="Arial" w:cs="Arial"/>
          <w:sz w:val="20"/>
          <w:szCs w:val="20"/>
        </w:rPr>
        <w:t xml:space="preserve"> AC, Ross Colgate E, Diehl SA, Uddin MI, </w:t>
      </w:r>
      <w:proofErr w:type="spellStart"/>
      <w:r w:rsidR="007E344C" w:rsidRPr="00090C7A">
        <w:rPr>
          <w:rFonts w:ascii="Arial" w:hAnsi="Arial" w:cs="Arial"/>
          <w:sz w:val="20"/>
          <w:szCs w:val="20"/>
        </w:rPr>
        <w:t>Sharmin</w:t>
      </w:r>
      <w:proofErr w:type="spellEnd"/>
      <w:r w:rsidR="007E344C" w:rsidRPr="00090C7A">
        <w:rPr>
          <w:rFonts w:ascii="Arial" w:hAnsi="Arial" w:cs="Arial"/>
          <w:sz w:val="20"/>
          <w:szCs w:val="20"/>
        </w:rPr>
        <w:t xml:space="preserve"> S, Islam S, </w:t>
      </w:r>
      <w:proofErr w:type="spellStart"/>
      <w:r w:rsidR="007E344C" w:rsidRPr="00090C7A">
        <w:rPr>
          <w:rFonts w:ascii="Arial" w:hAnsi="Arial" w:cs="Arial"/>
          <w:sz w:val="20"/>
          <w:szCs w:val="20"/>
        </w:rPr>
        <w:t>Bhuiyan</w:t>
      </w:r>
      <w:proofErr w:type="spellEnd"/>
      <w:r w:rsidR="007E344C" w:rsidRPr="00090C7A">
        <w:rPr>
          <w:rFonts w:ascii="Arial" w:hAnsi="Arial" w:cs="Arial"/>
          <w:sz w:val="20"/>
          <w:szCs w:val="20"/>
        </w:rPr>
        <w:t xml:space="preserve"> TR, Alam M, Nayak U, Mychaleckyj JC, Taniuchi M, Petri WA Jr, Haque R, </w:t>
      </w:r>
      <w:proofErr w:type="spellStart"/>
      <w:r w:rsidR="007E344C" w:rsidRPr="00090C7A">
        <w:rPr>
          <w:rFonts w:ascii="Arial" w:hAnsi="Arial" w:cs="Arial"/>
          <w:sz w:val="20"/>
          <w:szCs w:val="20"/>
        </w:rPr>
        <w:t>Qadri</w:t>
      </w:r>
      <w:proofErr w:type="spellEnd"/>
      <w:r w:rsidR="007E344C" w:rsidRPr="00090C7A">
        <w:rPr>
          <w:rFonts w:ascii="Arial" w:hAnsi="Arial" w:cs="Arial"/>
          <w:sz w:val="20"/>
          <w:szCs w:val="20"/>
        </w:rPr>
        <w:t xml:space="preserve"> F, </w:t>
      </w:r>
      <w:r w:rsidR="007E344C" w:rsidRPr="007E344C">
        <w:rPr>
          <w:rFonts w:ascii="Arial" w:hAnsi="Arial" w:cs="Arial"/>
          <w:color w:val="000000"/>
          <w:sz w:val="20"/>
          <w:szCs w:val="20"/>
        </w:rPr>
        <w:t xml:space="preserve">Kirkpatrick BD. </w:t>
      </w:r>
      <w:proofErr w:type="spellStart"/>
      <w:r w:rsidR="007E344C" w:rsidRPr="007E344C">
        <w:rPr>
          <w:rFonts w:ascii="Arial" w:hAnsi="Arial" w:cs="Arial"/>
          <w:color w:val="000000"/>
          <w:sz w:val="20"/>
          <w:szCs w:val="20"/>
          <w:u w:val="single"/>
        </w:rPr>
        <w:t>Histo</w:t>
      </w:r>
      <w:proofErr w:type="spellEnd"/>
      <w:r w:rsidR="007E344C" w:rsidRPr="007E344C">
        <w:rPr>
          <w:rFonts w:ascii="Arial" w:hAnsi="Arial" w:cs="Arial"/>
          <w:color w:val="000000"/>
          <w:sz w:val="20"/>
          <w:szCs w:val="20"/>
          <w:u w:val="single"/>
        </w:rPr>
        <w:t>-Blood Group Antigen Phenotype Determines Susceptibility to Genotype-Specific Rotavirus Infections and Impacts Measures of Rotavirus Vaccine Efficacy</w:t>
      </w:r>
      <w:r w:rsidR="007E344C" w:rsidRPr="007E344C">
        <w:rPr>
          <w:rFonts w:ascii="Arial" w:hAnsi="Arial" w:cs="Arial"/>
          <w:color w:val="000000"/>
          <w:sz w:val="20"/>
          <w:szCs w:val="20"/>
        </w:rPr>
        <w:t xml:space="preserve">. J Infect Dis. 2018 Apr 11;217(9):1399-1407. </w:t>
      </w:r>
      <w:proofErr w:type="spellStart"/>
      <w:r w:rsidR="007E344C" w:rsidRPr="007E344C">
        <w:rPr>
          <w:rFonts w:ascii="Arial" w:hAnsi="Arial" w:cs="Arial"/>
          <w:color w:val="000000"/>
          <w:sz w:val="20"/>
          <w:szCs w:val="20"/>
        </w:rPr>
        <w:t>doi</w:t>
      </w:r>
      <w:proofErr w:type="spellEnd"/>
      <w:r w:rsidR="007E344C" w:rsidRPr="007E344C">
        <w:rPr>
          <w:rFonts w:ascii="Arial" w:hAnsi="Arial" w:cs="Arial"/>
          <w:color w:val="000000"/>
          <w:sz w:val="20"/>
          <w:szCs w:val="20"/>
        </w:rPr>
        <w:t>: 10.1093/</w:t>
      </w:r>
      <w:proofErr w:type="spellStart"/>
      <w:r w:rsidR="007E344C" w:rsidRPr="007E344C">
        <w:rPr>
          <w:rFonts w:ascii="Arial" w:hAnsi="Arial" w:cs="Arial"/>
          <w:color w:val="000000"/>
          <w:sz w:val="20"/>
          <w:szCs w:val="20"/>
        </w:rPr>
        <w:t>infdis</w:t>
      </w:r>
      <w:proofErr w:type="spellEnd"/>
      <w:r w:rsidR="007E344C" w:rsidRPr="007E344C">
        <w:rPr>
          <w:rFonts w:ascii="Arial" w:hAnsi="Arial" w:cs="Arial"/>
          <w:color w:val="000000"/>
          <w:sz w:val="20"/>
          <w:szCs w:val="20"/>
        </w:rPr>
        <w:t xml:space="preserve">/jiy054. PMID: 29390150. </w:t>
      </w:r>
      <w:proofErr w:type="spellStart"/>
      <w:r w:rsidR="007E344C" w:rsidRPr="007E344C">
        <w:rPr>
          <w:rFonts w:ascii="Arial" w:hAnsi="Arial" w:cs="Arial"/>
          <w:i/>
          <w:color w:val="000000"/>
          <w:sz w:val="20"/>
          <w:szCs w:val="20"/>
        </w:rPr>
        <w:t>Rotarix</w:t>
      </w:r>
      <w:proofErr w:type="spellEnd"/>
      <w:r w:rsidR="007E344C" w:rsidRPr="007E344C">
        <w:rPr>
          <w:rFonts w:ascii="Arial" w:hAnsi="Arial" w:cs="Arial"/>
          <w:i/>
          <w:color w:val="000000"/>
          <w:sz w:val="20"/>
          <w:szCs w:val="20"/>
        </w:rPr>
        <w:t xml:space="preserve"> protected secretors and non-secretors similarly from rotavirus diarrhea. However. unvaccinated non-secretors had a reduced risk of RVD (RR 0.53, 95% CI 0.36-0.79) mediated by complete protection from </w:t>
      </w:r>
      <w:proofErr w:type="gramStart"/>
      <w:r w:rsidR="007E344C" w:rsidRPr="007E344C">
        <w:rPr>
          <w:rFonts w:ascii="Arial" w:hAnsi="Arial" w:cs="Arial"/>
          <w:i/>
          <w:color w:val="000000"/>
          <w:sz w:val="20"/>
          <w:szCs w:val="20"/>
        </w:rPr>
        <w:t>P[</w:t>
      </w:r>
      <w:proofErr w:type="gramEnd"/>
      <w:r w:rsidR="007E344C" w:rsidRPr="007E344C">
        <w:rPr>
          <w:rFonts w:ascii="Arial" w:hAnsi="Arial" w:cs="Arial"/>
          <w:i/>
          <w:color w:val="000000"/>
          <w:sz w:val="20"/>
          <w:szCs w:val="20"/>
        </w:rPr>
        <w:t>4] but not P[8] RVs</w:t>
      </w:r>
      <w:r w:rsidR="0044576E">
        <w:rPr>
          <w:rFonts w:ascii="Arial" w:hAnsi="Arial" w:cs="Arial"/>
          <w:i/>
          <w:color w:val="000000"/>
          <w:sz w:val="20"/>
          <w:szCs w:val="20"/>
        </w:rPr>
        <w:t xml:space="preserve">. </w:t>
      </w:r>
      <w:r w:rsidR="007E344C" w:rsidRPr="007E344C">
        <w:rPr>
          <w:rFonts w:ascii="Arial" w:hAnsi="Arial" w:cs="Arial"/>
          <w:i/>
          <w:color w:val="000000"/>
          <w:sz w:val="20"/>
          <w:szCs w:val="20"/>
        </w:rPr>
        <w:t>We concluded that HBGA status</w:t>
      </w:r>
      <w:r w:rsidR="007E344C" w:rsidRPr="00164235">
        <w:rPr>
          <w:rFonts w:ascii="Arial" w:hAnsi="Arial" w:cs="Arial"/>
          <w:i/>
          <w:color w:val="000000"/>
          <w:sz w:val="20"/>
          <w:szCs w:val="20"/>
        </w:rPr>
        <w:t xml:space="preserve"> may impact VE estimates by altering susceptibility to RV in unvaccinated children; future trials should therefore account for HBGA status.    </w:t>
      </w:r>
    </w:p>
    <w:p w14:paraId="5BC5A4E9" w14:textId="77777777" w:rsidR="007E344C" w:rsidRPr="00212D2F" w:rsidRDefault="007E344C" w:rsidP="007E344C">
      <w:pPr>
        <w:tabs>
          <w:tab w:val="left" w:pos="360"/>
          <w:tab w:val="num" w:pos="540"/>
        </w:tabs>
        <w:spacing w:after="120"/>
        <w:rPr>
          <w:rFonts w:ascii="Arial" w:hAnsi="Arial" w:cs="Arial"/>
          <w:sz w:val="20"/>
          <w:szCs w:val="20"/>
        </w:rPr>
      </w:pPr>
    </w:p>
    <w:p w14:paraId="7571A0CA" w14:textId="1C0AE599" w:rsidR="002E7C79" w:rsidRDefault="0060754E" w:rsidP="001771DF">
      <w:pPr>
        <w:rPr>
          <w:rFonts w:ascii="Arial" w:hAnsi="Arial" w:cs="Arial"/>
          <w:b/>
          <w:sz w:val="20"/>
          <w:szCs w:val="20"/>
        </w:rPr>
      </w:pPr>
      <w:r>
        <w:rPr>
          <w:rFonts w:ascii="Arial" w:hAnsi="Arial" w:cs="Arial"/>
          <w:b/>
          <w:sz w:val="20"/>
          <w:szCs w:val="20"/>
        </w:rPr>
        <w:t>Environmental Enteric Dysfunction</w:t>
      </w:r>
      <w:r w:rsidR="006A5DD8">
        <w:rPr>
          <w:rFonts w:ascii="Arial" w:hAnsi="Arial" w:cs="Arial"/>
          <w:b/>
          <w:sz w:val="20"/>
          <w:szCs w:val="20"/>
        </w:rPr>
        <w:t xml:space="preserve"> (EED)</w:t>
      </w:r>
    </w:p>
    <w:p w14:paraId="24761FF5" w14:textId="29C207FF" w:rsidR="00371F6A" w:rsidRDefault="0060754E" w:rsidP="001771DF">
      <w:pPr>
        <w:tabs>
          <w:tab w:val="left" w:pos="360"/>
        </w:tabs>
        <w:spacing w:after="120"/>
        <w:rPr>
          <w:rFonts w:ascii="Arial" w:hAnsi="Arial" w:cs="Arial"/>
          <w:i/>
          <w:sz w:val="20"/>
          <w:szCs w:val="20"/>
        </w:rPr>
      </w:pPr>
      <w:r>
        <w:rPr>
          <w:rFonts w:ascii="Arial" w:hAnsi="Arial" w:cs="Arial"/>
          <w:sz w:val="20"/>
          <w:szCs w:val="20"/>
        </w:rPr>
        <w:t xml:space="preserve">14. </w:t>
      </w:r>
      <w:r w:rsidR="00371F6A" w:rsidRPr="004A3817">
        <w:rPr>
          <w:rFonts w:ascii="Arial" w:hAnsi="Arial" w:cs="Arial"/>
          <w:sz w:val="20"/>
          <w:szCs w:val="20"/>
        </w:rPr>
        <w:t xml:space="preserve">Subramanian S, </w:t>
      </w:r>
      <w:proofErr w:type="spellStart"/>
      <w:r w:rsidR="00371F6A" w:rsidRPr="004A3817">
        <w:rPr>
          <w:rFonts w:ascii="Arial" w:hAnsi="Arial" w:cs="Arial"/>
          <w:sz w:val="20"/>
          <w:szCs w:val="20"/>
        </w:rPr>
        <w:t>Huq</w:t>
      </w:r>
      <w:proofErr w:type="spellEnd"/>
      <w:r w:rsidR="00371F6A" w:rsidRPr="004A3817">
        <w:rPr>
          <w:rFonts w:ascii="Arial" w:hAnsi="Arial" w:cs="Arial"/>
          <w:sz w:val="20"/>
          <w:szCs w:val="20"/>
        </w:rPr>
        <w:t xml:space="preserve"> S, </w:t>
      </w:r>
      <w:proofErr w:type="spellStart"/>
      <w:r w:rsidR="00371F6A" w:rsidRPr="004A3817">
        <w:rPr>
          <w:rFonts w:ascii="Arial" w:hAnsi="Arial" w:cs="Arial"/>
          <w:sz w:val="20"/>
          <w:szCs w:val="20"/>
        </w:rPr>
        <w:t>Yatsunenko</w:t>
      </w:r>
      <w:proofErr w:type="spellEnd"/>
      <w:r w:rsidR="00371F6A" w:rsidRPr="004A3817">
        <w:rPr>
          <w:rFonts w:ascii="Arial" w:hAnsi="Arial" w:cs="Arial"/>
          <w:sz w:val="20"/>
          <w:szCs w:val="20"/>
        </w:rPr>
        <w:t xml:space="preserve"> T, Haque R, </w:t>
      </w:r>
      <w:proofErr w:type="spellStart"/>
      <w:r w:rsidR="00371F6A" w:rsidRPr="004A3817">
        <w:rPr>
          <w:rFonts w:ascii="Arial" w:hAnsi="Arial" w:cs="Arial"/>
          <w:sz w:val="20"/>
          <w:szCs w:val="20"/>
        </w:rPr>
        <w:t>Mahfuz</w:t>
      </w:r>
      <w:proofErr w:type="spellEnd"/>
      <w:r w:rsidR="00371F6A" w:rsidRPr="004A3817">
        <w:rPr>
          <w:rFonts w:ascii="Arial" w:hAnsi="Arial" w:cs="Arial"/>
          <w:sz w:val="20"/>
          <w:szCs w:val="20"/>
        </w:rPr>
        <w:t xml:space="preserve"> M, Alam MA, </w:t>
      </w:r>
      <w:proofErr w:type="spellStart"/>
      <w:r w:rsidR="00371F6A" w:rsidRPr="004A3817">
        <w:rPr>
          <w:rFonts w:ascii="Arial" w:hAnsi="Arial" w:cs="Arial"/>
          <w:sz w:val="20"/>
          <w:szCs w:val="20"/>
        </w:rPr>
        <w:t>Benezra</w:t>
      </w:r>
      <w:proofErr w:type="spellEnd"/>
      <w:r w:rsidR="00371F6A" w:rsidRPr="004A3817">
        <w:rPr>
          <w:rFonts w:ascii="Arial" w:hAnsi="Arial" w:cs="Arial"/>
          <w:sz w:val="20"/>
          <w:szCs w:val="20"/>
        </w:rPr>
        <w:t xml:space="preserve"> A, </w:t>
      </w:r>
      <w:proofErr w:type="spellStart"/>
      <w:r w:rsidR="00371F6A" w:rsidRPr="004A3817">
        <w:rPr>
          <w:rFonts w:ascii="Arial" w:hAnsi="Arial" w:cs="Arial"/>
          <w:sz w:val="20"/>
          <w:szCs w:val="20"/>
        </w:rPr>
        <w:t>DeStefano</w:t>
      </w:r>
      <w:proofErr w:type="spellEnd"/>
      <w:r w:rsidR="00371F6A" w:rsidRPr="004A3817">
        <w:rPr>
          <w:rFonts w:ascii="Arial" w:hAnsi="Arial" w:cs="Arial"/>
          <w:sz w:val="20"/>
          <w:szCs w:val="20"/>
        </w:rPr>
        <w:t xml:space="preserve"> J, Meier MF, </w:t>
      </w:r>
      <w:proofErr w:type="spellStart"/>
      <w:r w:rsidR="00371F6A" w:rsidRPr="004A3817">
        <w:rPr>
          <w:rFonts w:ascii="Arial" w:hAnsi="Arial" w:cs="Arial"/>
          <w:sz w:val="20"/>
          <w:szCs w:val="20"/>
        </w:rPr>
        <w:t>Muegge</w:t>
      </w:r>
      <w:proofErr w:type="spellEnd"/>
      <w:r w:rsidR="00371F6A" w:rsidRPr="004A3817">
        <w:rPr>
          <w:rFonts w:ascii="Arial" w:hAnsi="Arial" w:cs="Arial"/>
          <w:sz w:val="20"/>
          <w:szCs w:val="20"/>
        </w:rPr>
        <w:t xml:space="preserve"> BD, Barratt MJ, </w:t>
      </w:r>
      <w:proofErr w:type="spellStart"/>
      <w:r w:rsidR="00371F6A" w:rsidRPr="004A3817">
        <w:rPr>
          <w:rFonts w:ascii="Arial" w:hAnsi="Arial" w:cs="Arial"/>
          <w:sz w:val="20"/>
          <w:szCs w:val="20"/>
        </w:rPr>
        <w:t>VanArendonk</w:t>
      </w:r>
      <w:proofErr w:type="spellEnd"/>
      <w:r w:rsidR="00371F6A" w:rsidRPr="004A3817">
        <w:rPr>
          <w:rFonts w:ascii="Arial" w:hAnsi="Arial" w:cs="Arial"/>
          <w:sz w:val="20"/>
          <w:szCs w:val="20"/>
        </w:rPr>
        <w:t xml:space="preserve"> LG, Zhang Q, Province MA, </w:t>
      </w:r>
      <w:r w:rsidR="00371F6A" w:rsidRPr="004A3817">
        <w:rPr>
          <w:rFonts w:ascii="Arial" w:hAnsi="Arial" w:cs="Arial"/>
          <w:bCs/>
          <w:sz w:val="20"/>
          <w:szCs w:val="20"/>
        </w:rPr>
        <w:t>Petri WA</w:t>
      </w:r>
      <w:r w:rsidR="00371F6A" w:rsidRPr="004A3817">
        <w:rPr>
          <w:rFonts w:ascii="Arial" w:hAnsi="Arial" w:cs="Arial"/>
          <w:sz w:val="20"/>
          <w:szCs w:val="20"/>
        </w:rPr>
        <w:t xml:space="preserve"> Jr, Ahmed T, Gordon JI.  </w:t>
      </w:r>
      <w:r w:rsidR="00371F6A" w:rsidRPr="004A3817">
        <w:rPr>
          <w:rFonts w:ascii="Arial" w:hAnsi="Arial" w:cs="Arial"/>
          <w:sz w:val="20"/>
          <w:szCs w:val="20"/>
          <w:u w:val="single"/>
        </w:rPr>
        <w:t>Persistent gut microbiota immaturity in malnourished Bangladeshi children</w:t>
      </w:r>
      <w:r w:rsidR="00371F6A">
        <w:rPr>
          <w:rFonts w:ascii="Arial" w:hAnsi="Arial" w:cs="Arial"/>
          <w:sz w:val="20"/>
          <w:szCs w:val="20"/>
        </w:rPr>
        <w:t>.  Nature 510</w:t>
      </w:r>
      <w:r w:rsidR="00371F6A" w:rsidRPr="004A3817">
        <w:rPr>
          <w:rFonts w:ascii="Arial" w:hAnsi="Arial" w:cs="Arial"/>
          <w:sz w:val="20"/>
          <w:szCs w:val="20"/>
        </w:rPr>
        <w:t>:417-21</w:t>
      </w:r>
      <w:r w:rsidR="00371F6A">
        <w:rPr>
          <w:rFonts w:ascii="Arial" w:hAnsi="Arial" w:cs="Arial"/>
          <w:sz w:val="20"/>
          <w:szCs w:val="20"/>
        </w:rPr>
        <w:t>, 2014.</w:t>
      </w:r>
      <w:r w:rsidR="003B46B8">
        <w:rPr>
          <w:rFonts w:ascii="Arial" w:hAnsi="Arial" w:cs="Arial"/>
          <w:sz w:val="20"/>
          <w:szCs w:val="20"/>
        </w:rPr>
        <w:t xml:space="preserve"> PMID: 24896187</w:t>
      </w:r>
      <w:r w:rsidR="00371F6A">
        <w:rPr>
          <w:rFonts w:ascii="Arial" w:hAnsi="Arial" w:cs="Arial"/>
          <w:sz w:val="20"/>
          <w:szCs w:val="20"/>
        </w:rPr>
        <w:t xml:space="preserve"> </w:t>
      </w:r>
      <w:r w:rsidR="00371F6A" w:rsidRPr="00052904">
        <w:rPr>
          <w:rFonts w:ascii="Arial" w:hAnsi="Arial" w:cs="Arial"/>
          <w:i/>
          <w:sz w:val="20"/>
          <w:szCs w:val="20"/>
        </w:rPr>
        <w:t>Microbiota maturity indices provide a microbial measure of human postnatal development, a way</w:t>
      </w:r>
      <w:r w:rsidR="00371F6A" w:rsidRPr="004A3817">
        <w:rPr>
          <w:rFonts w:ascii="Arial" w:hAnsi="Arial" w:cs="Arial"/>
          <w:i/>
          <w:sz w:val="20"/>
          <w:szCs w:val="20"/>
        </w:rPr>
        <w:t xml:space="preserve"> of classifying malnourished states, and a parameter for judging therapeutic efficacy.  Severe acute malnutrition is associated with significant relative microbiota immaturity that is only partially ameliorated following two widely used nutritional interventions. </w:t>
      </w:r>
    </w:p>
    <w:p w14:paraId="71671232" w14:textId="1E5635B8" w:rsidR="00627850" w:rsidRPr="00627850" w:rsidRDefault="0060754E" w:rsidP="001771DF">
      <w:pPr>
        <w:tabs>
          <w:tab w:val="left" w:pos="360"/>
        </w:tabs>
        <w:spacing w:after="120"/>
        <w:rPr>
          <w:rFonts w:ascii="Arial" w:hAnsi="Arial" w:cs="Arial"/>
          <w:i/>
          <w:sz w:val="20"/>
          <w:szCs w:val="20"/>
        </w:rPr>
      </w:pPr>
      <w:r>
        <w:rPr>
          <w:rFonts w:ascii="Arial" w:hAnsi="Arial" w:cs="Arial"/>
          <w:sz w:val="20"/>
          <w:szCs w:val="20"/>
        </w:rPr>
        <w:t xml:space="preserve">15. </w:t>
      </w:r>
      <w:r w:rsidR="00627850" w:rsidRPr="00371F6A">
        <w:rPr>
          <w:rFonts w:ascii="Arial" w:hAnsi="Arial" w:cs="Arial"/>
          <w:sz w:val="20"/>
          <w:szCs w:val="20"/>
        </w:rPr>
        <w:t xml:space="preserve">Naylor C, Lu M, Haque R, </w:t>
      </w:r>
      <w:proofErr w:type="spellStart"/>
      <w:r w:rsidR="00627850" w:rsidRPr="00371F6A">
        <w:rPr>
          <w:rFonts w:ascii="Arial" w:hAnsi="Arial" w:cs="Arial"/>
          <w:sz w:val="20"/>
          <w:szCs w:val="20"/>
        </w:rPr>
        <w:t>Mondal</w:t>
      </w:r>
      <w:proofErr w:type="spellEnd"/>
      <w:r w:rsidR="00627850" w:rsidRPr="00371F6A">
        <w:rPr>
          <w:rFonts w:ascii="Arial" w:hAnsi="Arial" w:cs="Arial"/>
          <w:sz w:val="20"/>
          <w:szCs w:val="20"/>
        </w:rPr>
        <w:t xml:space="preserve"> D, </w:t>
      </w:r>
      <w:proofErr w:type="spellStart"/>
      <w:r w:rsidR="00627850" w:rsidRPr="00371F6A">
        <w:rPr>
          <w:rFonts w:ascii="Arial" w:hAnsi="Arial" w:cs="Arial"/>
          <w:sz w:val="20"/>
          <w:szCs w:val="20"/>
        </w:rPr>
        <w:t>Buonomo</w:t>
      </w:r>
      <w:proofErr w:type="spellEnd"/>
      <w:r w:rsidR="00627850" w:rsidRPr="00371F6A">
        <w:rPr>
          <w:rFonts w:ascii="Arial" w:hAnsi="Arial" w:cs="Arial"/>
          <w:sz w:val="20"/>
          <w:szCs w:val="20"/>
        </w:rPr>
        <w:t xml:space="preserve"> E, Nayak U, Mychaleckyj J, Kirkpatrick BD, Colgate ER, </w:t>
      </w:r>
      <w:proofErr w:type="spellStart"/>
      <w:r w:rsidR="00627850" w:rsidRPr="00371F6A">
        <w:rPr>
          <w:rFonts w:ascii="Arial" w:hAnsi="Arial" w:cs="Arial"/>
          <w:sz w:val="20"/>
          <w:szCs w:val="20"/>
        </w:rPr>
        <w:t>Carmolli</w:t>
      </w:r>
      <w:proofErr w:type="spellEnd"/>
      <w:r w:rsidR="00627850" w:rsidRPr="00371F6A">
        <w:rPr>
          <w:rFonts w:ascii="Arial" w:hAnsi="Arial" w:cs="Arial"/>
          <w:sz w:val="20"/>
          <w:szCs w:val="20"/>
        </w:rPr>
        <w:t xml:space="preserve"> M, Dickson D, van der Klis F, Weldon W, </w:t>
      </w:r>
      <w:proofErr w:type="spellStart"/>
      <w:r w:rsidR="00627850" w:rsidRPr="00371F6A">
        <w:rPr>
          <w:rFonts w:ascii="Arial" w:hAnsi="Arial" w:cs="Arial"/>
          <w:sz w:val="20"/>
          <w:szCs w:val="20"/>
        </w:rPr>
        <w:t>Oberste</w:t>
      </w:r>
      <w:proofErr w:type="spellEnd"/>
      <w:r w:rsidR="00627850" w:rsidRPr="00371F6A">
        <w:rPr>
          <w:rFonts w:ascii="Arial" w:hAnsi="Arial" w:cs="Arial"/>
          <w:sz w:val="20"/>
          <w:szCs w:val="20"/>
        </w:rPr>
        <w:t xml:space="preserve"> MS, PROVIDE study</w:t>
      </w:r>
      <w:r w:rsidR="00627850" w:rsidRPr="004A3817">
        <w:rPr>
          <w:rFonts w:ascii="Arial" w:hAnsi="Arial" w:cs="Arial"/>
          <w:sz w:val="20"/>
          <w:szCs w:val="20"/>
        </w:rPr>
        <w:t xml:space="preserve"> teams, Ma J, Petri WA Jr. </w:t>
      </w:r>
      <w:r w:rsidR="00627850" w:rsidRPr="00106CF1">
        <w:rPr>
          <w:rFonts w:ascii="Arial" w:hAnsi="Arial" w:cs="Arial"/>
          <w:sz w:val="20"/>
          <w:szCs w:val="20"/>
          <w:u w:val="single"/>
        </w:rPr>
        <w:t>Environmental Enteropathy, Oral Vaccine Failure and Growth Faltering in Infants in Bangladesh</w:t>
      </w:r>
      <w:r w:rsidR="00627850">
        <w:rPr>
          <w:rFonts w:ascii="Arial" w:hAnsi="Arial" w:cs="Arial"/>
          <w:sz w:val="20"/>
          <w:szCs w:val="20"/>
        </w:rPr>
        <w:t xml:space="preserve">. </w:t>
      </w:r>
      <w:proofErr w:type="spellStart"/>
      <w:r w:rsidR="00627850">
        <w:rPr>
          <w:rFonts w:ascii="Arial" w:hAnsi="Arial" w:cs="Arial"/>
          <w:sz w:val="20"/>
          <w:szCs w:val="20"/>
        </w:rPr>
        <w:t>EBioMedicine</w:t>
      </w:r>
      <w:proofErr w:type="spellEnd"/>
      <w:r w:rsidR="00627850">
        <w:rPr>
          <w:rFonts w:ascii="Arial" w:hAnsi="Arial" w:cs="Arial"/>
          <w:sz w:val="20"/>
          <w:szCs w:val="20"/>
        </w:rPr>
        <w:t xml:space="preserve"> 2(11): </w:t>
      </w:r>
      <w:r w:rsidR="00627850" w:rsidRPr="004A3817">
        <w:rPr>
          <w:rFonts w:ascii="Arial" w:hAnsi="Arial" w:cs="Arial"/>
          <w:sz w:val="20"/>
          <w:szCs w:val="20"/>
        </w:rPr>
        <w:t>1759–1766, 2015.</w:t>
      </w:r>
      <w:r w:rsidR="003B46B8">
        <w:rPr>
          <w:rFonts w:ascii="Arial" w:hAnsi="Arial" w:cs="Arial"/>
          <w:sz w:val="20"/>
          <w:szCs w:val="20"/>
        </w:rPr>
        <w:t xml:space="preserve"> PMID: 26870801 </w:t>
      </w:r>
      <w:r w:rsidR="00627850" w:rsidRPr="000F4447">
        <w:rPr>
          <w:rFonts w:ascii="Arial" w:hAnsi="Arial" w:cs="Arial"/>
          <w:i/>
          <w:sz w:val="20"/>
          <w:szCs w:val="20"/>
        </w:rPr>
        <w:t xml:space="preserve">EED was present in 80% of children as measured by fecal biomarkers of inflammation. EED was associated with oral vaccine failure but not failure of systemically administered vaccines such as DTP. Biomarkers of EED and maternal health accounted for 46% of the variation in delta HAZ and 24% of rotavirus failure. </w:t>
      </w:r>
      <w:r w:rsidR="00DA0B29">
        <w:rPr>
          <w:rFonts w:ascii="Arial" w:hAnsi="Arial" w:cs="Arial"/>
          <w:i/>
          <w:sz w:val="20"/>
          <w:szCs w:val="20"/>
        </w:rPr>
        <w:t xml:space="preserve"> </w:t>
      </w:r>
    </w:p>
    <w:p w14:paraId="4E38C818" w14:textId="4F1CC763" w:rsidR="00371F6A" w:rsidRPr="00371F6A" w:rsidRDefault="0060754E" w:rsidP="001771DF">
      <w:pPr>
        <w:widowControl w:val="0"/>
        <w:tabs>
          <w:tab w:val="left" w:pos="360"/>
          <w:tab w:val="num" w:pos="540"/>
        </w:tabs>
        <w:autoSpaceDE w:val="0"/>
        <w:autoSpaceDN w:val="0"/>
        <w:adjustRightInd w:val="0"/>
        <w:spacing w:after="120"/>
        <w:rPr>
          <w:rFonts w:ascii="Arial" w:hAnsi="Arial" w:cs="Arial"/>
          <w:sz w:val="20"/>
          <w:szCs w:val="20"/>
        </w:rPr>
      </w:pPr>
      <w:r>
        <w:rPr>
          <w:rFonts w:ascii="Arial" w:hAnsi="Arial" w:cs="Arial"/>
          <w:sz w:val="20"/>
          <w:szCs w:val="20"/>
        </w:rPr>
        <w:t xml:space="preserve">16. </w:t>
      </w:r>
      <w:r w:rsidR="00371F6A" w:rsidRPr="00106CF1">
        <w:rPr>
          <w:rFonts w:ascii="Arial" w:hAnsi="Arial" w:cs="Arial"/>
          <w:sz w:val="20"/>
          <w:szCs w:val="20"/>
        </w:rPr>
        <w:t xml:space="preserve">Wagner VE, </w:t>
      </w:r>
      <w:proofErr w:type="spellStart"/>
      <w:r w:rsidR="00371F6A" w:rsidRPr="00106CF1">
        <w:rPr>
          <w:rFonts w:ascii="Arial" w:hAnsi="Arial" w:cs="Arial"/>
          <w:sz w:val="20"/>
          <w:szCs w:val="20"/>
        </w:rPr>
        <w:t>Dey</w:t>
      </w:r>
      <w:proofErr w:type="spellEnd"/>
      <w:r w:rsidR="00371F6A" w:rsidRPr="00106CF1">
        <w:rPr>
          <w:rFonts w:ascii="Arial" w:hAnsi="Arial" w:cs="Arial"/>
          <w:sz w:val="20"/>
          <w:szCs w:val="20"/>
        </w:rPr>
        <w:t xml:space="preserve"> N, </w:t>
      </w:r>
      <w:proofErr w:type="spellStart"/>
      <w:r w:rsidR="00371F6A" w:rsidRPr="00106CF1">
        <w:rPr>
          <w:rFonts w:ascii="Arial" w:hAnsi="Arial" w:cs="Arial"/>
          <w:sz w:val="20"/>
          <w:szCs w:val="20"/>
        </w:rPr>
        <w:t>Guruge</w:t>
      </w:r>
      <w:proofErr w:type="spellEnd"/>
      <w:r w:rsidR="00371F6A" w:rsidRPr="00106CF1">
        <w:rPr>
          <w:rFonts w:ascii="Arial" w:hAnsi="Arial" w:cs="Arial"/>
          <w:sz w:val="20"/>
          <w:szCs w:val="20"/>
        </w:rPr>
        <w:t xml:space="preserve"> J, Hsiao A, Ahern PP, </w:t>
      </w:r>
      <w:proofErr w:type="spellStart"/>
      <w:r w:rsidR="00371F6A" w:rsidRPr="00106CF1">
        <w:rPr>
          <w:rFonts w:ascii="Arial" w:hAnsi="Arial" w:cs="Arial"/>
          <w:sz w:val="20"/>
          <w:szCs w:val="20"/>
        </w:rPr>
        <w:t>Semenkovich</w:t>
      </w:r>
      <w:proofErr w:type="spellEnd"/>
      <w:r w:rsidR="00371F6A" w:rsidRPr="00106CF1">
        <w:rPr>
          <w:rFonts w:ascii="Arial" w:hAnsi="Arial" w:cs="Arial"/>
          <w:sz w:val="20"/>
          <w:szCs w:val="20"/>
        </w:rPr>
        <w:t xml:space="preserve"> NP, Blanton LV, Cheng J, Griffin N, </w:t>
      </w:r>
      <w:proofErr w:type="spellStart"/>
      <w:r w:rsidR="00371F6A" w:rsidRPr="00106CF1">
        <w:rPr>
          <w:rFonts w:ascii="Arial" w:hAnsi="Arial" w:cs="Arial"/>
          <w:sz w:val="20"/>
          <w:szCs w:val="20"/>
        </w:rPr>
        <w:t>Stappenbeck</w:t>
      </w:r>
      <w:proofErr w:type="spellEnd"/>
      <w:r w:rsidR="00371F6A" w:rsidRPr="00106CF1">
        <w:rPr>
          <w:rFonts w:ascii="Arial" w:hAnsi="Arial" w:cs="Arial"/>
          <w:sz w:val="20"/>
          <w:szCs w:val="20"/>
        </w:rPr>
        <w:t xml:space="preserve"> TS, </w:t>
      </w:r>
      <w:proofErr w:type="spellStart"/>
      <w:r w:rsidR="00371F6A" w:rsidRPr="00106CF1">
        <w:rPr>
          <w:rFonts w:ascii="Arial" w:hAnsi="Arial" w:cs="Arial"/>
          <w:sz w:val="20"/>
          <w:szCs w:val="20"/>
        </w:rPr>
        <w:t>Ilkayeva</w:t>
      </w:r>
      <w:proofErr w:type="spellEnd"/>
      <w:r w:rsidR="00371F6A" w:rsidRPr="00106CF1">
        <w:rPr>
          <w:rFonts w:ascii="Arial" w:hAnsi="Arial" w:cs="Arial"/>
          <w:sz w:val="20"/>
          <w:szCs w:val="20"/>
        </w:rPr>
        <w:t xml:space="preserve"> O, </w:t>
      </w:r>
      <w:proofErr w:type="spellStart"/>
      <w:r w:rsidR="00371F6A" w:rsidRPr="00106CF1">
        <w:rPr>
          <w:rFonts w:ascii="Arial" w:hAnsi="Arial" w:cs="Arial"/>
          <w:sz w:val="20"/>
          <w:szCs w:val="20"/>
        </w:rPr>
        <w:t>Newgard</w:t>
      </w:r>
      <w:proofErr w:type="spellEnd"/>
      <w:r w:rsidR="00371F6A" w:rsidRPr="00106CF1">
        <w:rPr>
          <w:rFonts w:ascii="Arial" w:hAnsi="Arial" w:cs="Arial"/>
          <w:sz w:val="20"/>
          <w:szCs w:val="20"/>
        </w:rPr>
        <w:t xml:space="preserve"> CB, Petri W, Haque R, Ahmed T, Gordon JI.  </w:t>
      </w:r>
      <w:r w:rsidR="00371F6A" w:rsidRPr="00106CF1">
        <w:rPr>
          <w:rFonts w:ascii="Arial" w:hAnsi="Arial" w:cs="Arial"/>
          <w:sz w:val="20"/>
          <w:szCs w:val="20"/>
          <w:u w:val="single"/>
        </w:rPr>
        <w:t>Effects of a gut pathobiont in a gnotobiotic mouse model of childhood undernutrition</w:t>
      </w:r>
      <w:r w:rsidR="00371F6A" w:rsidRPr="00106CF1">
        <w:rPr>
          <w:rFonts w:ascii="Arial" w:hAnsi="Arial" w:cs="Arial"/>
          <w:sz w:val="20"/>
          <w:szCs w:val="20"/>
        </w:rPr>
        <w:t xml:space="preserve">. </w:t>
      </w:r>
      <w:proofErr w:type="spellStart"/>
      <w:r w:rsidR="00371F6A" w:rsidRPr="00106CF1">
        <w:rPr>
          <w:rFonts w:ascii="Arial" w:hAnsi="Arial" w:cs="Arial"/>
          <w:sz w:val="20"/>
          <w:szCs w:val="20"/>
        </w:rPr>
        <w:t>Sci</w:t>
      </w:r>
      <w:proofErr w:type="spellEnd"/>
      <w:r w:rsidR="00371F6A" w:rsidRPr="00106CF1">
        <w:rPr>
          <w:rFonts w:ascii="Arial" w:hAnsi="Arial" w:cs="Arial"/>
          <w:sz w:val="20"/>
          <w:szCs w:val="20"/>
        </w:rPr>
        <w:t xml:space="preserve"> </w:t>
      </w:r>
      <w:proofErr w:type="spellStart"/>
      <w:r w:rsidR="00371F6A" w:rsidRPr="00106CF1">
        <w:rPr>
          <w:rFonts w:ascii="Arial" w:hAnsi="Arial" w:cs="Arial"/>
          <w:sz w:val="20"/>
          <w:szCs w:val="20"/>
        </w:rPr>
        <w:t>Transl</w:t>
      </w:r>
      <w:proofErr w:type="spellEnd"/>
      <w:r w:rsidR="00371F6A" w:rsidRPr="00106CF1">
        <w:rPr>
          <w:rFonts w:ascii="Arial" w:hAnsi="Arial" w:cs="Arial"/>
          <w:sz w:val="20"/>
          <w:szCs w:val="20"/>
        </w:rPr>
        <w:t xml:space="preserve"> Med. </w:t>
      </w:r>
      <w:r w:rsidR="00371F6A">
        <w:rPr>
          <w:rFonts w:ascii="Arial" w:hAnsi="Arial" w:cs="Arial"/>
          <w:sz w:val="20"/>
          <w:szCs w:val="20"/>
        </w:rPr>
        <w:t xml:space="preserve">8(366):366ra164, </w:t>
      </w:r>
      <w:r w:rsidR="00371F6A" w:rsidRPr="00106CF1">
        <w:rPr>
          <w:rFonts w:ascii="Arial" w:hAnsi="Arial" w:cs="Arial"/>
          <w:sz w:val="20"/>
          <w:szCs w:val="20"/>
        </w:rPr>
        <w:t>2016</w:t>
      </w:r>
      <w:r w:rsidR="00371F6A">
        <w:rPr>
          <w:rFonts w:ascii="Arial" w:hAnsi="Arial" w:cs="Arial"/>
          <w:sz w:val="20"/>
          <w:szCs w:val="20"/>
        </w:rPr>
        <w:t>.</w:t>
      </w:r>
      <w:r w:rsidR="00920FC3">
        <w:rPr>
          <w:rFonts w:ascii="Arial" w:hAnsi="Arial" w:cs="Arial"/>
          <w:sz w:val="20"/>
          <w:szCs w:val="20"/>
        </w:rPr>
        <w:t xml:space="preserve"> PMID: 27881825</w:t>
      </w:r>
      <w:r w:rsidR="00371F6A">
        <w:rPr>
          <w:rFonts w:ascii="Arial" w:hAnsi="Arial" w:cs="Arial"/>
          <w:sz w:val="20"/>
          <w:szCs w:val="20"/>
        </w:rPr>
        <w:t xml:space="preserve"> </w:t>
      </w:r>
      <w:proofErr w:type="spellStart"/>
      <w:r w:rsidR="00371F6A" w:rsidRPr="00B00614">
        <w:rPr>
          <w:rFonts w:ascii="Arial" w:hAnsi="Arial" w:cs="Arial"/>
          <w:i/>
          <w:sz w:val="20"/>
          <w:szCs w:val="20"/>
        </w:rPr>
        <w:t>Pathobiont</w:t>
      </w:r>
      <w:proofErr w:type="spellEnd"/>
      <w:r w:rsidR="00371F6A" w:rsidRPr="00B00614">
        <w:rPr>
          <w:rFonts w:ascii="Arial" w:hAnsi="Arial" w:cs="Arial"/>
          <w:i/>
          <w:sz w:val="20"/>
          <w:szCs w:val="20"/>
        </w:rPr>
        <w:t>-associated cachexia in a gnotobiotic model of childhood undernutrition is determined by strain-level interactions within the gut microbiota.</w:t>
      </w:r>
    </w:p>
    <w:p w14:paraId="5AABC4AB" w14:textId="4F5DCDC3" w:rsidR="00371F6A" w:rsidRPr="001771DF" w:rsidRDefault="0060754E" w:rsidP="001771DF">
      <w:pPr>
        <w:widowControl w:val="0"/>
        <w:tabs>
          <w:tab w:val="left" w:pos="360"/>
        </w:tabs>
        <w:autoSpaceDE w:val="0"/>
        <w:autoSpaceDN w:val="0"/>
        <w:adjustRightInd w:val="0"/>
        <w:spacing w:after="120"/>
        <w:rPr>
          <w:rFonts w:ascii="Arial" w:hAnsi="Arial" w:cs="Arial"/>
          <w:sz w:val="20"/>
          <w:szCs w:val="20"/>
        </w:rPr>
      </w:pPr>
      <w:r>
        <w:rPr>
          <w:rFonts w:ascii="Arial" w:hAnsi="Arial" w:cs="Arial"/>
          <w:sz w:val="20"/>
          <w:szCs w:val="20"/>
        </w:rPr>
        <w:t xml:space="preserve">17. </w:t>
      </w:r>
      <w:r w:rsidR="00371F6A" w:rsidRPr="004A3817">
        <w:rPr>
          <w:rFonts w:ascii="Arial" w:hAnsi="Arial" w:cs="Arial"/>
          <w:sz w:val="20"/>
          <w:szCs w:val="20"/>
        </w:rPr>
        <w:t>Donowitz JR, Haque R, Kirkpatrick BD, Alam M, Lu M, Kabir M, Kakon SF,</w:t>
      </w:r>
      <w:r w:rsidR="001771DF">
        <w:rPr>
          <w:rFonts w:ascii="Arial" w:hAnsi="Arial" w:cs="Arial"/>
          <w:sz w:val="20"/>
          <w:szCs w:val="20"/>
        </w:rPr>
        <w:t xml:space="preserve"> </w:t>
      </w:r>
      <w:r w:rsidR="00371F6A" w:rsidRPr="004A3817">
        <w:rPr>
          <w:rFonts w:ascii="Arial" w:hAnsi="Arial" w:cs="Arial"/>
          <w:sz w:val="20"/>
          <w:szCs w:val="20"/>
        </w:rPr>
        <w:t xml:space="preserve">Islam BZ, </w:t>
      </w:r>
      <w:proofErr w:type="spellStart"/>
      <w:r w:rsidR="00371F6A" w:rsidRPr="004A3817">
        <w:rPr>
          <w:rFonts w:ascii="Arial" w:hAnsi="Arial" w:cs="Arial"/>
          <w:sz w:val="20"/>
          <w:szCs w:val="20"/>
        </w:rPr>
        <w:t>Afreen</w:t>
      </w:r>
      <w:proofErr w:type="spellEnd"/>
      <w:r w:rsidR="00371F6A" w:rsidRPr="004A3817">
        <w:rPr>
          <w:rFonts w:ascii="Arial" w:hAnsi="Arial" w:cs="Arial"/>
          <w:sz w:val="20"/>
          <w:szCs w:val="20"/>
        </w:rPr>
        <w:t xml:space="preserve"> S, Musa A, Khan SS, Colgate ER, </w:t>
      </w:r>
      <w:proofErr w:type="spellStart"/>
      <w:r w:rsidR="00371F6A" w:rsidRPr="004A3817">
        <w:rPr>
          <w:rFonts w:ascii="Arial" w:hAnsi="Arial" w:cs="Arial"/>
          <w:sz w:val="20"/>
          <w:szCs w:val="20"/>
        </w:rPr>
        <w:t>Carmolli</w:t>
      </w:r>
      <w:proofErr w:type="spellEnd"/>
      <w:r w:rsidR="00371F6A" w:rsidRPr="004A3817">
        <w:rPr>
          <w:rFonts w:ascii="Arial" w:hAnsi="Arial" w:cs="Arial"/>
          <w:sz w:val="20"/>
          <w:szCs w:val="20"/>
        </w:rPr>
        <w:t xml:space="preserve"> MP, Ma JZ, Petri WA Jr. </w:t>
      </w:r>
      <w:r w:rsidR="00371F6A" w:rsidRPr="004A3817">
        <w:rPr>
          <w:rFonts w:ascii="Arial" w:hAnsi="Arial" w:cs="Arial"/>
          <w:bCs/>
          <w:sz w:val="20"/>
          <w:szCs w:val="20"/>
          <w:u w:val="single"/>
        </w:rPr>
        <w:t>Small Intestine Bacterial Overgrowth and Environmental Enteropathy in</w:t>
      </w:r>
      <w:r w:rsidR="00371F6A" w:rsidRPr="004A3817">
        <w:rPr>
          <w:rFonts w:ascii="Arial" w:hAnsi="Arial" w:cs="Arial"/>
          <w:sz w:val="20"/>
          <w:szCs w:val="20"/>
          <w:u w:val="single"/>
        </w:rPr>
        <w:t xml:space="preserve"> </w:t>
      </w:r>
      <w:r w:rsidR="00371F6A" w:rsidRPr="004A3817">
        <w:rPr>
          <w:rFonts w:ascii="Arial" w:hAnsi="Arial" w:cs="Arial"/>
          <w:bCs/>
          <w:sz w:val="20"/>
          <w:szCs w:val="20"/>
          <w:u w:val="single"/>
        </w:rPr>
        <w:t>Bangladeshi Children</w:t>
      </w:r>
      <w:r w:rsidR="00371F6A" w:rsidRPr="004A3817">
        <w:rPr>
          <w:rFonts w:ascii="Arial" w:hAnsi="Arial" w:cs="Arial"/>
          <w:bCs/>
          <w:sz w:val="20"/>
          <w:szCs w:val="20"/>
        </w:rPr>
        <w:t>. mBio 7: e02102-15, 2016.</w:t>
      </w:r>
      <w:r w:rsidR="00371F6A">
        <w:rPr>
          <w:rFonts w:ascii="Arial" w:hAnsi="Arial" w:cs="Arial"/>
          <w:bCs/>
          <w:sz w:val="20"/>
          <w:szCs w:val="20"/>
        </w:rPr>
        <w:t xml:space="preserve"> </w:t>
      </w:r>
      <w:r w:rsidR="00920FC3" w:rsidRPr="00BD1CD9">
        <w:rPr>
          <w:rFonts w:ascii="Arial" w:hAnsi="Arial" w:cs="Arial"/>
          <w:sz w:val="20"/>
          <w:szCs w:val="20"/>
        </w:rPr>
        <w:t>PMID:</w:t>
      </w:r>
      <w:r w:rsidR="00920FC3">
        <w:rPr>
          <w:rFonts w:ascii="Arial" w:hAnsi="Arial" w:cs="Arial"/>
          <w:sz w:val="20"/>
          <w:szCs w:val="20"/>
        </w:rPr>
        <w:t xml:space="preserve"> 26758185. </w:t>
      </w:r>
      <w:r w:rsidR="00371F6A" w:rsidRPr="00052904">
        <w:rPr>
          <w:rFonts w:ascii="Arial" w:hAnsi="Arial" w:cs="Arial"/>
          <w:i/>
          <w:sz w:val="20"/>
          <w:szCs w:val="20"/>
        </w:rPr>
        <w:t xml:space="preserve">SIBO was </w:t>
      </w:r>
      <w:r w:rsidR="00E76A85">
        <w:rPr>
          <w:rFonts w:ascii="Arial" w:hAnsi="Arial" w:cs="Arial"/>
          <w:i/>
          <w:sz w:val="20"/>
          <w:szCs w:val="20"/>
        </w:rPr>
        <w:t>present in 16.7% (15/90) of two-</w:t>
      </w:r>
      <w:r w:rsidR="00371F6A" w:rsidRPr="00052904">
        <w:rPr>
          <w:rFonts w:ascii="Arial" w:hAnsi="Arial" w:cs="Arial"/>
          <w:i/>
          <w:sz w:val="20"/>
          <w:szCs w:val="20"/>
        </w:rPr>
        <w:t>year old children. The strongest predictors of SIBO</w:t>
      </w:r>
      <w:r w:rsidR="00371F6A" w:rsidRPr="004A3817">
        <w:rPr>
          <w:rFonts w:ascii="Arial" w:hAnsi="Arial" w:cs="Arial"/>
          <w:i/>
          <w:sz w:val="20"/>
          <w:szCs w:val="20"/>
        </w:rPr>
        <w:t xml:space="preserve"> were decreased length-for-age Z score since birth and an open sewer outside the home. The markers of intestinal inflammation, fecal Reg1β and calprotectin, were elevated in SIBO positive children.  We concluded that linear growth faltering and poor sanitation are associated with SIBO </w:t>
      </w:r>
      <w:r w:rsidR="00371F6A">
        <w:rPr>
          <w:rFonts w:ascii="Arial" w:hAnsi="Arial" w:cs="Arial"/>
          <w:i/>
          <w:sz w:val="20"/>
          <w:szCs w:val="20"/>
        </w:rPr>
        <w:t xml:space="preserve">and that </w:t>
      </w:r>
      <w:r w:rsidR="00371F6A" w:rsidRPr="004A3817">
        <w:rPr>
          <w:rFonts w:ascii="Arial" w:hAnsi="Arial" w:cs="Arial"/>
          <w:i/>
          <w:sz w:val="20"/>
          <w:szCs w:val="20"/>
        </w:rPr>
        <w:t>SIBO is associated with intestinal inflammation.</w:t>
      </w:r>
    </w:p>
    <w:p w14:paraId="14D5F66A" w14:textId="66BE2CAF" w:rsidR="001E2CFE" w:rsidRDefault="0060754E" w:rsidP="001E2CFE">
      <w:pPr>
        <w:tabs>
          <w:tab w:val="left" w:pos="360"/>
          <w:tab w:val="num" w:pos="540"/>
        </w:tabs>
        <w:spacing w:after="120"/>
        <w:rPr>
          <w:rFonts w:ascii="Arial" w:eastAsia="Times New Roman" w:hAnsi="Arial" w:cs="Arial"/>
          <w:i/>
          <w:color w:val="000000"/>
          <w:sz w:val="20"/>
          <w:szCs w:val="20"/>
          <w:shd w:val="clear" w:color="auto" w:fill="FFFFFF"/>
        </w:rPr>
      </w:pPr>
      <w:r w:rsidRPr="00D66281">
        <w:rPr>
          <w:rFonts w:ascii="Arial" w:hAnsi="Arial" w:cs="Arial"/>
          <w:sz w:val="20"/>
          <w:szCs w:val="20"/>
        </w:rPr>
        <w:t xml:space="preserve">18. </w:t>
      </w:r>
      <w:r w:rsidR="001E2CFE" w:rsidRPr="00D66281">
        <w:rPr>
          <w:rFonts w:ascii="Arial" w:hAnsi="Arial" w:cs="Arial"/>
          <w:sz w:val="20"/>
          <w:szCs w:val="20"/>
        </w:rPr>
        <w:t xml:space="preserve">Korpe PS, Haque R, Gilchrist C, Valencia C, </w:t>
      </w:r>
      <w:proofErr w:type="spellStart"/>
      <w:r w:rsidR="001E2CFE" w:rsidRPr="00D66281">
        <w:rPr>
          <w:rFonts w:ascii="Arial" w:hAnsi="Arial" w:cs="Arial"/>
          <w:sz w:val="20"/>
          <w:szCs w:val="20"/>
        </w:rPr>
        <w:t>Niu</w:t>
      </w:r>
      <w:proofErr w:type="spellEnd"/>
      <w:r w:rsidR="001E2CFE" w:rsidRPr="00D66281">
        <w:rPr>
          <w:rFonts w:ascii="Arial" w:hAnsi="Arial" w:cs="Arial"/>
          <w:sz w:val="20"/>
          <w:szCs w:val="20"/>
        </w:rPr>
        <w:t xml:space="preserve"> F, Lu M, Ma JZ, Petri SE, Reichman D,</w:t>
      </w:r>
      <w:r w:rsidR="001E2CFE" w:rsidRPr="00BD1CD9">
        <w:rPr>
          <w:rFonts w:ascii="Arial" w:hAnsi="Arial" w:cs="Arial"/>
          <w:sz w:val="20"/>
          <w:szCs w:val="20"/>
        </w:rPr>
        <w:t xml:space="preserve"> Kabir M, Duggal P, Petri WA Jr.</w:t>
      </w:r>
      <w:r w:rsidR="001E2CFE">
        <w:rPr>
          <w:rFonts w:ascii="Arial" w:hAnsi="Arial" w:cs="Arial"/>
          <w:sz w:val="20"/>
          <w:szCs w:val="20"/>
        </w:rPr>
        <w:t xml:space="preserve"> </w:t>
      </w:r>
      <w:r w:rsidR="001E2CFE" w:rsidRPr="00EB2EFE">
        <w:rPr>
          <w:rFonts w:ascii="Arial" w:hAnsi="Arial" w:cs="Arial"/>
          <w:sz w:val="20"/>
          <w:szCs w:val="20"/>
          <w:u w:val="single"/>
        </w:rPr>
        <w:t>Natural History of Cryptosporidiosis in a Longitudinal Study of Slum-Dwelling Bangladeshi Children: Association with Severe Malnutrition</w:t>
      </w:r>
      <w:r w:rsidR="001E2CFE" w:rsidRPr="00BD1CD9">
        <w:rPr>
          <w:rFonts w:ascii="Arial" w:hAnsi="Arial" w:cs="Arial"/>
          <w:sz w:val="20"/>
          <w:szCs w:val="20"/>
        </w:rPr>
        <w:t>.</w:t>
      </w:r>
      <w:r w:rsidR="001E2CFE" w:rsidRPr="00BD1CD9">
        <w:t xml:space="preserve"> </w:t>
      </w:r>
      <w:proofErr w:type="spellStart"/>
      <w:r w:rsidR="001E2CFE" w:rsidRPr="00BD1CD9">
        <w:rPr>
          <w:rFonts w:ascii="Arial" w:hAnsi="Arial" w:cs="Arial"/>
          <w:sz w:val="20"/>
          <w:szCs w:val="20"/>
        </w:rPr>
        <w:t>PLoS</w:t>
      </w:r>
      <w:proofErr w:type="spellEnd"/>
      <w:r w:rsidR="001E2CFE" w:rsidRPr="00BD1CD9">
        <w:rPr>
          <w:rFonts w:ascii="Arial" w:hAnsi="Arial" w:cs="Arial"/>
          <w:sz w:val="20"/>
          <w:szCs w:val="20"/>
        </w:rPr>
        <w:t xml:space="preserve"> </w:t>
      </w:r>
      <w:proofErr w:type="spellStart"/>
      <w:r w:rsidR="001E2CFE" w:rsidRPr="00BD1CD9">
        <w:rPr>
          <w:rFonts w:ascii="Arial" w:hAnsi="Arial" w:cs="Arial"/>
          <w:sz w:val="20"/>
          <w:szCs w:val="20"/>
        </w:rPr>
        <w:t>Negl</w:t>
      </w:r>
      <w:proofErr w:type="spellEnd"/>
      <w:r w:rsidR="001E2CFE" w:rsidRPr="00BD1CD9">
        <w:rPr>
          <w:rFonts w:ascii="Arial" w:hAnsi="Arial" w:cs="Arial"/>
          <w:sz w:val="20"/>
          <w:szCs w:val="20"/>
        </w:rPr>
        <w:t xml:space="preserve"> Trop Dis. 2016 May 4;10(5</w:t>
      </w:r>
      <w:proofErr w:type="gramStart"/>
      <w:r w:rsidR="001E2CFE" w:rsidRPr="00BD1CD9">
        <w:rPr>
          <w:rFonts w:ascii="Arial" w:hAnsi="Arial" w:cs="Arial"/>
          <w:sz w:val="20"/>
          <w:szCs w:val="20"/>
        </w:rPr>
        <w:t>):e</w:t>
      </w:r>
      <w:proofErr w:type="gramEnd"/>
      <w:r w:rsidR="001E2CFE" w:rsidRPr="00BD1CD9">
        <w:rPr>
          <w:rFonts w:ascii="Arial" w:hAnsi="Arial" w:cs="Arial"/>
          <w:sz w:val="20"/>
          <w:szCs w:val="20"/>
        </w:rPr>
        <w:t xml:space="preserve">0004564. </w:t>
      </w:r>
      <w:proofErr w:type="spellStart"/>
      <w:r w:rsidR="001E2CFE" w:rsidRPr="00BD1CD9">
        <w:rPr>
          <w:rFonts w:ascii="Arial" w:hAnsi="Arial" w:cs="Arial"/>
          <w:sz w:val="20"/>
          <w:szCs w:val="20"/>
        </w:rPr>
        <w:t>doi</w:t>
      </w:r>
      <w:proofErr w:type="spellEnd"/>
      <w:r w:rsidR="001E2CFE" w:rsidRPr="00BD1CD9">
        <w:rPr>
          <w:rFonts w:ascii="Arial" w:hAnsi="Arial" w:cs="Arial"/>
          <w:sz w:val="20"/>
          <w:szCs w:val="20"/>
        </w:rPr>
        <w:t xml:space="preserve">: 10.1371/journal.pntd.0004564. </w:t>
      </w:r>
      <w:proofErr w:type="spellStart"/>
      <w:r w:rsidR="001E2CFE" w:rsidRPr="00BD1CD9">
        <w:rPr>
          <w:rFonts w:ascii="Arial" w:hAnsi="Arial" w:cs="Arial"/>
          <w:sz w:val="20"/>
          <w:szCs w:val="20"/>
        </w:rPr>
        <w:t>eCollection</w:t>
      </w:r>
      <w:proofErr w:type="spellEnd"/>
      <w:r w:rsidR="001E2CFE" w:rsidRPr="00BD1CD9">
        <w:rPr>
          <w:rFonts w:ascii="Arial" w:hAnsi="Arial" w:cs="Arial"/>
          <w:sz w:val="20"/>
          <w:szCs w:val="20"/>
        </w:rPr>
        <w:t xml:space="preserve"> 2016 May.</w:t>
      </w:r>
      <w:r w:rsidR="00090C7A">
        <w:rPr>
          <w:rFonts w:ascii="Arial" w:hAnsi="Arial" w:cs="Arial"/>
          <w:sz w:val="20"/>
          <w:szCs w:val="20"/>
        </w:rPr>
        <w:t xml:space="preserve"> </w:t>
      </w:r>
      <w:r w:rsidR="001E2CFE" w:rsidRPr="00BD1CD9">
        <w:rPr>
          <w:rFonts w:ascii="Arial" w:hAnsi="Arial" w:cs="Arial"/>
          <w:sz w:val="20"/>
          <w:szCs w:val="20"/>
        </w:rPr>
        <w:t>PMID: 27144404</w:t>
      </w:r>
      <w:r w:rsidR="001E2CFE">
        <w:rPr>
          <w:rFonts w:ascii="Arial" w:hAnsi="Arial" w:cs="Arial"/>
          <w:sz w:val="20"/>
          <w:szCs w:val="20"/>
        </w:rPr>
        <w:t xml:space="preserve">. </w:t>
      </w:r>
      <w:r w:rsidR="001E2CFE">
        <w:rPr>
          <w:rFonts w:ascii="Arial" w:eastAsia="Times New Roman" w:hAnsi="Arial" w:cs="Arial"/>
          <w:i/>
          <w:color w:val="000000"/>
          <w:sz w:val="20"/>
          <w:szCs w:val="20"/>
          <w:shd w:val="clear" w:color="auto" w:fill="FFFFFF"/>
        </w:rPr>
        <w:t>This</w:t>
      </w:r>
      <w:r w:rsidR="001E2CFE" w:rsidRPr="00BD1CD9">
        <w:rPr>
          <w:rFonts w:ascii="Arial" w:eastAsia="Times New Roman" w:hAnsi="Arial" w:cs="Arial"/>
          <w:i/>
          <w:color w:val="000000"/>
          <w:sz w:val="20"/>
          <w:szCs w:val="20"/>
          <w:shd w:val="clear" w:color="auto" w:fill="FFFFFF"/>
        </w:rPr>
        <w:t xml:space="preserve"> longitudinal birth cohort study of 392 slum-dwelling Bangladeshi children </w:t>
      </w:r>
      <w:r w:rsidR="001E2CFE">
        <w:rPr>
          <w:rFonts w:ascii="Arial" w:eastAsia="Times New Roman" w:hAnsi="Arial" w:cs="Arial"/>
          <w:i/>
          <w:color w:val="000000"/>
          <w:sz w:val="20"/>
          <w:szCs w:val="20"/>
          <w:shd w:val="clear" w:color="auto" w:fill="FFFFFF"/>
        </w:rPr>
        <w:t>showed in the first two years of life that</w:t>
      </w:r>
      <w:r w:rsidR="001E2CFE" w:rsidRPr="00BD1CD9">
        <w:rPr>
          <w:rFonts w:ascii="Arial" w:eastAsia="Times New Roman" w:hAnsi="Arial" w:cs="Arial"/>
          <w:i/>
          <w:color w:val="000000"/>
          <w:sz w:val="20"/>
          <w:szCs w:val="20"/>
          <w:shd w:val="clear" w:color="auto" w:fill="FFFFFF"/>
        </w:rPr>
        <w:t xml:space="preserve"> 77% of children experienced at least one infection with </w:t>
      </w:r>
      <w:r w:rsidR="001E2CFE" w:rsidRPr="00BD1CD9">
        <w:rPr>
          <w:rFonts w:ascii="Arial" w:eastAsia="Times New Roman" w:hAnsi="Arial" w:cs="Arial"/>
          <w:i/>
          <w:color w:val="000000"/>
          <w:sz w:val="20"/>
          <w:szCs w:val="20"/>
          <w:shd w:val="clear" w:color="auto" w:fill="FFFFFF"/>
        </w:rPr>
        <w:lastRenderedPageBreak/>
        <w:t xml:space="preserve">Cryptosporidium spp. </w:t>
      </w:r>
      <w:r w:rsidR="001E2CFE">
        <w:rPr>
          <w:rFonts w:ascii="Arial" w:eastAsia="Times New Roman" w:hAnsi="Arial" w:cs="Arial"/>
          <w:i/>
          <w:color w:val="000000"/>
          <w:sz w:val="20"/>
          <w:szCs w:val="20"/>
          <w:shd w:val="clear" w:color="auto" w:fill="FFFFFF"/>
        </w:rPr>
        <w:t>and these infections we</w:t>
      </w:r>
      <w:r w:rsidR="001E2CFE" w:rsidRPr="00BD1CD9">
        <w:rPr>
          <w:rFonts w:ascii="Arial" w:eastAsia="Times New Roman" w:hAnsi="Arial" w:cs="Arial"/>
          <w:i/>
          <w:color w:val="000000"/>
          <w:sz w:val="20"/>
          <w:szCs w:val="20"/>
          <w:shd w:val="clear" w:color="auto" w:fill="FFFFFF"/>
        </w:rPr>
        <w:t>re significantly associated with</w:t>
      </w:r>
      <w:r w:rsidR="001E2CFE">
        <w:rPr>
          <w:rFonts w:ascii="Arial" w:eastAsia="Times New Roman" w:hAnsi="Arial" w:cs="Arial"/>
          <w:i/>
          <w:color w:val="000000"/>
          <w:sz w:val="20"/>
          <w:szCs w:val="20"/>
          <w:shd w:val="clear" w:color="auto" w:fill="FFFFFF"/>
        </w:rPr>
        <w:t xml:space="preserve"> stunting of</w:t>
      </w:r>
      <w:r w:rsidR="001E2CFE" w:rsidRPr="00BD1CD9">
        <w:rPr>
          <w:rFonts w:ascii="Arial" w:eastAsia="Times New Roman" w:hAnsi="Arial" w:cs="Arial"/>
          <w:i/>
          <w:color w:val="000000"/>
          <w:sz w:val="20"/>
          <w:szCs w:val="20"/>
          <w:shd w:val="clear" w:color="auto" w:fill="FFFFFF"/>
        </w:rPr>
        <w:t xml:space="preserve"> </w:t>
      </w:r>
      <w:r w:rsidR="001E2CFE">
        <w:rPr>
          <w:rFonts w:ascii="Arial" w:eastAsia="Times New Roman" w:hAnsi="Arial" w:cs="Arial"/>
          <w:i/>
          <w:color w:val="000000"/>
          <w:sz w:val="20"/>
          <w:szCs w:val="20"/>
          <w:shd w:val="clear" w:color="auto" w:fill="FFFFFF"/>
        </w:rPr>
        <w:t>children</w:t>
      </w:r>
      <w:r w:rsidR="00164235">
        <w:rPr>
          <w:rFonts w:ascii="Arial" w:eastAsia="Times New Roman" w:hAnsi="Arial" w:cs="Arial"/>
          <w:i/>
          <w:color w:val="000000"/>
          <w:sz w:val="20"/>
          <w:szCs w:val="20"/>
          <w:shd w:val="clear" w:color="auto" w:fill="FFFFFF"/>
        </w:rPr>
        <w:t>’s</w:t>
      </w:r>
      <w:r w:rsidR="00E76A85">
        <w:rPr>
          <w:rFonts w:ascii="Arial" w:eastAsia="Times New Roman" w:hAnsi="Arial" w:cs="Arial"/>
          <w:i/>
          <w:color w:val="000000"/>
          <w:sz w:val="20"/>
          <w:szCs w:val="20"/>
          <w:shd w:val="clear" w:color="auto" w:fill="FFFFFF"/>
        </w:rPr>
        <w:t xml:space="preserve"> growth by</w:t>
      </w:r>
      <w:r w:rsidR="001E2CFE">
        <w:rPr>
          <w:rFonts w:ascii="Arial" w:eastAsia="Times New Roman" w:hAnsi="Arial" w:cs="Arial"/>
          <w:i/>
          <w:color w:val="000000"/>
          <w:sz w:val="20"/>
          <w:szCs w:val="20"/>
          <w:shd w:val="clear" w:color="auto" w:fill="FFFFFF"/>
        </w:rPr>
        <w:t xml:space="preserve"> two years of age.</w:t>
      </w:r>
    </w:p>
    <w:p w14:paraId="7E8C9C1D" w14:textId="20CB429F" w:rsidR="00627850" w:rsidRDefault="0060754E" w:rsidP="00627850">
      <w:pPr>
        <w:spacing w:after="120"/>
        <w:rPr>
          <w:rFonts w:ascii="Arial" w:eastAsia="Times New Roman" w:hAnsi="Arial" w:cs="Arial"/>
          <w:i/>
          <w:color w:val="000000"/>
          <w:sz w:val="20"/>
          <w:szCs w:val="20"/>
          <w:shd w:val="clear" w:color="auto" w:fill="FFFFFF"/>
        </w:rPr>
      </w:pPr>
      <w:r w:rsidRPr="007007DF">
        <w:rPr>
          <w:rFonts w:ascii="Arial" w:eastAsia="Times New Roman" w:hAnsi="Arial" w:cs="Arial"/>
          <w:bCs/>
          <w:color w:val="000000"/>
          <w:sz w:val="20"/>
          <w:szCs w:val="20"/>
        </w:rPr>
        <w:t xml:space="preserve">19. </w:t>
      </w:r>
      <w:r w:rsidR="00627850" w:rsidRPr="007007DF">
        <w:rPr>
          <w:rFonts w:ascii="Arial" w:eastAsia="Times New Roman" w:hAnsi="Arial" w:cs="Arial"/>
          <w:bCs/>
          <w:color w:val="000000"/>
          <w:sz w:val="20"/>
          <w:szCs w:val="20"/>
        </w:rPr>
        <w:t>Nayak U</w:t>
      </w:r>
      <w:r w:rsidR="00627850" w:rsidRPr="007007DF">
        <w:rPr>
          <w:rFonts w:ascii="Arial" w:eastAsia="Times New Roman" w:hAnsi="Arial" w:cs="Arial"/>
          <w:color w:val="000000"/>
          <w:sz w:val="20"/>
          <w:szCs w:val="20"/>
          <w:shd w:val="clear" w:color="auto" w:fill="FFFFFF"/>
        </w:rPr>
        <w:t xml:space="preserve">, Kanungo S, Zhang D, Ross Colgate E, </w:t>
      </w:r>
      <w:proofErr w:type="spellStart"/>
      <w:r w:rsidR="00627850" w:rsidRPr="007007DF">
        <w:rPr>
          <w:rFonts w:ascii="Arial" w:eastAsia="Times New Roman" w:hAnsi="Arial" w:cs="Arial"/>
          <w:color w:val="000000"/>
          <w:sz w:val="20"/>
          <w:szCs w:val="20"/>
          <w:shd w:val="clear" w:color="auto" w:fill="FFFFFF"/>
        </w:rPr>
        <w:t>Carmolli</w:t>
      </w:r>
      <w:proofErr w:type="spellEnd"/>
      <w:r w:rsidR="00627850" w:rsidRPr="007007DF">
        <w:rPr>
          <w:rFonts w:ascii="Arial" w:eastAsia="Times New Roman" w:hAnsi="Arial" w:cs="Arial"/>
          <w:color w:val="000000"/>
          <w:sz w:val="20"/>
          <w:szCs w:val="20"/>
          <w:shd w:val="clear" w:color="auto" w:fill="FFFFFF"/>
        </w:rPr>
        <w:t xml:space="preserve"> MP, </w:t>
      </w:r>
      <w:proofErr w:type="spellStart"/>
      <w:r w:rsidR="00627850" w:rsidRPr="007007DF">
        <w:rPr>
          <w:rFonts w:ascii="Arial" w:eastAsia="Times New Roman" w:hAnsi="Arial" w:cs="Arial"/>
          <w:color w:val="000000"/>
          <w:sz w:val="20"/>
          <w:szCs w:val="20"/>
          <w:shd w:val="clear" w:color="auto" w:fill="FFFFFF"/>
        </w:rPr>
        <w:t>Dey</w:t>
      </w:r>
      <w:proofErr w:type="spellEnd"/>
      <w:r w:rsidR="00627850" w:rsidRPr="007007DF">
        <w:rPr>
          <w:rFonts w:ascii="Arial" w:eastAsia="Times New Roman" w:hAnsi="Arial" w:cs="Arial"/>
          <w:color w:val="000000"/>
          <w:sz w:val="20"/>
          <w:szCs w:val="20"/>
          <w:shd w:val="clear" w:color="auto" w:fill="FFFFFF"/>
        </w:rPr>
        <w:t xml:space="preserve"> A, Alam M, Manna B,</w:t>
      </w:r>
      <w:r w:rsidR="00627850" w:rsidRPr="00A906C8">
        <w:rPr>
          <w:rFonts w:ascii="Arial" w:eastAsia="Times New Roman" w:hAnsi="Arial" w:cs="Arial"/>
          <w:color w:val="000000"/>
          <w:sz w:val="20"/>
          <w:szCs w:val="20"/>
          <w:shd w:val="clear" w:color="auto" w:fill="FFFFFF"/>
        </w:rPr>
        <w:t xml:space="preserve"> </w:t>
      </w:r>
      <w:proofErr w:type="spellStart"/>
      <w:r w:rsidR="00627850" w:rsidRPr="00A906C8">
        <w:rPr>
          <w:rFonts w:ascii="Arial" w:eastAsia="Times New Roman" w:hAnsi="Arial" w:cs="Arial"/>
          <w:color w:val="000000"/>
          <w:sz w:val="20"/>
          <w:szCs w:val="20"/>
          <w:shd w:val="clear" w:color="auto" w:fill="FFFFFF"/>
        </w:rPr>
        <w:t>Nandy</w:t>
      </w:r>
      <w:proofErr w:type="spellEnd"/>
      <w:r w:rsidR="00627850" w:rsidRPr="00A906C8">
        <w:rPr>
          <w:rFonts w:ascii="Arial" w:eastAsia="Times New Roman" w:hAnsi="Arial" w:cs="Arial"/>
          <w:color w:val="000000"/>
          <w:sz w:val="20"/>
          <w:szCs w:val="20"/>
          <w:shd w:val="clear" w:color="auto" w:fill="FFFFFF"/>
        </w:rPr>
        <w:t xml:space="preserve"> RK, Kim DR, Paul DK, Choudhury S, Sahoo S, Harris WS, </w:t>
      </w:r>
      <w:proofErr w:type="spellStart"/>
      <w:r w:rsidR="00627850" w:rsidRPr="00A906C8">
        <w:rPr>
          <w:rFonts w:ascii="Arial" w:eastAsia="Times New Roman" w:hAnsi="Arial" w:cs="Arial"/>
          <w:color w:val="000000"/>
          <w:sz w:val="20"/>
          <w:szCs w:val="20"/>
          <w:shd w:val="clear" w:color="auto" w:fill="FFFFFF"/>
        </w:rPr>
        <w:t>Wierzba</w:t>
      </w:r>
      <w:proofErr w:type="spellEnd"/>
      <w:r w:rsidR="00627850" w:rsidRPr="00A906C8">
        <w:rPr>
          <w:rFonts w:ascii="Arial" w:eastAsia="Times New Roman" w:hAnsi="Arial" w:cs="Arial"/>
          <w:color w:val="000000"/>
          <w:sz w:val="20"/>
          <w:szCs w:val="20"/>
          <w:shd w:val="clear" w:color="auto" w:fill="FFFFFF"/>
        </w:rPr>
        <w:t xml:space="preserve"> TF, Ahmed T, Kirkpatrick BD, Haque R, </w:t>
      </w:r>
      <w:r w:rsidR="00627850" w:rsidRPr="00A906C8">
        <w:rPr>
          <w:rFonts w:ascii="Arial" w:eastAsia="Times New Roman" w:hAnsi="Arial" w:cs="Arial"/>
          <w:bCs/>
          <w:color w:val="000000"/>
          <w:sz w:val="20"/>
          <w:szCs w:val="20"/>
        </w:rPr>
        <w:t>Petri WA</w:t>
      </w:r>
      <w:r w:rsidR="00627850" w:rsidRPr="00A906C8">
        <w:rPr>
          <w:rFonts w:ascii="Arial" w:eastAsia="Times New Roman" w:hAnsi="Arial" w:cs="Arial"/>
          <w:color w:val="000000"/>
          <w:sz w:val="20"/>
          <w:szCs w:val="20"/>
          <w:shd w:val="clear" w:color="auto" w:fill="FFFFFF"/>
        </w:rPr>
        <w:t xml:space="preserve"> Jr, Mychaleckyj JC. </w:t>
      </w:r>
      <w:r w:rsidR="00627850" w:rsidRPr="001771DF">
        <w:rPr>
          <w:rFonts w:ascii="Arial" w:eastAsia="Times New Roman" w:hAnsi="Arial" w:cs="Arial"/>
          <w:color w:val="000000"/>
          <w:sz w:val="20"/>
          <w:szCs w:val="20"/>
          <w:u w:val="single"/>
          <w:shd w:val="clear" w:color="auto" w:fill="FFFFFF"/>
        </w:rPr>
        <w:t>Influence of maternal and socioeconomic factors on breast milk fatty acid composition in urban, low-income families</w:t>
      </w:r>
      <w:r w:rsidR="00627850" w:rsidRPr="00A906C8">
        <w:rPr>
          <w:rFonts w:ascii="Arial" w:eastAsia="Times New Roman" w:hAnsi="Arial" w:cs="Arial"/>
          <w:color w:val="000000"/>
          <w:sz w:val="20"/>
          <w:szCs w:val="20"/>
          <w:shd w:val="clear" w:color="auto" w:fill="FFFFFF"/>
        </w:rPr>
        <w:t>.</w:t>
      </w:r>
      <w:r w:rsidR="00627850" w:rsidRPr="00A906C8">
        <w:rPr>
          <w:sz w:val="20"/>
          <w:szCs w:val="20"/>
        </w:rPr>
        <w:t xml:space="preserve"> </w:t>
      </w:r>
      <w:proofErr w:type="spellStart"/>
      <w:r w:rsidR="00627850" w:rsidRPr="00A906C8">
        <w:rPr>
          <w:rFonts w:ascii="Arial" w:eastAsia="Times New Roman" w:hAnsi="Arial" w:cs="Arial"/>
          <w:color w:val="000000"/>
          <w:sz w:val="20"/>
          <w:szCs w:val="20"/>
          <w:shd w:val="clear" w:color="auto" w:fill="FFFFFF"/>
        </w:rPr>
        <w:t>Matern</w:t>
      </w:r>
      <w:proofErr w:type="spellEnd"/>
      <w:r w:rsidR="00627850" w:rsidRPr="00A906C8">
        <w:rPr>
          <w:rFonts w:ascii="Arial" w:eastAsia="Times New Roman" w:hAnsi="Arial" w:cs="Arial"/>
          <w:color w:val="000000"/>
          <w:sz w:val="20"/>
          <w:szCs w:val="20"/>
          <w:shd w:val="clear" w:color="auto" w:fill="FFFFFF"/>
        </w:rPr>
        <w:t xml:space="preserve"> Child </w:t>
      </w:r>
      <w:proofErr w:type="spellStart"/>
      <w:r w:rsidR="00627850" w:rsidRPr="00A906C8">
        <w:rPr>
          <w:rFonts w:ascii="Arial" w:eastAsia="Times New Roman" w:hAnsi="Arial" w:cs="Arial"/>
          <w:color w:val="000000"/>
          <w:sz w:val="20"/>
          <w:szCs w:val="20"/>
          <w:shd w:val="clear" w:color="auto" w:fill="FFFFFF"/>
        </w:rPr>
        <w:t>Nutr</w:t>
      </w:r>
      <w:proofErr w:type="spellEnd"/>
      <w:r w:rsidR="00627850" w:rsidRPr="00A906C8">
        <w:rPr>
          <w:rFonts w:ascii="Arial" w:eastAsia="Times New Roman" w:hAnsi="Arial" w:cs="Arial"/>
          <w:color w:val="000000"/>
          <w:sz w:val="20"/>
          <w:szCs w:val="20"/>
          <w:shd w:val="clear" w:color="auto" w:fill="FFFFFF"/>
        </w:rPr>
        <w:t xml:space="preserve">. 2017 Oct;13(4). </w:t>
      </w:r>
      <w:proofErr w:type="spellStart"/>
      <w:r w:rsidR="00627850" w:rsidRPr="00A906C8">
        <w:rPr>
          <w:rFonts w:ascii="Arial" w:eastAsia="Times New Roman" w:hAnsi="Arial" w:cs="Arial"/>
          <w:color w:val="000000"/>
          <w:sz w:val="20"/>
          <w:szCs w:val="20"/>
          <w:shd w:val="clear" w:color="auto" w:fill="FFFFFF"/>
        </w:rPr>
        <w:t>doi</w:t>
      </w:r>
      <w:proofErr w:type="spellEnd"/>
      <w:r w:rsidR="00627850" w:rsidRPr="00A906C8">
        <w:rPr>
          <w:rFonts w:ascii="Arial" w:eastAsia="Times New Roman" w:hAnsi="Arial" w:cs="Arial"/>
          <w:color w:val="000000"/>
          <w:sz w:val="20"/>
          <w:szCs w:val="20"/>
          <w:shd w:val="clear" w:color="auto" w:fill="FFFFFF"/>
        </w:rPr>
        <w:t xml:space="preserve">: 10.1111/mcn.12423. </w:t>
      </w:r>
      <w:proofErr w:type="spellStart"/>
      <w:r w:rsidR="00627850" w:rsidRPr="00A906C8">
        <w:rPr>
          <w:rFonts w:ascii="Arial" w:eastAsia="Times New Roman" w:hAnsi="Arial" w:cs="Arial"/>
          <w:color w:val="000000"/>
          <w:sz w:val="20"/>
          <w:szCs w:val="20"/>
          <w:shd w:val="clear" w:color="auto" w:fill="FFFFFF"/>
        </w:rPr>
        <w:t>Epub</w:t>
      </w:r>
      <w:proofErr w:type="spellEnd"/>
      <w:r w:rsidR="00627850" w:rsidRPr="00A906C8">
        <w:rPr>
          <w:rFonts w:ascii="Arial" w:eastAsia="Times New Roman" w:hAnsi="Arial" w:cs="Arial"/>
          <w:color w:val="000000"/>
          <w:sz w:val="20"/>
          <w:szCs w:val="20"/>
          <w:shd w:val="clear" w:color="auto" w:fill="FFFFFF"/>
        </w:rPr>
        <w:t xml:space="preserve"> 2017 Feb 15.</w:t>
      </w:r>
      <w:r w:rsidR="007007DF">
        <w:rPr>
          <w:rFonts w:ascii="Arial" w:eastAsia="Times New Roman" w:hAnsi="Arial" w:cs="Arial"/>
          <w:color w:val="000000"/>
          <w:sz w:val="20"/>
          <w:szCs w:val="20"/>
          <w:shd w:val="clear" w:color="auto" w:fill="FFFFFF"/>
        </w:rPr>
        <w:t xml:space="preserve"> </w:t>
      </w:r>
      <w:r w:rsidR="00627850" w:rsidRPr="00A906C8">
        <w:rPr>
          <w:rFonts w:ascii="Arial" w:eastAsia="Times New Roman" w:hAnsi="Arial" w:cs="Arial"/>
          <w:color w:val="000000"/>
          <w:sz w:val="20"/>
          <w:szCs w:val="20"/>
          <w:shd w:val="clear" w:color="auto" w:fill="FFFFFF"/>
        </w:rPr>
        <w:t>PMID: 28198164</w:t>
      </w:r>
      <w:r w:rsidR="00627850">
        <w:rPr>
          <w:rFonts w:ascii="Arial" w:eastAsia="Times New Roman" w:hAnsi="Arial" w:cs="Arial"/>
          <w:color w:val="000000"/>
          <w:sz w:val="20"/>
          <w:szCs w:val="20"/>
          <w:shd w:val="clear" w:color="auto" w:fill="FFFFFF"/>
        </w:rPr>
        <w:t>.</w:t>
      </w:r>
      <w:r w:rsidR="00627850" w:rsidRPr="00A906C8">
        <w:rPr>
          <w:rFonts w:ascii="Arial" w:eastAsia="Times New Roman" w:hAnsi="Arial" w:cs="Arial"/>
          <w:color w:val="000000"/>
          <w:sz w:val="20"/>
          <w:szCs w:val="20"/>
          <w:shd w:val="clear" w:color="auto" w:fill="FFFFFF"/>
        </w:rPr>
        <w:t xml:space="preserve"> </w:t>
      </w:r>
      <w:r w:rsidR="00627850" w:rsidRPr="00164235">
        <w:rPr>
          <w:rFonts w:ascii="Arial" w:eastAsia="Times New Roman" w:hAnsi="Arial" w:cs="Arial"/>
          <w:i/>
          <w:color w:val="000000"/>
          <w:sz w:val="20"/>
          <w:szCs w:val="20"/>
          <w:shd w:val="clear" w:color="auto" w:fill="FFFFFF"/>
        </w:rPr>
        <w:t>Socioeconomic factors of maternal education and household prosperity were associated with breast milk lipid composition, indicating a potential area for nutritional intervention for infant nutrition by supplementing the diet of mothers.</w:t>
      </w:r>
    </w:p>
    <w:p w14:paraId="774C8683" w14:textId="6280C72E" w:rsidR="00D66E99" w:rsidRDefault="0060754E" w:rsidP="00D66E99">
      <w:pPr>
        <w:tabs>
          <w:tab w:val="left" w:pos="360"/>
          <w:tab w:val="num" w:pos="540"/>
        </w:tabs>
        <w:spacing w:after="120"/>
        <w:rPr>
          <w:rFonts w:ascii="Arial" w:eastAsia="Times New Roman" w:hAnsi="Arial" w:cs="Arial"/>
          <w:color w:val="000000"/>
          <w:sz w:val="20"/>
          <w:szCs w:val="20"/>
          <w:highlight w:val="yellow"/>
          <w:shd w:val="clear" w:color="auto" w:fill="FFFFFF"/>
        </w:rPr>
      </w:pPr>
      <w:r>
        <w:rPr>
          <w:rFonts w:ascii="Arial" w:eastAsia="Times New Roman" w:hAnsi="Arial" w:cs="Arial"/>
          <w:color w:val="000000"/>
          <w:sz w:val="20"/>
          <w:szCs w:val="20"/>
          <w:shd w:val="clear" w:color="auto" w:fill="FFFFFF"/>
        </w:rPr>
        <w:t xml:space="preserve">20. </w:t>
      </w:r>
      <w:r w:rsidR="00D66E99" w:rsidRPr="00E76A85">
        <w:rPr>
          <w:rFonts w:ascii="Arial" w:eastAsia="Times New Roman" w:hAnsi="Arial" w:cs="Arial"/>
          <w:color w:val="000000"/>
          <w:sz w:val="20"/>
          <w:szCs w:val="20"/>
          <w:shd w:val="clear" w:color="auto" w:fill="FFFFFF"/>
        </w:rPr>
        <w:t xml:space="preserve">Donowitz JR, Cook H, Alam M, Tofail F, Kabir M, Colgate ER, </w:t>
      </w:r>
      <w:proofErr w:type="spellStart"/>
      <w:r w:rsidR="00D66E99" w:rsidRPr="00E76A85">
        <w:rPr>
          <w:rFonts w:ascii="Arial" w:eastAsia="Times New Roman" w:hAnsi="Arial" w:cs="Arial"/>
          <w:color w:val="000000"/>
          <w:sz w:val="20"/>
          <w:szCs w:val="20"/>
          <w:shd w:val="clear" w:color="auto" w:fill="FFFFFF"/>
        </w:rPr>
        <w:t>Carmolli</w:t>
      </w:r>
      <w:proofErr w:type="spellEnd"/>
      <w:r w:rsidR="00D66E99" w:rsidRPr="00E76A85">
        <w:rPr>
          <w:rFonts w:ascii="Arial" w:eastAsia="Times New Roman" w:hAnsi="Arial" w:cs="Arial"/>
          <w:color w:val="000000"/>
          <w:sz w:val="20"/>
          <w:szCs w:val="20"/>
          <w:shd w:val="clear" w:color="auto" w:fill="FFFFFF"/>
        </w:rPr>
        <w:t xml:space="preserve"> MP, Kirkpatrick BD, Nelson CA, Ma JZ, Haque R, Petri WA Jr. </w:t>
      </w:r>
      <w:r w:rsidR="00D66E99" w:rsidRPr="00E76A85">
        <w:rPr>
          <w:rFonts w:ascii="Arial" w:eastAsia="Times New Roman" w:hAnsi="Arial" w:cs="Arial"/>
          <w:color w:val="000000"/>
          <w:sz w:val="20"/>
          <w:szCs w:val="20"/>
          <w:u w:val="single"/>
          <w:shd w:val="clear" w:color="auto" w:fill="FFFFFF"/>
        </w:rPr>
        <w:t>Role of maternal health and infant inflammation in nutritional and neurodevelopmental outcomes of two-year-old Bangladeshi children</w:t>
      </w:r>
      <w:r w:rsidR="00D66E99" w:rsidRPr="00E76A85">
        <w:rPr>
          <w:rFonts w:ascii="Arial" w:eastAsia="Times New Roman" w:hAnsi="Arial" w:cs="Arial"/>
          <w:color w:val="000000"/>
          <w:sz w:val="20"/>
          <w:szCs w:val="20"/>
          <w:shd w:val="clear" w:color="auto" w:fill="FFFFFF"/>
        </w:rPr>
        <w:t xml:space="preserve">. </w:t>
      </w:r>
      <w:proofErr w:type="spellStart"/>
      <w:r w:rsidR="00D66E99" w:rsidRPr="00E76A85">
        <w:rPr>
          <w:rFonts w:ascii="Arial" w:eastAsia="Times New Roman" w:hAnsi="Arial" w:cs="Arial"/>
          <w:color w:val="000000"/>
          <w:sz w:val="20"/>
          <w:szCs w:val="20"/>
          <w:shd w:val="clear" w:color="auto" w:fill="FFFFFF"/>
        </w:rPr>
        <w:t>PLoS</w:t>
      </w:r>
      <w:proofErr w:type="spellEnd"/>
      <w:r w:rsidR="00D66E99" w:rsidRPr="00E76A85">
        <w:rPr>
          <w:rFonts w:ascii="Arial" w:eastAsia="Times New Roman" w:hAnsi="Arial" w:cs="Arial"/>
          <w:color w:val="000000"/>
          <w:sz w:val="20"/>
          <w:szCs w:val="20"/>
          <w:shd w:val="clear" w:color="auto" w:fill="FFFFFF"/>
        </w:rPr>
        <w:t xml:space="preserve"> </w:t>
      </w:r>
      <w:proofErr w:type="spellStart"/>
      <w:r w:rsidR="00D66E99" w:rsidRPr="00E76A85">
        <w:rPr>
          <w:rFonts w:ascii="Arial" w:eastAsia="Times New Roman" w:hAnsi="Arial" w:cs="Arial"/>
          <w:color w:val="000000"/>
          <w:sz w:val="20"/>
          <w:szCs w:val="20"/>
          <w:shd w:val="clear" w:color="auto" w:fill="FFFFFF"/>
        </w:rPr>
        <w:t>Negl</w:t>
      </w:r>
      <w:proofErr w:type="spellEnd"/>
      <w:r w:rsidR="00D66E99" w:rsidRPr="00E76A85">
        <w:rPr>
          <w:rFonts w:ascii="Arial" w:eastAsia="Times New Roman" w:hAnsi="Arial" w:cs="Arial"/>
          <w:color w:val="000000"/>
          <w:sz w:val="20"/>
          <w:szCs w:val="20"/>
          <w:shd w:val="clear" w:color="auto" w:fill="FFFFFF"/>
        </w:rPr>
        <w:t xml:space="preserve"> Trop Dis. 2018 May 29;12(5</w:t>
      </w:r>
      <w:proofErr w:type="gramStart"/>
      <w:r w:rsidR="00D66E99" w:rsidRPr="00E76A85">
        <w:rPr>
          <w:rFonts w:ascii="Arial" w:eastAsia="Times New Roman" w:hAnsi="Arial" w:cs="Arial"/>
          <w:color w:val="000000"/>
          <w:sz w:val="20"/>
          <w:szCs w:val="20"/>
          <w:shd w:val="clear" w:color="auto" w:fill="FFFFFF"/>
        </w:rPr>
        <w:t>):e</w:t>
      </w:r>
      <w:proofErr w:type="gramEnd"/>
      <w:r w:rsidR="00D66E99" w:rsidRPr="00E76A85">
        <w:rPr>
          <w:rFonts w:ascii="Arial" w:eastAsia="Times New Roman" w:hAnsi="Arial" w:cs="Arial"/>
          <w:color w:val="000000"/>
          <w:sz w:val="20"/>
          <w:szCs w:val="20"/>
          <w:shd w:val="clear" w:color="auto" w:fill="FFFFFF"/>
        </w:rPr>
        <w:t xml:space="preserve">0006363. </w:t>
      </w:r>
      <w:proofErr w:type="spellStart"/>
      <w:r w:rsidR="00D66E99" w:rsidRPr="00E76A85">
        <w:rPr>
          <w:rFonts w:ascii="Arial" w:eastAsia="Times New Roman" w:hAnsi="Arial" w:cs="Arial"/>
          <w:color w:val="000000"/>
          <w:sz w:val="20"/>
          <w:szCs w:val="20"/>
          <w:shd w:val="clear" w:color="auto" w:fill="FFFFFF"/>
        </w:rPr>
        <w:t>doi</w:t>
      </w:r>
      <w:proofErr w:type="spellEnd"/>
      <w:r w:rsidR="00D66E99" w:rsidRPr="00E76A85">
        <w:rPr>
          <w:rFonts w:ascii="Arial" w:eastAsia="Times New Roman" w:hAnsi="Arial" w:cs="Arial"/>
          <w:color w:val="000000"/>
          <w:sz w:val="20"/>
          <w:szCs w:val="20"/>
          <w:shd w:val="clear" w:color="auto" w:fill="FFFFFF"/>
        </w:rPr>
        <w:t xml:space="preserve">: 10.1371/journal.pntd.0006363. </w:t>
      </w:r>
      <w:proofErr w:type="spellStart"/>
      <w:r w:rsidR="00D66E99" w:rsidRPr="00E76A85">
        <w:rPr>
          <w:rFonts w:ascii="Arial" w:eastAsia="Times New Roman" w:hAnsi="Arial" w:cs="Arial"/>
          <w:color w:val="000000"/>
          <w:sz w:val="20"/>
          <w:szCs w:val="20"/>
          <w:shd w:val="clear" w:color="auto" w:fill="FFFFFF"/>
        </w:rPr>
        <w:t>eCollection</w:t>
      </w:r>
      <w:proofErr w:type="spellEnd"/>
      <w:r w:rsidR="00D66E99" w:rsidRPr="00E76A85">
        <w:rPr>
          <w:rFonts w:ascii="Arial" w:eastAsia="Times New Roman" w:hAnsi="Arial" w:cs="Arial"/>
          <w:color w:val="000000"/>
          <w:sz w:val="20"/>
          <w:szCs w:val="20"/>
          <w:shd w:val="clear" w:color="auto" w:fill="FFFFFF"/>
        </w:rPr>
        <w:t xml:space="preserve"> 2018 May.</w:t>
      </w:r>
      <w:r w:rsidR="009154A7">
        <w:rPr>
          <w:rFonts w:ascii="Arial" w:eastAsia="Times New Roman" w:hAnsi="Arial" w:cs="Arial"/>
          <w:color w:val="000000"/>
          <w:sz w:val="20"/>
          <w:szCs w:val="20"/>
          <w:shd w:val="clear" w:color="auto" w:fill="FFFFFF"/>
        </w:rPr>
        <w:t xml:space="preserve"> </w:t>
      </w:r>
      <w:r w:rsidR="00D66E99" w:rsidRPr="00E76A85">
        <w:rPr>
          <w:rFonts w:ascii="Arial" w:eastAsia="Times New Roman" w:hAnsi="Arial" w:cs="Arial"/>
          <w:color w:val="000000"/>
          <w:sz w:val="20"/>
          <w:szCs w:val="20"/>
          <w:shd w:val="clear" w:color="auto" w:fill="FFFFFF"/>
        </w:rPr>
        <w:t>PMID: 29813057</w:t>
      </w:r>
      <w:r w:rsidR="00E76A85">
        <w:rPr>
          <w:rFonts w:ascii="Arial" w:eastAsia="Times New Roman" w:hAnsi="Arial" w:cs="Arial"/>
          <w:color w:val="000000"/>
          <w:sz w:val="20"/>
          <w:szCs w:val="20"/>
          <w:shd w:val="clear" w:color="auto" w:fill="FFFFFF"/>
        </w:rPr>
        <w:t xml:space="preserve">. </w:t>
      </w:r>
      <w:r w:rsidR="00B42343" w:rsidRPr="00B42343">
        <w:rPr>
          <w:rFonts w:ascii="Arial" w:eastAsia="Times New Roman" w:hAnsi="Arial" w:cs="Arial"/>
          <w:i/>
          <w:color w:val="000000"/>
          <w:sz w:val="20"/>
          <w:szCs w:val="20"/>
          <w:shd w:val="clear" w:color="auto" w:fill="FFFFFF"/>
        </w:rPr>
        <w:t>Birth anthropometry and maternal weight were strong predictors of growth while enteric and systemic inflammation had stronger associations with neurodevelopment.  These data suggest that further study of stunting in low-income settings should include variables relating to maternal and prenatal health, while study targeting neurodevelopmental outcomes should additionally target causes of systemic and enteric inflammation.</w:t>
      </w:r>
    </w:p>
    <w:p w14:paraId="277DCB97" w14:textId="1DFF6B48" w:rsidR="00B42343" w:rsidRPr="00E76A85" w:rsidRDefault="00F568B5" w:rsidP="00D66E99">
      <w:pPr>
        <w:tabs>
          <w:tab w:val="left" w:pos="360"/>
          <w:tab w:val="num" w:pos="540"/>
        </w:tabs>
        <w:spacing w:after="120"/>
        <w:rPr>
          <w:rFonts w:ascii="Arial" w:eastAsia="Times New Roman" w:hAnsi="Arial" w:cs="Arial"/>
          <w:i/>
          <w:color w:val="000000"/>
          <w:sz w:val="20"/>
          <w:szCs w:val="20"/>
          <w:highlight w:val="yellow"/>
          <w:shd w:val="clear" w:color="auto" w:fill="FFFFFF"/>
        </w:rPr>
      </w:pPr>
      <w:r>
        <w:rPr>
          <w:rFonts w:ascii="Arial" w:eastAsia="Times New Roman" w:hAnsi="Arial" w:cs="Arial"/>
          <w:sz w:val="20"/>
          <w:szCs w:val="20"/>
          <w:shd w:val="clear" w:color="auto" w:fill="FFFFFF"/>
        </w:rPr>
        <w:t xml:space="preserve">21. </w:t>
      </w:r>
      <w:r w:rsidR="00B42343" w:rsidRPr="00E76A85">
        <w:rPr>
          <w:rFonts w:ascii="Arial" w:eastAsia="Times New Roman" w:hAnsi="Arial" w:cs="Arial"/>
          <w:sz w:val="20"/>
          <w:szCs w:val="20"/>
          <w:shd w:val="clear" w:color="auto" w:fill="FFFFFF"/>
        </w:rPr>
        <w:t xml:space="preserve">Schnee AE, Haque R, Taniuchi M, Uddin MJ, Petri WA Jr. </w:t>
      </w:r>
      <w:r w:rsidR="00B42343" w:rsidRPr="00D725C5">
        <w:rPr>
          <w:rFonts w:ascii="Arial" w:eastAsia="Times New Roman" w:hAnsi="Arial" w:cs="Arial"/>
          <w:sz w:val="20"/>
          <w:szCs w:val="20"/>
          <w:u w:val="single"/>
          <w:shd w:val="clear" w:color="auto" w:fill="FFFFFF"/>
        </w:rPr>
        <w:t xml:space="preserve">Evaluation of Two New Membrane-based and Microtiter Plate Enzyme-linked Immunosorbent Assays for the detection of Campylobacter </w:t>
      </w:r>
      <w:proofErr w:type="spellStart"/>
      <w:r w:rsidR="00B42343" w:rsidRPr="00D725C5">
        <w:rPr>
          <w:rFonts w:ascii="Arial" w:eastAsia="Times New Roman" w:hAnsi="Arial" w:cs="Arial"/>
          <w:sz w:val="20"/>
          <w:szCs w:val="20"/>
          <w:u w:val="single"/>
          <w:shd w:val="clear" w:color="auto" w:fill="FFFFFF"/>
        </w:rPr>
        <w:t>jejuni</w:t>
      </w:r>
      <w:proofErr w:type="spellEnd"/>
      <w:r w:rsidR="00B42343" w:rsidRPr="00D725C5">
        <w:rPr>
          <w:rFonts w:ascii="Arial" w:eastAsia="Times New Roman" w:hAnsi="Arial" w:cs="Arial"/>
          <w:sz w:val="20"/>
          <w:szCs w:val="20"/>
          <w:u w:val="single"/>
          <w:shd w:val="clear" w:color="auto" w:fill="FFFFFF"/>
        </w:rPr>
        <w:t xml:space="preserve"> in stool of Bangladeshi children</w:t>
      </w:r>
      <w:r w:rsidR="00B42343" w:rsidRPr="00E76A85">
        <w:rPr>
          <w:rFonts w:ascii="Arial" w:eastAsia="Times New Roman" w:hAnsi="Arial" w:cs="Arial"/>
          <w:sz w:val="20"/>
          <w:szCs w:val="20"/>
          <w:shd w:val="clear" w:color="auto" w:fill="FFFFFF"/>
        </w:rPr>
        <w:t xml:space="preserve">. J </w:t>
      </w:r>
      <w:proofErr w:type="spellStart"/>
      <w:r w:rsidR="00B42343" w:rsidRPr="00E76A85">
        <w:rPr>
          <w:rFonts w:ascii="Arial" w:eastAsia="Times New Roman" w:hAnsi="Arial" w:cs="Arial"/>
          <w:sz w:val="20"/>
          <w:szCs w:val="20"/>
          <w:shd w:val="clear" w:color="auto" w:fill="FFFFFF"/>
        </w:rPr>
        <w:t>Clin</w:t>
      </w:r>
      <w:proofErr w:type="spellEnd"/>
      <w:r w:rsidR="00B42343" w:rsidRPr="00E76A85">
        <w:rPr>
          <w:rFonts w:ascii="Arial" w:eastAsia="Times New Roman" w:hAnsi="Arial" w:cs="Arial"/>
          <w:sz w:val="20"/>
          <w:szCs w:val="20"/>
          <w:shd w:val="clear" w:color="auto" w:fill="FFFFFF"/>
        </w:rPr>
        <w:t xml:space="preserve"> </w:t>
      </w:r>
      <w:proofErr w:type="spellStart"/>
      <w:r w:rsidR="00B42343" w:rsidRPr="00E76A85">
        <w:rPr>
          <w:rFonts w:ascii="Arial" w:eastAsia="Times New Roman" w:hAnsi="Arial" w:cs="Arial"/>
          <w:sz w:val="20"/>
          <w:szCs w:val="20"/>
          <w:shd w:val="clear" w:color="auto" w:fill="FFFFFF"/>
        </w:rPr>
        <w:t>Microbiol</w:t>
      </w:r>
      <w:proofErr w:type="spellEnd"/>
      <w:r w:rsidR="00B42343" w:rsidRPr="00E76A85">
        <w:rPr>
          <w:rFonts w:ascii="Arial" w:eastAsia="Times New Roman" w:hAnsi="Arial" w:cs="Arial"/>
          <w:sz w:val="20"/>
          <w:szCs w:val="20"/>
          <w:shd w:val="clear" w:color="auto" w:fill="FFFFFF"/>
        </w:rPr>
        <w:t xml:space="preserve">. 2018 Jun 20. </w:t>
      </w:r>
      <w:proofErr w:type="spellStart"/>
      <w:r w:rsidR="00B42343" w:rsidRPr="00E76A85">
        <w:rPr>
          <w:rFonts w:ascii="Arial" w:eastAsia="Times New Roman" w:hAnsi="Arial" w:cs="Arial"/>
          <w:sz w:val="20"/>
          <w:szCs w:val="20"/>
          <w:shd w:val="clear" w:color="auto" w:fill="FFFFFF"/>
        </w:rPr>
        <w:t>pii</w:t>
      </w:r>
      <w:proofErr w:type="spellEnd"/>
      <w:r w:rsidR="00B42343" w:rsidRPr="00E76A85">
        <w:rPr>
          <w:rFonts w:ascii="Arial" w:eastAsia="Times New Roman" w:hAnsi="Arial" w:cs="Arial"/>
          <w:sz w:val="20"/>
          <w:szCs w:val="20"/>
          <w:shd w:val="clear" w:color="auto" w:fill="FFFFFF"/>
        </w:rPr>
        <w:t xml:space="preserve">: JCM.00702-18. </w:t>
      </w:r>
      <w:proofErr w:type="spellStart"/>
      <w:r w:rsidR="00B42343" w:rsidRPr="00E76A85">
        <w:rPr>
          <w:rFonts w:ascii="Arial" w:eastAsia="Times New Roman" w:hAnsi="Arial" w:cs="Arial"/>
          <w:sz w:val="20"/>
          <w:szCs w:val="20"/>
          <w:shd w:val="clear" w:color="auto" w:fill="FFFFFF"/>
        </w:rPr>
        <w:t>doi</w:t>
      </w:r>
      <w:proofErr w:type="spellEnd"/>
      <w:r w:rsidR="00B42343" w:rsidRPr="00E76A85">
        <w:rPr>
          <w:rFonts w:ascii="Arial" w:eastAsia="Times New Roman" w:hAnsi="Arial" w:cs="Arial"/>
          <w:sz w:val="20"/>
          <w:szCs w:val="20"/>
          <w:shd w:val="clear" w:color="auto" w:fill="FFFFFF"/>
        </w:rPr>
        <w:t>: 10.1128/JCM.00702-18. PMID: 29925645</w:t>
      </w:r>
      <w:r w:rsidR="00AF743D" w:rsidRPr="00E76A85">
        <w:rPr>
          <w:rFonts w:ascii="Arial" w:eastAsia="Times New Roman" w:hAnsi="Arial" w:cs="Arial"/>
          <w:sz w:val="20"/>
          <w:szCs w:val="20"/>
          <w:shd w:val="clear" w:color="auto" w:fill="FFFFFF"/>
        </w:rPr>
        <w:t>.</w:t>
      </w:r>
      <w:r w:rsidR="00AF743D" w:rsidRPr="00E76A85">
        <w:rPr>
          <w:rFonts w:ascii="Arial" w:eastAsia="Times New Roman" w:hAnsi="Arial" w:cs="Arial"/>
          <w:color w:val="000000"/>
          <w:sz w:val="20"/>
          <w:szCs w:val="20"/>
          <w:shd w:val="clear" w:color="auto" w:fill="FFFFFF"/>
        </w:rPr>
        <w:t xml:space="preserve"> </w:t>
      </w:r>
      <w:r w:rsidR="00AF743D" w:rsidRPr="00E76A85">
        <w:rPr>
          <w:rFonts w:ascii="Arial" w:eastAsia="Times New Roman" w:hAnsi="Arial" w:cs="Arial"/>
          <w:i/>
          <w:color w:val="000000"/>
          <w:sz w:val="20"/>
          <w:szCs w:val="20"/>
          <w:shd w:val="clear" w:color="auto" w:fill="FFFFFF"/>
        </w:rPr>
        <w:t xml:space="preserve">Two new monoclonal antibody-based, sandwich EIA assays for fecal antigen detection of Campylobacter </w:t>
      </w:r>
      <w:proofErr w:type="spellStart"/>
      <w:r w:rsidR="00AF743D" w:rsidRPr="00E76A85">
        <w:rPr>
          <w:rFonts w:ascii="Arial" w:eastAsia="Times New Roman" w:hAnsi="Arial" w:cs="Arial"/>
          <w:i/>
          <w:color w:val="000000"/>
          <w:sz w:val="20"/>
          <w:szCs w:val="20"/>
          <w:shd w:val="clear" w:color="auto" w:fill="FFFFFF"/>
        </w:rPr>
        <w:t>jejuni</w:t>
      </w:r>
      <w:proofErr w:type="spellEnd"/>
      <w:r w:rsidR="00AF743D" w:rsidRPr="00E76A85">
        <w:rPr>
          <w:rFonts w:ascii="Arial" w:eastAsia="Times New Roman" w:hAnsi="Arial" w:cs="Arial"/>
          <w:i/>
          <w:color w:val="000000"/>
          <w:sz w:val="20"/>
          <w:szCs w:val="20"/>
          <w:shd w:val="clear" w:color="auto" w:fill="FFFFFF"/>
        </w:rPr>
        <w:t xml:space="preserve"> or Campylobacter coli were evaluated using diarrheal stool specimens from a cohort of children in Bangladesh. The QUIK CHEK™ rapid EIA and the CHEK™ ELISA tests had a sensitivity of 95.7% (specificity 97% and 96%, respectively), supporting the</w:t>
      </w:r>
      <w:r w:rsidR="00D2168B">
        <w:rPr>
          <w:rFonts w:ascii="Arial" w:eastAsia="Times New Roman" w:hAnsi="Arial" w:cs="Arial"/>
          <w:i/>
          <w:color w:val="000000"/>
          <w:sz w:val="20"/>
          <w:szCs w:val="20"/>
          <w:shd w:val="clear" w:color="auto" w:fill="FFFFFF"/>
        </w:rPr>
        <w:t>ir</w:t>
      </w:r>
      <w:r w:rsidR="00AF743D" w:rsidRPr="00E76A85">
        <w:rPr>
          <w:rFonts w:ascii="Arial" w:eastAsia="Times New Roman" w:hAnsi="Arial" w:cs="Arial"/>
          <w:i/>
          <w:color w:val="000000"/>
          <w:sz w:val="20"/>
          <w:szCs w:val="20"/>
          <w:shd w:val="clear" w:color="auto" w:fill="FFFFFF"/>
        </w:rPr>
        <w:t xml:space="preserve"> usefulness in </w:t>
      </w:r>
      <w:r w:rsidR="00D2168B">
        <w:rPr>
          <w:rFonts w:ascii="Arial" w:eastAsia="Times New Roman" w:hAnsi="Arial" w:cs="Arial"/>
          <w:i/>
          <w:color w:val="000000"/>
          <w:sz w:val="20"/>
          <w:szCs w:val="20"/>
          <w:shd w:val="clear" w:color="auto" w:fill="FFFFFF"/>
        </w:rPr>
        <w:t>diagnosis of</w:t>
      </w:r>
      <w:r w:rsidR="00AF743D" w:rsidRPr="00E76A85">
        <w:rPr>
          <w:rFonts w:ascii="Arial" w:eastAsia="Times New Roman" w:hAnsi="Arial" w:cs="Arial"/>
          <w:i/>
          <w:color w:val="000000"/>
          <w:sz w:val="20"/>
          <w:szCs w:val="20"/>
          <w:shd w:val="clear" w:color="auto" w:fill="FFFFFF"/>
        </w:rPr>
        <w:t xml:space="preserve"> Campylobacter </w:t>
      </w:r>
      <w:r w:rsidR="00D2168B">
        <w:rPr>
          <w:rFonts w:ascii="Arial" w:eastAsia="Times New Roman" w:hAnsi="Arial" w:cs="Arial"/>
          <w:i/>
          <w:color w:val="000000"/>
          <w:sz w:val="20"/>
          <w:szCs w:val="20"/>
          <w:shd w:val="clear" w:color="auto" w:fill="FFFFFF"/>
        </w:rPr>
        <w:t>diarrhea</w:t>
      </w:r>
      <w:r w:rsidR="00AF743D" w:rsidRPr="00E76A85">
        <w:rPr>
          <w:rFonts w:ascii="Arial" w:eastAsia="Times New Roman" w:hAnsi="Arial" w:cs="Arial"/>
          <w:i/>
          <w:color w:val="000000"/>
          <w:sz w:val="20"/>
          <w:szCs w:val="20"/>
          <w:shd w:val="clear" w:color="auto" w:fill="FFFFFF"/>
        </w:rPr>
        <w:t>.</w:t>
      </w:r>
    </w:p>
    <w:p w14:paraId="20820C88" w14:textId="77B07C49" w:rsidR="00D66E99" w:rsidRPr="00EB2EFE" w:rsidRDefault="00F568B5" w:rsidP="00D66E99">
      <w:pPr>
        <w:tabs>
          <w:tab w:val="left" w:pos="360"/>
          <w:tab w:val="num" w:pos="540"/>
        </w:tabs>
        <w:spacing w:after="120"/>
        <w:rPr>
          <w:rFonts w:ascii="Arial" w:eastAsia="Times New Roman" w:hAnsi="Arial" w:cs="Arial"/>
          <w:color w:val="000000"/>
          <w:sz w:val="20"/>
          <w:szCs w:val="20"/>
          <w:highlight w:val="yellow"/>
          <w:shd w:val="clear" w:color="auto" w:fill="FFFFFF"/>
        </w:rPr>
      </w:pPr>
      <w:r w:rsidRPr="007007DF">
        <w:rPr>
          <w:rFonts w:ascii="Arial" w:eastAsia="Times New Roman" w:hAnsi="Arial" w:cs="Arial"/>
          <w:color w:val="000000"/>
          <w:sz w:val="20"/>
          <w:szCs w:val="20"/>
          <w:shd w:val="clear" w:color="auto" w:fill="FFFFFF"/>
        </w:rPr>
        <w:t xml:space="preserve">22. </w:t>
      </w:r>
      <w:r w:rsidR="00D66E99" w:rsidRPr="007007DF">
        <w:rPr>
          <w:rFonts w:ascii="Arial" w:eastAsia="Times New Roman" w:hAnsi="Arial" w:cs="Arial"/>
          <w:color w:val="000000"/>
          <w:sz w:val="20"/>
          <w:szCs w:val="20"/>
          <w:shd w:val="clear" w:color="auto" w:fill="FFFFFF"/>
        </w:rPr>
        <w:t xml:space="preserve">Schnee AE, Haque R, Taniuchi M, Uddin J, Alam M, Liu J, </w:t>
      </w:r>
      <w:proofErr w:type="spellStart"/>
      <w:r w:rsidR="00D66E99" w:rsidRPr="007007DF">
        <w:rPr>
          <w:rFonts w:ascii="Arial" w:eastAsia="Times New Roman" w:hAnsi="Arial" w:cs="Arial"/>
          <w:color w:val="000000"/>
          <w:sz w:val="20"/>
          <w:szCs w:val="20"/>
          <w:shd w:val="clear" w:color="auto" w:fill="FFFFFF"/>
        </w:rPr>
        <w:t>Rogawski</w:t>
      </w:r>
      <w:proofErr w:type="spellEnd"/>
      <w:r w:rsidR="00D66E99" w:rsidRPr="007007DF">
        <w:rPr>
          <w:rFonts w:ascii="Arial" w:eastAsia="Times New Roman" w:hAnsi="Arial" w:cs="Arial"/>
          <w:color w:val="000000"/>
          <w:sz w:val="20"/>
          <w:szCs w:val="20"/>
          <w:shd w:val="clear" w:color="auto" w:fill="FFFFFF"/>
        </w:rPr>
        <w:t xml:space="preserve"> ET, Kirkpatrick B, </w:t>
      </w:r>
      <w:proofErr w:type="spellStart"/>
      <w:r w:rsidR="00D66E99" w:rsidRPr="007007DF">
        <w:rPr>
          <w:rFonts w:ascii="Arial" w:eastAsia="Times New Roman" w:hAnsi="Arial" w:cs="Arial"/>
          <w:color w:val="000000"/>
          <w:sz w:val="20"/>
          <w:szCs w:val="20"/>
          <w:shd w:val="clear" w:color="auto" w:fill="FFFFFF"/>
        </w:rPr>
        <w:t>Houpt</w:t>
      </w:r>
      <w:proofErr w:type="spellEnd"/>
      <w:r w:rsidR="00D66E99" w:rsidRPr="00D2168B">
        <w:rPr>
          <w:rFonts w:ascii="Arial" w:eastAsia="Times New Roman" w:hAnsi="Arial" w:cs="Arial"/>
          <w:color w:val="000000"/>
          <w:sz w:val="20"/>
          <w:szCs w:val="20"/>
          <w:shd w:val="clear" w:color="auto" w:fill="FFFFFF"/>
        </w:rPr>
        <w:t xml:space="preserve"> ER, Petri WA Jr, Platts-Mills JA. </w:t>
      </w:r>
      <w:r w:rsidR="00D66E99" w:rsidRPr="00D2168B">
        <w:rPr>
          <w:rFonts w:ascii="Arial" w:eastAsia="Times New Roman" w:hAnsi="Arial" w:cs="Arial"/>
          <w:color w:val="000000"/>
          <w:sz w:val="20"/>
          <w:szCs w:val="20"/>
          <w:u w:val="single"/>
          <w:shd w:val="clear" w:color="auto" w:fill="FFFFFF"/>
        </w:rPr>
        <w:t>Identification of etiology-specific diarrhea associated with linear growth faltering in Bangladeshi infants</w:t>
      </w:r>
      <w:r w:rsidR="00D66E99" w:rsidRPr="00D2168B">
        <w:rPr>
          <w:rFonts w:ascii="Arial" w:eastAsia="Times New Roman" w:hAnsi="Arial" w:cs="Arial"/>
          <w:color w:val="000000"/>
          <w:sz w:val="20"/>
          <w:szCs w:val="20"/>
          <w:shd w:val="clear" w:color="auto" w:fill="FFFFFF"/>
        </w:rPr>
        <w:t xml:space="preserve">. Am J Epidemiol. 2018 May 15. </w:t>
      </w:r>
      <w:proofErr w:type="spellStart"/>
      <w:r w:rsidR="00D66E99" w:rsidRPr="00D2168B">
        <w:rPr>
          <w:rFonts w:ascii="Arial" w:eastAsia="Times New Roman" w:hAnsi="Arial" w:cs="Arial"/>
          <w:color w:val="000000"/>
          <w:sz w:val="20"/>
          <w:szCs w:val="20"/>
          <w:shd w:val="clear" w:color="auto" w:fill="FFFFFF"/>
        </w:rPr>
        <w:t>doi</w:t>
      </w:r>
      <w:proofErr w:type="spellEnd"/>
      <w:r w:rsidR="00D66E99" w:rsidRPr="00D2168B">
        <w:rPr>
          <w:rFonts w:ascii="Arial" w:eastAsia="Times New Roman" w:hAnsi="Arial" w:cs="Arial"/>
          <w:color w:val="000000"/>
          <w:sz w:val="20"/>
          <w:szCs w:val="20"/>
          <w:shd w:val="clear" w:color="auto" w:fill="FFFFFF"/>
        </w:rPr>
        <w:t>: 10.1093/</w:t>
      </w:r>
      <w:proofErr w:type="spellStart"/>
      <w:r w:rsidR="00D66E99" w:rsidRPr="00D2168B">
        <w:rPr>
          <w:rFonts w:ascii="Arial" w:eastAsia="Times New Roman" w:hAnsi="Arial" w:cs="Arial"/>
          <w:color w:val="000000"/>
          <w:sz w:val="20"/>
          <w:szCs w:val="20"/>
          <w:shd w:val="clear" w:color="auto" w:fill="FFFFFF"/>
        </w:rPr>
        <w:t>aje</w:t>
      </w:r>
      <w:proofErr w:type="spellEnd"/>
      <w:r w:rsidR="00D66E99" w:rsidRPr="00D2168B">
        <w:rPr>
          <w:rFonts w:ascii="Arial" w:eastAsia="Times New Roman" w:hAnsi="Arial" w:cs="Arial"/>
          <w:color w:val="000000"/>
          <w:sz w:val="20"/>
          <w:szCs w:val="20"/>
          <w:shd w:val="clear" w:color="auto" w:fill="FFFFFF"/>
        </w:rPr>
        <w:t>/kwy106. PMID: 29767678</w:t>
      </w:r>
      <w:r w:rsidR="00B42343" w:rsidRPr="00D2168B">
        <w:rPr>
          <w:rFonts w:ascii="Arial" w:eastAsia="Times New Roman" w:hAnsi="Arial" w:cs="Arial"/>
          <w:color w:val="000000"/>
          <w:sz w:val="20"/>
          <w:szCs w:val="20"/>
          <w:shd w:val="clear" w:color="auto" w:fill="FFFFFF"/>
        </w:rPr>
        <w:t xml:space="preserve">. </w:t>
      </w:r>
      <w:r w:rsidR="00B42343" w:rsidRPr="00B42343">
        <w:rPr>
          <w:rFonts w:ascii="Arial" w:eastAsia="Times New Roman" w:hAnsi="Arial" w:cs="Arial"/>
          <w:i/>
          <w:color w:val="000000"/>
          <w:sz w:val="20"/>
          <w:szCs w:val="20"/>
          <w:shd w:val="clear" w:color="auto" w:fill="FFFFFF"/>
        </w:rPr>
        <w:t>There was no relationship between all-cause d</w:t>
      </w:r>
      <w:r w:rsidR="00AF0638">
        <w:rPr>
          <w:rFonts w:ascii="Arial" w:eastAsia="Times New Roman" w:hAnsi="Arial" w:cs="Arial"/>
          <w:i/>
          <w:color w:val="000000"/>
          <w:sz w:val="20"/>
          <w:szCs w:val="20"/>
          <w:shd w:val="clear" w:color="auto" w:fill="FFFFFF"/>
        </w:rPr>
        <w:t xml:space="preserve">iarrhea and length at 12 months. However, Cryptosporidium, Campylobacter </w:t>
      </w:r>
      <w:proofErr w:type="spellStart"/>
      <w:r w:rsidR="00AF0638">
        <w:rPr>
          <w:rFonts w:ascii="Arial" w:eastAsia="Times New Roman" w:hAnsi="Arial" w:cs="Arial"/>
          <w:i/>
          <w:color w:val="000000"/>
          <w:sz w:val="20"/>
          <w:szCs w:val="20"/>
          <w:shd w:val="clear" w:color="auto" w:fill="FFFFFF"/>
        </w:rPr>
        <w:t>jejuni</w:t>
      </w:r>
      <w:proofErr w:type="spellEnd"/>
      <w:r w:rsidR="00AF0638">
        <w:rPr>
          <w:rFonts w:ascii="Arial" w:eastAsia="Times New Roman" w:hAnsi="Arial" w:cs="Arial"/>
          <w:i/>
          <w:color w:val="000000"/>
          <w:sz w:val="20"/>
          <w:szCs w:val="20"/>
          <w:shd w:val="clear" w:color="auto" w:fill="FFFFFF"/>
        </w:rPr>
        <w:t xml:space="preserve">/coli, </w:t>
      </w:r>
      <w:r w:rsidR="00B42343" w:rsidRPr="00B42343">
        <w:rPr>
          <w:rFonts w:ascii="Arial" w:eastAsia="Times New Roman" w:hAnsi="Arial" w:cs="Arial"/>
          <w:i/>
          <w:color w:val="000000"/>
          <w:sz w:val="20"/>
          <w:szCs w:val="20"/>
          <w:shd w:val="clear" w:color="auto" w:fill="FFFFFF"/>
        </w:rPr>
        <w:t>and Shigella/</w:t>
      </w:r>
      <w:proofErr w:type="spellStart"/>
      <w:r w:rsidR="00B42343" w:rsidRPr="00B42343">
        <w:rPr>
          <w:rFonts w:ascii="Arial" w:eastAsia="Times New Roman" w:hAnsi="Arial" w:cs="Arial"/>
          <w:i/>
          <w:color w:val="000000"/>
          <w:sz w:val="20"/>
          <w:szCs w:val="20"/>
          <w:shd w:val="clear" w:color="auto" w:fill="FFFFFF"/>
        </w:rPr>
        <w:t>enteroinvasive</w:t>
      </w:r>
      <w:proofErr w:type="spellEnd"/>
      <w:r w:rsidR="00B42343" w:rsidRPr="00B42343">
        <w:rPr>
          <w:rFonts w:ascii="Arial" w:eastAsia="Times New Roman" w:hAnsi="Arial" w:cs="Arial"/>
          <w:i/>
          <w:color w:val="000000"/>
          <w:sz w:val="20"/>
          <w:szCs w:val="20"/>
          <w:shd w:val="clear" w:color="auto" w:fill="FFFFFF"/>
        </w:rPr>
        <w:t xml:space="preserve"> E. coli (EIEC) diarrhea were associated with linear growth deficits. C. </w:t>
      </w:r>
      <w:proofErr w:type="spellStart"/>
      <w:r w:rsidR="00B42343" w:rsidRPr="00B42343">
        <w:rPr>
          <w:rFonts w:ascii="Arial" w:eastAsia="Times New Roman" w:hAnsi="Arial" w:cs="Arial"/>
          <w:i/>
          <w:color w:val="000000"/>
          <w:sz w:val="20"/>
          <w:szCs w:val="20"/>
          <w:shd w:val="clear" w:color="auto" w:fill="FFFFFF"/>
        </w:rPr>
        <w:t>jejuni</w:t>
      </w:r>
      <w:proofErr w:type="spellEnd"/>
      <w:r w:rsidR="00B42343" w:rsidRPr="00B42343">
        <w:rPr>
          <w:rFonts w:ascii="Arial" w:eastAsia="Times New Roman" w:hAnsi="Arial" w:cs="Arial"/>
          <w:i/>
          <w:color w:val="000000"/>
          <w:sz w:val="20"/>
          <w:szCs w:val="20"/>
          <w:shd w:val="clear" w:color="auto" w:fill="FFFFFF"/>
        </w:rPr>
        <w:t>/coli and Shigella/EIEC attributable diarrhea were associated with elevated CRP. These findings demonstrate that the relationship between diarrhea and linear growth is pathogen specific, reinforcing the need for pathogen-specific interventions.</w:t>
      </w:r>
    </w:p>
    <w:p w14:paraId="16B1A27E" w14:textId="3E357017" w:rsidR="00963EB5" w:rsidRPr="00D2168B" w:rsidRDefault="00F568B5" w:rsidP="00D66E99">
      <w:pPr>
        <w:tabs>
          <w:tab w:val="left" w:pos="360"/>
          <w:tab w:val="num" w:pos="540"/>
        </w:tabs>
        <w:spacing w:after="120"/>
        <w:rPr>
          <w:rFonts w:ascii="Arial" w:hAnsi="Arial" w:cs="Arial"/>
          <w:i/>
          <w:sz w:val="20"/>
          <w:szCs w:val="20"/>
        </w:rPr>
      </w:pPr>
      <w:r>
        <w:rPr>
          <w:rFonts w:ascii="Arial" w:hAnsi="Arial" w:cs="Arial"/>
          <w:sz w:val="20"/>
          <w:szCs w:val="20"/>
        </w:rPr>
        <w:t xml:space="preserve">23. </w:t>
      </w:r>
      <w:r w:rsidR="00D66E99" w:rsidRPr="00D2168B">
        <w:rPr>
          <w:rFonts w:ascii="Arial" w:hAnsi="Arial" w:cs="Arial"/>
          <w:sz w:val="20"/>
          <w:szCs w:val="20"/>
        </w:rPr>
        <w:t xml:space="preserve">Kumar M, </w:t>
      </w:r>
      <w:proofErr w:type="spellStart"/>
      <w:r w:rsidR="00D66E99" w:rsidRPr="00D2168B">
        <w:rPr>
          <w:rFonts w:ascii="Arial" w:hAnsi="Arial" w:cs="Arial"/>
          <w:sz w:val="20"/>
          <w:szCs w:val="20"/>
        </w:rPr>
        <w:t>Boyang</w:t>
      </w:r>
      <w:proofErr w:type="spellEnd"/>
      <w:r w:rsidR="00D66E99" w:rsidRPr="00D2168B">
        <w:rPr>
          <w:rFonts w:ascii="Arial" w:hAnsi="Arial" w:cs="Arial"/>
          <w:sz w:val="20"/>
          <w:szCs w:val="20"/>
        </w:rPr>
        <w:t xml:space="preserve"> J, </w:t>
      </w:r>
      <w:proofErr w:type="spellStart"/>
      <w:r w:rsidR="00D66E99" w:rsidRPr="00D2168B">
        <w:rPr>
          <w:rFonts w:ascii="Arial" w:hAnsi="Arial" w:cs="Arial"/>
          <w:sz w:val="20"/>
          <w:szCs w:val="20"/>
        </w:rPr>
        <w:t>Babaei</w:t>
      </w:r>
      <w:proofErr w:type="spellEnd"/>
      <w:r w:rsidR="00D66E99" w:rsidRPr="00D2168B">
        <w:rPr>
          <w:rFonts w:ascii="Arial" w:hAnsi="Arial" w:cs="Arial"/>
          <w:sz w:val="20"/>
          <w:szCs w:val="20"/>
        </w:rPr>
        <w:t xml:space="preserve"> P, Das P, </w:t>
      </w:r>
      <w:proofErr w:type="spellStart"/>
      <w:r w:rsidR="00D66E99" w:rsidRPr="00D2168B">
        <w:rPr>
          <w:rFonts w:ascii="Arial" w:hAnsi="Arial" w:cs="Arial"/>
          <w:sz w:val="20"/>
          <w:szCs w:val="20"/>
        </w:rPr>
        <w:t>Lappa</w:t>
      </w:r>
      <w:proofErr w:type="spellEnd"/>
      <w:r w:rsidR="00D66E99" w:rsidRPr="00D2168B">
        <w:rPr>
          <w:rFonts w:ascii="Arial" w:hAnsi="Arial" w:cs="Arial"/>
          <w:sz w:val="20"/>
          <w:szCs w:val="20"/>
        </w:rPr>
        <w:t xml:space="preserve"> D, Ramakrishnan G, Fox TE, Haque R, Petri WA, </w:t>
      </w:r>
      <w:proofErr w:type="spellStart"/>
      <w:r w:rsidR="00D66E99" w:rsidRPr="00D2168B">
        <w:rPr>
          <w:rFonts w:ascii="Arial" w:hAnsi="Arial" w:cs="Arial"/>
          <w:sz w:val="20"/>
          <w:szCs w:val="20"/>
        </w:rPr>
        <w:t>Bäckhed</w:t>
      </w:r>
      <w:proofErr w:type="spellEnd"/>
      <w:r w:rsidR="00D66E99" w:rsidRPr="00D2168B">
        <w:rPr>
          <w:rFonts w:ascii="Arial" w:hAnsi="Arial" w:cs="Arial"/>
          <w:sz w:val="20"/>
          <w:szCs w:val="20"/>
        </w:rPr>
        <w:t xml:space="preserve"> F, Nielsen J. </w:t>
      </w:r>
      <w:r w:rsidR="00D66E99" w:rsidRPr="00D2168B">
        <w:rPr>
          <w:rFonts w:ascii="Arial" w:hAnsi="Arial" w:cs="Arial"/>
          <w:sz w:val="20"/>
          <w:szCs w:val="20"/>
          <w:u w:val="single"/>
        </w:rPr>
        <w:t>Gut microbiota dysbiosis is associated with malnutrition and reduced plasma amino acid levels: Lessons from genome-scale metabolic modeling</w:t>
      </w:r>
      <w:r w:rsidR="00D66E99" w:rsidRPr="00D2168B">
        <w:rPr>
          <w:rFonts w:ascii="Arial" w:hAnsi="Arial" w:cs="Arial"/>
          <w:sz w:val="20"/>
          <w:szCs w:val="20"/>
        </w:rPr>
        <w:t xml:space="preserve">. </w:t>
      </w:r>
      <w:hyperlink r:id="rId6" w:tooltip="Metabolic engineering." w:history="1">
        <w:proofErr w:type="spellStart"/>
        <w:r w:rsidR="00920FC3" w:rsidRPr="00920FC3">
          <w:rPr>
            <w:rFonts w:ascii="Arial" w:hAnsi="Arial" w:cs="Arial"/>
            <w:sz w:val="20"/>
            <w:szCs w:val="20"/>
            <w:lang w:val="en"/>
          </w:rPr>
          <w:t>Metab</w:t>
        </w:r>
        <w:proofErr w:type="spellEnd"/>
        <w:r w:rsidR="00920FC3" w:rsidRPr="00920FC3">
          <w:rPr>
            <w:rFonts w:ascii="Arial" w:hAnsi="Arial" w:cs="Arial"/>
            <w:sz w:val="20"/>
            <w:szCs w:val="20"/>
            <w:lang w:val="en"/>
          </w:rPr>
          <w:t xml:space="preserve"> Eng.</w:t>
        </w:r>
      </w:hyperlink>
      <w:r w:rsidR="00920FC3">
        <w:rPr>
          <w:rFonts w:ascii="Arial" w:hAnsi="Arial" w:cs="Arial"/>
          <w:sz w:val="20"/>
          <w:szCs w:val="20"/>
          <w:lang w:val="en"/>
        </w:rPr>
        <w:t xml:space="preserve"> 2018 Sep;49:128-142</w:t>
      </w:r>
      <w:r w:rsidR="00D66E99" w:rsidRPr="00D2168B">
        <w:rPr>
          <w:rFonts w:ascii="Arial" w:hAnsi="Arial" w:cs="Arial"/>
          <w:sz w:val="20"/>
          <w:szCs w:val="20"/>
        </w:rPr>
        <w:t>.</w:t>
      </w:r>
      <w:r w:rsidR="00920FC3">
        <w:rPr>
          <w:rFonts w:ascii="Arial" w:hAnsi="Arial" w:cs="Arial"/>
          <w:sz w:val="20"/>
          <w:szCs w:val="20"/>
        </w:rPr>
        <w:t xml:space="preserve">  PMID: 30075203. </w:t>
      </w:r>
      <w:r w:rsidR="006B5D7B" w:rsidRPr="00D2168B">
        <w:rPr>
          <w:rFonts w:ascii="Arial" w:hAnsi="Arial" w:cs="Arial"/>
          <w:sz w:val="20"/>
          <w:szCs w:val="20"/>
        </w:rPr>
        <w:t xml:space="preserve"> </w:t>
      </w:r>
      <w:r w:rsidR="006B5D7B" w:rsidRPr="00D2168B">
        <w:rPr>
          <w:rFonts w:ascii="Arial" w:hAnsi="Arial" w:cs="Arial"/>
          <w:i/>
          <w:sz w:val="20"/>
          <w:szCs w:val="20"/>
        </w:rPr>
        <w:t>M</w:t>
      </w:r>
      <w:r w:rsidR="00534ACD" w:rsidRPr="00D2168B">
        <w:rPr>
          <w:rFonts w:ascii="Arial" w:hAnsi="Arial" w:cs="Arial"/>
          <w:i/>
          <w:sz w:val="20"/>
          <w:szCs w:val="20"/>
        </w:rPr>
        <w:t>athematical modeling</w:t>
      </w:r>
      <w:r w:rsidR="006B5D7B" w:rsidRPr="00D2168B">
        <w:rPr>
          <w:rFonts w:ascii="Arial" w:hAnsi="Arial" w:cs="Arial"/>
          <w:i/>
          <w:sz w:val="20"/>
          <w:szCs w:val="20"/>
        </w:rPr>
        <w:t xml:space="preserve"> of the metabolic capabilities of the gut microbiome from malnourished </w:t>
      </w:r>
      <w:r w:rsidR="00534ACD" w:rsidRPr="00D2168B">
        <w:rPr>
          <w:rFonts w:ascii="Arial" w:hAnsi="Arial" w:cs="Arial"/>
          <w:i/>
          <w:sz w:val="20"/>
          <w:szCs w:val="20"/>
        </w:rPr>
        <w:t>vs</w:t>
      </w:r>
      <w:r w:rsidR="006B5D7B" w:rsidRPr="00D2168B">
        <w:rPr>
          <w:rFonts w:ascii="Arial" w:hAnsi="Arial" w:cs="Arial"/>
          <w:i/>
          <w:sz w:val="20"/>
          <w:szCs w:val="20"/>
        </w:rPr>
        <w:t xml:space="preserve"> healthy children</w:t>
      </w:r>
      <w:r w:rsidR="00534ACD" w:rsidRPr="00D2168B">
        <w:rPr>
          <w:rFonts w:ascii="Arial" w:hAnsi="Arial" w:cs="Arial"/>
          <w:i/>
          <w:sz w:val="20"/>
          <w:szCs w:val="20"/>
        </w:rPr>
        <w:t xml:space="preserve"> in Bangladesh and Malawi demonstrated a reduced capacity for the synthesis of essential amino acids. Targeted plasma metabolic profiling of 25 healthy and 25 malnourished children over the first two years of life confirmed that stunted children had reduced plasma levels of essential amino acids. These analyses provide a framework towards understanding the contribution of the microbiome to malnutrition.</w:t>
      </w:r>
    </w:p>
    <w:p w14:paraId="44FC6D11" w14:textId="191F74A6" w:rsidR="00AF743D" w:rsidRPr="00AF743D" w:rsidRDefault="00F568B5" w:rsidP="004724BC">
      <w:pPr>
        <w:tabs>
          <w:tab w:val="left" w:pos="360"/>
          <w:tab w:val="num" w:pos="540"/>
        </w:tabs>
        <w:spacing w:after="120"/>
        <w:rPr>
          <w:rFonts w:ascii="Arial" w:eastAsia="Times New Roman" w:hAnsi="Arial" w:cs="Arial"/>
          <w:color w:val="000000"/>
          <w:sz w:val="20"/>
          <w:szCs w:val="20"/>
        </w:rPr>
      </w:pPr>
      <w:r>
        <w:rPr>
          <w:rFonts w:ascii="Arial" w:hAnsi="Arial" w:cs="Arial"/>
          <w:sz w:val="20"/>
          <w:szCs w:val="20"/>
        </w:rPr>
        <w:t xml:space="preserve">24. </w:t>
      </w:r>
      <w:r w:rsidR="00963EB5" w:rsidRPr="009C18A6">
        <w:rPr>
          <w:rFonts w:ascii="Arial" w:hAnsi="Arial" w:cs="Arial"/>
          <w:sz w:val="20"/>
          <w:szCs w:val="20"/>
        </w:rPr>
        <w:t xml:space="preserve">Mychaleckyj JC, Nayak U, Colgate ER, Zhang D, </w:t>
      </w:r>
      <w:proofErr w:type="spellStart"/>
      <w:r w:rsidR="00963EB5" w:rsidRPr="009C18A6">
        <w:rPr>
          <w:rFonts w:ascii="Arial" w:hAnsi="Arial" w:cs="Arial"/>
          <w:sz w:val="20"/>
          <w:szCs w:val="20"/>
        </w:rPr>
        <w:t>Carstensen</w:t>
      </w:r>
      <w:proofErr w:type="spellEnd"/>
      <w:r w:rsidR="00963EB5" w:rsidRPr="009C18A6">
        <w:rPr>
          <w:rFonts w:ascii="Arial" w:hAnsi="Arial" w:cs="Arial"/>
          <w:sz w:val="20"/>
          <w:szCs w:val="20"/>
        </w:rPr>
        <w:t xml:space="preserve"> T, Ahmed S, Ahmed T, Mentzer AJ, Alam M, Kirkpatrick BD, Haque R, Faruque ASG, Petri WA Jr. </w:t>
      </w:r>
      <w:r w:rsidR="00963EB5" w:rsidRPr="009C18A6">
        <w:rPr>
          <w:rFonts w:ascii="Arial" w:hAnsi="Arial" w:cs="Arial"/>
          <w:sz w:val="20"/>
          <w:szCs w:val="20"/>
          <w:u w:val="single"/>
        </w:rPr>
        <w:t xml:space="preserve">Multiplex </w:t>
      </w:r>
      <w:proofErr w:type="spellStart"/>
      <w:r w:rsidR="00963EB5" w:rsidRPr="009C18A6">
        <w:rPr>
          <w:rFonts w:ascii="Arial" w:hAnsi="Arial" w:cs="Arial"/>
          <w:sz w:val="20"/>
          <w:szCs w:val="20"/>
          <w:u w:val="single"/>
        </w:rPr>
        <w:t>genomewide</w:t>
      </w:r>
      <w:proofErr w:type="spellEnd"/>
      <w:r w:rsidR="00963EB5" w:rsidRPr="009C18A6">
        <w:rPr>
          <w:rFonts w:ascii="Arial" w:hAnsi="Arial" w:cs="Arial"/>
          <w:sz w:val="20"/>
          <w:szCs w:val="20"/>
          <w:u w:val="single"/>
        </w:rPr>
        <w:t xml:space="preserve"> association analysis of breast milk fatty acid composition extends the phenotypic association and potential selection of FADS1 variants to arachidonic acid, a critical infant micronutrient</w:t>
      </w:r>
      <w:r w:rsidR="00963EB5" w:rsidRPr="009C18A6">
        <w:rPr>
          <w:rFonts w:ascii="Arial" w:hAnsi="Arial" w:cs="Arial"/>
          <w:sz w:val="20"/>
          <w:szCs w:val="20"/>
        </w:rPr>
        <w:t xml:space="preserve">. J Med Genet. 2018 Jul;55(7):459-468. </w:t>
      </w:r>
      <w:proofErr w:type="spellStart"/>
      <w:r w:rsidR="00963EB5" w:rsidRPr="009C18A6">
        <w:rPr>
          <w:rFonts w:ascii="Arial" w:hAnsi="Arial" w:cs="Arial"/>
          <w:sz w:val="20"/>
          <w:szCs w:val="20"/>
        </w:rPr>
        <w:t>doi</w:t>
      </w:r>
      <w:proofErr w:type="spellEnd"/>
      <w:r w:rsidR="00963EB5" w:rsidRPr="009C18A6">
        <w:rPr>
          <w:rFonts w:ascii="Arial" w:hAnsi="Arial" w:cs="Arial"/>
          <w:sz w:val="20"/>
          <w:szCs w:val="20"/>
        </w:rPr>
        <w:t>: 10.1136/jmedgenet-2017-105134. PMID: 29514873</w:t>
      </w:r>
      <w:r w:rsidR="00B8364A" w:rsidRPr="009C18A6">
        <w:rPr>
          <w:rFonts w:ascii="Arial" w:hAnsi="Arial" w:cs="Arial"/>
          <w:sz w:val="20"/>
          <w:szCs w:val="20"/>
        </w:rPr>
        <w:t xml:space="preserve"> </w:t>
      </w:r>
      <w:r w:rsidR="0013086E" w:rsidRPr="009C18A6">
        <w:rPr>
          <w:rFonts w:ascii="Arial" w:hAnsi="Arial" w:cs="Arial"/>
          <w:i/>
          <w:sz w:val="20"/>
          <w:szCs w:val="20"/>
        </w:rPr>
        <w:t>Arachidonic acid concentration in breast milk was influenced by genetic variation in the fatty acid desaturase genes at the FADS1/2/3</w:t>
      </w:r>
      <w:r w:rsidR="009C18A6" w:rsidRPr="009C18A6">
        <w:rPr>
          <w:rFonts w:ascii="Arial" w:hAnsi="Arial" w:cs="Arial"/>
          <w:i/>
          <w:sz w:val="20"/>
          <w:szCs w:val="20"/>
        </w:rPr>
        <w:t xml:space="preserve"> locus, potentially affecting infant growth or cognitio</w:t>
      </w:r>
      <w:r w:rsidR="004724BC">
        <w:rPr>
          <w:rFonts w:ascii="Arial" w:hAnsi="Arial" w:cs="Arial"/>
          <w:i/>
          <w:sz w:val="20"/>
          <w:szCs w:val="20"/>
        </w:rPr>
        <w:t>n.</w:t>
      </w:r>
    </w:p>
    <w:p w14:paraId="5C395EBD" w14:textId="557D7F4D" w:rsidR="00D66E99" w:rsidRPr="001771DF" w:rsidRDefault="00F568B5" w:rsidP="00D66E99">
      <w:pPr>
        <w:tabs>
          <w:tab w:val="left" w:pos="360"/>
          <w:tab w:val="num" w:pos="540"/>
        </w:tabs>
        <w:spacing w:after="120"/>
        <w:rPr>
          <w:rFonts w:ascii="Arial" w:hAnsi="Arial" w:cs="Arial"/>
          <w:sz w:val="20"/>
          <w:szCs w:val="20"/>
        </w:rPr>
      </w:pPr>
      <w:r>
        <w:rPr>
          <w:rFonts w:ascii="Arial" w:hAnsi="Arial" w:cs="Arial"/>
          <w:sz w:val="20"/>
          <w:szCs w:val="20"/>
        </w:rPr>
        <w:lastRenderedPageBreak/>
        <w:t xml:space="preserve">25. </w:t>
      </w:r>
      <w:r w:rsidR="00D66E99" w:rsidRPr="004724BC">
        <w:rPr>
          <w:rFonts w:ascii="Arial" w:hAnsi="Arial" w:cs="Arial"/>
          <w:sz w:val="20"/>
          <w:szCs w:val="20"/>
        </w:rPr>
        <w:t xml:space="preserve">Uchiyama R, Shetty SJ, Linford AS, Pray-Grant M, </w:t>
      </w:r>
      <w:proofErr w:type="spellStart"/>
      <w:r w:rsidR="00D66E99" w:rsidRPr="004724BC">
        <w:rPr>
          <w:rFonts w:ascii="Arial" w:hAnsi="Arial" w:cs="Arial"/>
          <w:sz w:val="20"/>
          <w:szCs w:val="20"/>
        </w:rPr>
        <w:t>Wagar</w:t>
      </w:r>
      <w:proofErr w:type="spellEnd"/>
      <w:r w:rsidR="00D66E99" w:rsidRPr="004724BC">
        <w:rPr>
          <w:rFonts w:ascii="Arial" w:hAnsi="Arial" w:cs="Arial"/>
          <w:sz w:val="20"/>
          <w:szCs w:val="20"/>
        </w:rPr>
        <w:t xml:space="preserve"> L, Davis M, Haque R, </w:t>
      </w:r>
      <w:proofErr w:type="spellStart"/>
      <w:r w:rsidR="00D66E99" w:rsidRPr="004724BC">
        <w:rPr>
          <w:rFonts w:ascii="Arial" w:hAnsi="Arial" w:cs="Arial"/>
          <w:sz w:val="20"/>
          <w:szCs w:val="20"/>
        </w:rPr>
        <w:t>Gaultier</w:t>
      </w:r>
      <w:proofErr w:type="spellEnd"/>
      <w:r w:rsidR="00D66E99" w:rsidRPr="004724BC">
        <w:rPr>
          <w:rFonts w:ascii="Arial" w:hAnsi="Arial" w:cs="Arial"/>
          <w:sz w:val="20"/>
          <w:szCs w:val="20"/>
        </w:rPr>
        <w:t xml:space="preserve"> A, Mayo MW, Grant PA, Petri WA Jr, </w:t>
      </w:r>
      <w:proofErr w:type="spellStart"/>
      <w:r w:rsidR="00D66E99" w:rsidRPr="004724BC">
        <w:rPr>
          <w:rFonts w:ascii="Arial" w:hAnsi="Arial" w:cs="Arial"/>
          <w:sz w:val="20"/>
          <w:szCs w:val="20"/>
        </w:rPr>
        <w:t>Bekiranov</w:t>
      </w:r>
      <w:proofErr w:type="spellEnd"/>
      <w:r w:rsidR="00D66E99" w:rsidRPr="004724BC">
        <w:rPr>
          <w:rFonts w:ascii="Arial" w:hAnsi="Arial" w:cs="Arial"/>
          <w:sz w:val="20"/>
          <w:szCs w:val="20"/>
        </w:rPr>
        <w:t xml:space="preserve"> S, and Auble DT.  </w:t>
      </w:r>
      <w:r w:rsidR="00D66E99" w:rsidRPr="004724BC">
        <w:rPr>
          <w:rFonts w:ascii="Arial" w:hAnsi="Arial" w:cs="Arial"/>
          <w:sz w:val="20"/>
          <w:szCs w:val="20"/>
          <w:u w:val="single"/>
        </w:rPr>
        <w:t>Histone methylation signature associated with undernutrition</w:t>
      </w:r>
      <w:r w:rsidR="00D66E99" w:rsidRPr="004724BC">
        <w:rPr>
          <w:rFonts w:ascii="Arial" w:hAnsi="Arial" w:cs="Arial"/>
          <w:sz w:val="20"/>
          <w:szCs w:val="20"/>
        </w:rPr>
        <w:t xml:space="preserve">. </w:t>
      </w:r>
      <w:r w:rsidR="00D66E99" w:rsidRPr="00D725C5">
        <w:rPr>
          <w:rFonts w:ascii="Arial" w:hAnsi="Arial" w:cs="Arial"/>
          <w:sz w:val="20"/>
          <w:szCs w:val="20"/>
        </w:rPr>
        <w:t xml:space="preserve"> </w:t>
      </w:r>
      <w:hyperlink r:id="rId7" w:tooltip="Proceedings of the National Academy of Sciences of the United States of America." w:history="1">
        <w:proofErr w:type="spellStart"/>
        <w:r w:rsidR="00D725C5" w:rsidRPr="00D725C5">
          <w:rPr>
            <w:rFonts w:ascii="Arial" w:hAnsi="Arial" w:cs="Arial"/>
            <w:sz w:val="20"/>
            <w:szCs w:val="20"/>
            <w:lang w:val="en"/>
          </w:rPr>
          <w:t>Proc</w:t>
        </w:r>
        <w:proofErr w:type="spellEnd"/>
        <w:r w:rsidR="00D725C5" w:rsidRPr="00D725C5">
          <w:rPr>
            <w:rFonts w:ascii="Arial" w:hAnsi="Arial" w:cs="Arial"/>
            <w:sz w:val="20"/>
            <w:szCs w:val="20"/>
            <w:lang w:val="en"/>
          </w:rPr>
          <w:t xml:space="preserve"> Natl </w:t>
        </w:r>
        <w:proofErr w:type="spellStart"/>
        <w:r w:rsidR="00D725C5" w:rsidRPr="00D725C5">
          <w:rPr>
            <w:rFonts w:ascii="Arial" w:hAnsi="Arial" w:cs="Arial"/>
            <w:sz w:val="20"/>
            <w:szCs w:val="20"/>
            <w:lang w:val="en"/>
          </w:rPr>
          <w:t>Acad</w:t>
        </w:r>
        <w:proofErr w:type="spellEnd"/>
        <w:r w:rsidR="00D725C5" w:rsidRPr="00D725C5">
          <w:rPr>
            <w:rFonts w:ascii="Arial" w:hAnsi="Arial" w:cs="Arial"/>
            <w:sz w:val="20"/>
            <w:szCs w:val="20"/>
            <w:lang w:val="en"/>
          </w:rPr>
          <w:t xml:space="preserve"> </w:t>
        </w:r>
        <w:proofErr w:type="spellStart"/>
        <w:r w:rsidR="00D725C5" w:rsidRPr="00D725C5">
          <w:rPr>
            <w:rFonts w:ascii="Arial" w:hAnsi="Arial" w:cs="Arial"/>
            <w:sz w:val="20"/>
            <w:szCs w:val="20"/>
            <w:lang w:val="en"/>
          </w:rPr>
          <w:t>Sci</w:t>
        </w:r>
        <w:proofErr w:type="spellEnd"/>
        <w:r w:rsidR="00D725C5" w:rsidRPr="00D725C5">
          <w:rPr>
            <w:rFonts w:ascii="Arial" w:hAnsi="Arial" w:cs="Arial"/>
            <w:sz w:val="20"/>
            <w:szCs w:val="20"/>
            <w:lang w:val="en"/>
          </w:rPr>
          <w:t xml:space="preserve"> U S A.</w:t>
        </w:r>
      </w:hyperlink>
      <w:r w:rsidR="00D725C5" w:rsidRPr="00D725C5">
        <w:rPr>
          <w:rFonts w:ascii="Arial" w:hAnsi="Arial" w:cs="Arial"/>
          <w:sz w:val="20"/>
          <w:szCs w:val="20"/>
          <w:lang w:val="en"/>
        </w:rPr>
        <w:t xml:space="preserve"> 2018 Nov 27;115(48):E11264-E11273. </w:t>
      </w:r>
      <w:proofErr w:type="spellStart"/>
      <w:r w:rsidR="00D725C5" w:rsidRPr="00D725C5">
        <w:rPr>
          <w:rFonts w:ascii="Arial" w:hAnsi="Arial" w:cs="Arial"/>
          <w:sz w:val="20"/>
          <w:szCs w:val="20"/>
          <w:lang w:val="en"/>
        </w:rPr>
        <w:t>doi</w:t>
      </w:r>
      <w:proofErr w:type="spellEnd"/>
      <w:r w:rsidR="00D725C5" w:rsidRPr="00D725C5">
        <w:rPr>
          <w:rFonts w:ascii="Arial" w:hAnsi="Arial" w:cs="Arial"/>
          <w:sz w:val="20"/>
          <w:szCs w:val="20"/>
          <w:lang w:val="en"/>
        </w:rPr>
        <w:t>: 10.1073/pnas.1722125115</w:t>
      </w:r>
      <w:r w:rsidR="00D66E99" w:rsidRPr="00D725C5">
        <w:rPr>
          <w:rFonts w:ascii="Arial" w:hAnsi="Arial" w:cs="Arial"/>
          <w:sz w:val="20"/>
          <w:szCs w:val="20"/>
        </w:rPr>
        <w:t>.</w:t>
      </w:r>
      <w:r w:rsidR="00A522FD" w:rsidRPr="00D725C5">
        <w:rPr>
          <w:rFonts w:ascii="Arial" w:hAnsi="Arial" w:cs="Arial"/>
          <w:sz w:val="20"/>
          <w:szCs w:val="20"/>
        </w:rPr>
        <w:t xml:space="preserve"> </w:t>
      </w:r>
      <w:r w:rsidR="00D725C5" w:rsidRPr="00D725C5">
        <w:rPr>
          <w:rFonts w:ascii="Arial" w:hAnsi="Arial" w:cs="Arial"/>
          <w:sz w:val="20"/>
          <w:szCs w:val="20"/>
        </w:rPr>
        <w:t xml:space="preserve">PMID: 30420518 </w:t>
      </w:r>
      <w:r w:rsidR="00A522FD" w:rsidRPr="0059362A">
        <w:rPr>
          <w:rFonts w:ascii="Arial" w:hAnsi="Arial" w:cs="Arial"/>
          <w:i/>
          <w:sz w:val="20"/>
          <w:szCs w:val="20"/>
        </w:rPr>
        <w:t>A pattern of chromatin modification in blood c</w:t>
      </w:r>
      <w:r w:rsidR="00AF0638">
        <w:rPr>
          <w:rFonts w:ascii="Arial" w:hAnsi="Arial" w:cs="Arial"/>
          <w:i/>
          <w:sz w:val="20"/>
          <w:szCs w:val="20"/>
        </w:rPr>
        <w:t>ells of stunted children emerged</w:t>
      </w:r>
      <w:r w:rsidR="00A522FD" w:rsidRPr="0059362A">
        <w:rPr>
          <w:rFonts w:ascii="Arial" w:hAnsi="Arial" w:cs="Arial"/>
          <w:i/>
          <w:sz w:val="20"/>
          <w:szCs w:val="20"/>
        </w:rPr>
        <w:t xml:space="preserve"> over time and involves a global decrease in methylation at canonical locations near gene start sites and increased methylation at ectopic sites throughout the genome.  </w:t>
      </w:r>
      <w:r w:rsidR="00AF0638">
        <w:rPr>
          <w:rFonts w:ascii="Arial" w:hAnsi="Arial" w:cs="Arial"/>
          <w:i/>
          <w:sz w:val="20"/>
          <w:szCs w:val="20"/>
        </w:rPr>
        <w:t xml:space="preserve"> </w:t>
      </w:r>
    </w:p>
    <w:p w14:paraId="41315DAD" w14:textId="77777777" w:rsidR="004724BC" w:rsidRDefault="004724BC" w:rsidP="001771DF">
      <w:pPr>
        <w:tabs>
          <w:tab w:val="left" w:pos="360"/>
        </w:tabs>
        <w:rPr>
          <w:rFonts w:ascii="Arial" w:hAnsi="Arial" w:cs="Arial"/>
          <w:b/>
          <w:sz w:val="20"/>
          <w:szCs w:val="20"/>
        </w:rPr>
      </w:pPr>
    </w:p>
    <w:p w14:paraId="58750568" w14:textId="6535B56B" w:rsidR="004724BC" w:rsidRPr="00786477" w:rsidRDefault="00F568B5" w:rsidP="001771DF">
      <w:pPr>
        <w:tabs>
          <w:tab w:val="left" w:pos="360"/>
        </w:tabs>
        <w:rPr>
          <w:rFonts w:ascii="Arial" w:hAnsi="Arial" w:cs="Arial"/>
          <w:b/>
          <w:sz w:val="20"/>
          <w:szCs w:val="20"/>
        </w:rPr>
      </w:pPr>
      <w:r>
        <w:rPr>
          <w:rFonts w:ascii="Arial" w:hAnsi="Arial" w:cs="Arial"/>
          <w:b/>
          <w:sz w:val="20"/>
          <w:szCs w:val="20"/>
        </w:rPr>
        <w:t>Neurocognitive Development</w:t>
      </w:r>
      <w:r w:rsidR="006A5DD8">
        <w:rPr>
          <w:rFonts w:ascii="Arial" w:hAnsi="Arial" w:cs="Arial"/>
          <w:b/>
          <w:sz w:val="20"/>
          <w:szCs w:val="20"/>
        </w:rPr>
        <w:t xml:space="preserve"> and EED</w:t>
      </w:r>
    </w:p>
    <w:p w14:paraId="3A83D402" w14:textId="08C02D5C" w:rsidR="006332ED" w:rsidRPr="004724BC" w:rsidRDefault="00F568B5" w:rsidP="00AF743D">
      <w:pPr>
        <w:widowControl w:val="0"/>
        <w:tabs>
          <w:tab w:val="left" w:pos="360"/>
        </w:tabs>
        <w:autoSpaceDE w:val="0"/>
        <w:autoSpaceDN w:val="0"/>
        <w:adjustRightInd w:val="0"/>
        <w:spacing w:after="120"/>
        <w:rPr>
          <w:rFonts w:ascii="Arial" w:hAnsi="Arial" w:cs="Arial"/>
          <w:i/>
          <w:color w:val="111111"/>
          <w:sz w:val="20"/>
          <w:szCs w:val="20"/>
        </w:rPr>
      </w:pPr>
      <w:r>
        <w:rPr>
          <w:rFonts w:ascii="Arial" w:hAnsi="Arial" w:cs="Arial"/>
          <w:sz w:val="20"/>
          <w:szCs w:val="20"/>
        </w:rPr>
        <w:t xml:space="preserve">26. </w:t>
      </w:r>
      <w:r w:rsidR="006332ED" w:rsidRPr="004A3817">
        <w:rPr>
          <w:rFonts w:ascii="Arial" w:hAnsi="Arial" w:cs="Arial"/>
          <w:sz w:val="20"/>
          <w:szCs w:val="20"/>
        </w:rPr>
        <w:t xml:space="preserve">Jiang NM, Tofail F, </w:t>
      </w:r>
      <w:proofErr w:type="spellStart"/>
      <w:r w:rsidR="006332ED" w:rsidRPr="004A3817">
        <w:rPr>
          <w:rFonts w:ascii="Arial" w:hAnsi="Arial" w:cs="Arial"/>
          <w:sz w:val="20"/>
          <w:szCs w:val="20"/>
        </w:rPr>
        <w:t>Moonah</w:t>
      </w:r>
      <w:proofErr w:type="spellEnd"/>
      <w:r w:rsidR="006332ED" w:rsidRPr="004A3817">
        <w:rPr>
          <w:rFonts w:ascii="Arial" w:hAnsi="Arial" w:cs="Arial"/>
          <w:sz w:val="20"/>
          <w:szCs w:val="20"/>
        </w:rPr>
        <w:t xml:space="preserve"> SN, Scharf RJ, Taniuchi M, Ma JZ, </w:t>
      </w:r>
      <w:proofErr w:type="spellStart"/>
      <w:r w:rsidR="006332ED" w:rsidRPr="004A3817">
        <w:rPr>
          <w:rFonts w:ascii="Arial" w:hAnsi="Arial" w:cs="Arial"/>
          <w:sz w:val="20"/>
          <w:szCs w:val="20"/>
        </w:rPr>
        <w:t>Hamadani</w:t>
      </w:r>
      <w:proofErr w:type="spellEnd"/>
      <w:r w:rsidR="006332ED" w:rsidRPr="004A3817">
        <w:rPr>
          <w:rFonts w:ascii="Arial" w:hAnsi="Arial" w:cs="Arial"/>
          <w:sz w:val="20"/>
          <w:szCs w:val="20"/>
        </w:rPr>
        <w:t xml:space="preserve"> JD, </w:t>
      </w:r>
      <w:proofErr w:type="spellStart"/>
      <w:r w:rsidR="006332ED" w:rsidRPr="004A3817">
        <w:rPr>
          <w:rFonts w:ascii="Arial" w:hAnsi="Arial" w:cs="Arial"/>
          <w:sz w:val="20"/>
          <w:szCs w:val="20"/>
        </w:rPr>
        <w:t>Houpt</w:t>
      </w:r>
      <w:proofErr w:type="spellEnd"/>
      <w:r w:rsidR="006332ED" w:rsidRPr="004A3817">
        <w:rPr>
          <w:rFonts w:ascii="Arial" w:hAnsi="Arial" w:cs="Arial"/>
          <w:sz w:val="20"/>
          <w:szCs w:val="20"/>
        </w:rPr>
        <w:t xml:space="preserve"> ER, </w:t>
      </w:r>
      <w:proofErr w:type="spellStart"/>
      <w:r w:rsidR="006332ED" w:rsidRPr="004A3817">
        <w:rPr>
          <w:rFonts w:ascii="Arial" w:hAnsi="Arial" w:cs="Arial"/>
          <w:sz w:val="20"/>
          <w:szCs w:val="20"/>
        </w:rPr>
        <w:t>Azziz</w:t>
      </w:r>
      <w:proofErr w:type="spellEnd"/>
      <w:r w:rsidR="006332ED" w:rsidRPr="004A3817">
        <w:rPr>
          <w:rFonts w:ascii="Arial" w:hAnsi="Arial" w:cs="Arial"/>
          <w:sz w:val="20"/>
          <w:szCs w:val="20"/>
        </w:rPr>
        <w:t xml:space="preserve">-Baumgartner E, Haque R, Petri WA Jr. </w:t>
      </w:r>
      <w:r w:rsidR="006332ED" w:rsidRPr="00106CF1">
        <w:rPr>
          <w:rFonts w:ascii="Arial" w:hAnsi="Arial" w:cs="Arial"/>
          <w:sz w:val="20"/>
          <w:szCs w:val="20"/>
          <w:u w:val="single"/>
        </w:rPr>
        <w:t>Febrile illness and pro-inflammatory cytokines are associated with lower neurodevelopmental scores in Bangladeshi infants living in poverty</w:t>
      </w:r>
      <w:r w:rsidR="00052904">
        <w:rPr>
          <w:rFonts w:ascii="Arial" w:hAnsi="Arial" w:cs="Arial"/>
          <w:sz w:val="20"/>
          <w:szCs w:val="20"/>
        </w:rPr>
        <w:t xml:space="preserve">.  BMC Pediatrics </w:t>
      </w:r>
      <w:r w:rsidR="006332ED" w:rsidRPr="004A3817">
        <w:rPr>
          <w:rFonts w:ascii="Arial" w:hAnsi="Arial" w:cs="Arial"/>
          <w:sz w:val="20"/>
          <w:szCs w:val="20"/>
        </w:rPr>
        <w:t xml:space="preserve"> 14:50 DOI: 10.1186/1471-2431-14-50 URL: </w:t>
      </w:r>
      <w:hyperlink r:id="rId8" w:history="1">
        <w:r w:rsidR="006332ED" w:rsidRPr="00C85FBC">
          <w:rPr>
            <w:rFonts w:ascii="Arial" w:hAnsi="Arial" w:cs="Arial"/>
            <w:color w:val="0000E9"/>
            <w:sz w:val="20"/>
            <w:szCs w:val="20"/>
            <w:u w:val="single" w:color="0000E9"/>
          </w:rPr>
          <w:t>http://www.biomedcentral.com/1471-2431/14/50</w:t>
        </w:r>
      </w:hyperlink>
      <w:r w:rsidR="00052904" w:rsidRPr="00C85FBC">
        <w:rPr>
          <w:rFonts w:ascii="Arial" w:hAnsi="Arial" w:cs="Arial"/>
          <w:color w:val="0000E9"/>
          <w:sz w:val="20"/>
          <w:szCs w:val="20"/>
          <w:u w:val="single" w:color="0000E9"/>
        </w:rPr>
        <w:t xml:space="preserve">, </w:t>
      </w:r>
      <w:r w:rsidR="00052904" w:rsidRPr="00C85FBC">
        <w:rPr>
          <w:rFonts w:ascii="Arial" w:hAnsi="Arial" w:cs="Arial"/>
          <w:sz w:val="20"/>
          <w:szCs w:val="20"/>
        </w:rPr>
        <w:t>2014.</w:t>
      </w:r>
      <w:r w:rsidR="00C85FBC" w:rsidRPr="00C85FBC">
        <w:rPr>
          <w:rFonts w:ascii="Arial" w:hAnsi="Arial" w:cs="Arial"/>
          <w:sz w:val="20"/>
          <w:szCs w:val="20"/>
        </w:rPr>
        <w:t xml:space="preserve"> </w:t>
      </w:r>
      <w:r w:rsidR="00AF743D" w:rsidRPr="00AF743D">
        <w:rPr>
          <w:rFonts w:ascii="Arial" w:hAnsi="Arial" w:cs="Arial"/>
          <w:i/>
          <w:color w:val="111111"/>
          <w:sz w:val="20"/>
          <w:szCs w:val="20"/>
        </w:rPr>
        <w:t>Every additional 10 days of fever was associated with a 1.9 decrease in language composite score and a 2.1 de</w:t>
      </w:r>
      <w:r w:rsidR="0036651A">
        <w:rPr>
          <w:rFonts w:ascii="Arial" w:hAnsi="Arial" w:cs="Arial"/>
          <w:i/>
          <w:color w:val="111111"/>
          <w:sz w:val="20"/>
          <w:szCs w:val="20"/>
        </w:rPr>
        <w:t xml:space="preserve">crease in motor composite score. </w:t>
      </w:r>
      <w:r w:rsidR="00AF743D" w:rsidRPr="00AF743D">
        <w:rPr>
          <w:rFonts w:ascii="Arial" w:hAnsi="Arial" w:cs="Arial"/>
          <w:i/>
          <w:color w:val="111111"/>
          <w:sz w:val="20"/>
          <w:szCs w:val="20"/>
        </w:rPr>
        <w:t xml:space="preserve">Elevated levels of the pro-inflammatory </w:t>
      </w:r>
      <w:r w:rsidR="004724BC">
        <w:rPr>
          <w:rFonts w:ascii="Arial" w:hAnsi="Arial" w:cs="Arial"/>
          <w:i/>
          <w:color w:val="111111"/>
          <w:sz w:val="20"/>
          <w:szCs w:val="20"/>
        </w:rPr>
        <w:t>cytokines IL-1β and IL-6</w:t>
      </w:r>
      <w:r w:rsidR="00AF743D" w:rsidRPr="00AF743D">
        <w:rPr>
          <w:rFonts w:ascii="Arial" w:hAnsi="Arial" w:cs="Arial"/>
          <w:i/>
          <w:color w:val="111111"/>
          <w:sz w:val="20"/>
          <w:szCs w:val="20"/>
        </w:rPr>
        <w:t xml:space="preserve"> were significantly associated with a 4.9 and 4.3 decrease in motor score, respectively. Conversely, an elevated level of the Th-2 cytokine IL-4 was associated with a 3.6 increase in cognitive score (all p &lt; 0.05).</w:t>
      </w:r>
      <w:r w:rsidR="004724BC">
        <w:rPr>
          <w:rFonts w:ascii="Arial" w:hAnsi="Arial" w:cs="Arial"/>
          <w:i/>
          <w:color w:val="111111"/>
          <w:sz w:val="20"/>
          <w:szCs w:val="20"/>
        </w:rPr>
        <w:t xml:space="preserve"> </w:t>
      </w:r>
      <w:r w:rsidR="00AF743D" w:rsidRPr="00AF743D">
        <w:rPr>
          <w:rFonts w:ascii="Arial" w:hAnsi="Arial" w:cs="Arial"/>
          <w:i/>
          <w:color w:val="111111"/>
          <w:sz w:val="20"/>
          <w:szCs w:val="20"/>
        </w:rPr>
        <w:t>These findings suggest that markers of inflammation could serve as prognostic indicators and potentially lead to immune-based therapies to prevent developmental delays in at-risk children.</w:t>
      </w:r>
    </w:p>
    <w:p w14:paraId="4A4A3716" w14:textId="669A40CE" w:rsidR="00F568B5" w:rsidRPr="00C1224D" w:rsidRDefault="00F568B5" w:rsidP="00C1224D">
      <w:pPr>
        <w:tabs>
          <w:tab w:val="left" w:pos="360"/>
        </w:tabs>
        <w:spacing w:after="120"/>
        <w:rPr>
          <w:rFonts w:ascii="Arial" w:hAnsi="Arial" w:cs="Arial"/>
          <w:i/>
          <w:sz w:val="20"/>
          <w:szCs w:val="20"/>
        </w:rPr>
      </w:pPr>
      <w:r>
        <w:rPr>
          <w:rFonts w:ascii="Arial" w:hAnsi="Arial" w:cs="Arial"/>
          <w:sz w:val="20"/>
          <w:szCs w:val="20"/>
        </w:rPr>
        <w:t xml:space="preserve">27. </w:t>
      </w:r>
      <w:r w:rsidR="008D41FA" w:rsidRPr="008D41FA">
        <w:rPr>
          <w:rFonts w:ascii="Arial" w:hAnsi="Arial" w:cs="Arial"/>
          <w:sz w:val="20"/>
          <w:szCs w:val="20"/>
        </w:rPr>
        <w:t>Jiang NM, Tofail F, Ma JZ, Haque R, Kir</w:t>
      </w:r>
      <w:r w:rsidR="008D41FA">
        <w:rPr>
          <w:rFonts w:ascii="Arial" w:hAnsi="Arial" w:cs="Arial"/>
          <w:sz w:val="20"/>
          <w:szCs w:val="20"/>
        </w:rPr>
        <w:t>kpatrick B, Nelson CA, Petri WA</w:t>
      </w:r>
      <w:r w:rsidR="00AA6083" w:rsidRPr="004A3817">
        <w:rPr>
          <w:rFonts w:ascii="Arial" w:hAnsi="Arial" w:cs="Arial"/>
          <w:sz w:val="20"/>
          <w:szCs w:val="20"/>
        </w:rPr>
        <w:t xml:space="preserve">. </w:t>
      </w:r>
      <w:r w:rsidR="008D41FA" w:rsidRPr="008D41FA">
        <w:rPr>
          <w:rFonts w:ascii="Arial" w:hAnsi="Arial" w:cs="Arial"/>
          <w:sz w:val="20"/>
          <w:szCs w:val="20"/>
          <w:u w:val="single"/>
        </w:rPr>
        <w:t>Early Life Inflammation and Neurodevelopmental Outcome in Bangladeshi Infants Growing Up in Adversity.</w:t>
      </w:r>
      <w:r w:rsidR="008D41FA">
        <w:rPr>
          <w:rFonts w:ascii="Arial" w:hAnsi="Arial" w:cs="Arial"/>
          <w:sz w:val="20"/>
          <w:szCs w:val="20"/>
          <w:u w:val="single"/>
        </w:rPr>
        <w:t xml:space="preserve"> </w:t>
      </w:r>
      <w:r w:rsidR="008D41FA" w:rsidRPr="008D41FA">
        <w:rPr>
          <w:rFonts w:ascii="Arial" w:hAnsi="Arial" w:cs="Arial"/>
          <w:sz w:val="20"/>
          <w:szCs w:val="20"/>
        </w:rPr>
        <w:t xml:space="preserve">Am J Trop Med </w:t>
      </w:r>
      <w:proofErr w:type="spellStart"/>
      <w:r w:rsidR="008D41FA" w:rsidRPr="008D41FA">
        <w:rPr>
          <w:rFonts w:ascii="Arial" w:hAnsi="Arial" w:cs="Arial"/>
          <w:sz w:val="20"/>
          <w:szCs w:val="20"/>
        </w:rPr>
        <w:t>Hyg</w:t>
      </w:r>
      <w:proofErr w:type="spellEnd"/>
      <w:r w:rsidR="008D41FA" w:rsidRPr="008D41FA">
        <w:rPr>
          <w:rFonts w:ascii="Arial" w:hAnsi="Arial" w:cs="Arial"/>
          <w:sz w:val="20"/>
          <w:szCs w:val="20"/>
        </w:rPr>
        <w:t xml:space="preserve">. 2017 Sep;97(3):974-979. </w:t>
      </w:r>
      <w:proofErr w:type="spellStart"/>
      <w:r w:rsidR="008D41FA" w:rsidRPr="008D41FA">
        <w:rPr>
          <w:rFonts w:ascii="Arial" w:hAnsi="Arial" w:cs="Arial"/>
          <w:sz w:val="20"/>
          <w:szCs w:val="20"/>
        </w:rPr>
        <w:t>doi</w:t>
      </w:r>
      <w:proofErr w:type="spellEnd"/>
      <w:r w:rsidR="008D41FA" w:rsidRPr="008D41FA">
        <w:rPr>
          <w:rFonts w:ascii="Arial" w:hAnsi="Arial" w:cs="Arial"/>
          <w:sz w:val="20"/>
          <w:szCs w:val="20"/>
        </w:rPr>
        <w:t>: 10.4269/ajtmh.17-0083. PMID: 28722635</w:t>
      </w:r>
      <w:r w:rsidR="00AA6083" w:rsidRPr="004A3817">
        <w:rPr>
          <w:rFonts w:ascii="Arial" w:hAnsi="Arial" w:cs="Arial"/>
          <w:sz w:val="20"/>
          <w:szCs w:val="20"/>
        </w:rPr>
        <w:t>.</w:t>
      </w:r>
      <w:r w:rsidR="00AA6083" w:rsidRPr="004A3817">
        <w:rPr>
          <w:rFonts w:ascii="Arial" w:hAnsi="Arial" w:cs="Arial"/>
          <w:sz w:val="20"/>
          <w:szCs w:val="20"/>
        </w:rPr>
        <w:br/>
      </w:r>
      <w:r w:rsidR="00AA6083" w:rsidRPr="004A3817">
        <w:rPr>
          <w:rFonts w:ascii="Arial" w:hAnsi="Arial" w:cs="Arial"/>
          <w:i/>
          <w:sz w:val="20"/>
          <w:szCs w:val="20"/>
        </w:rPr>
        <w:t xml:space="preserve">Systemic inflammatory markers (sCD14 and CRP) were significantly associated with poor neurodevelopmental outcomes. </w:t>
      </w:r>
      <w:r w:rsidR="00AF743D" w:rsidRPr="00AF743D">
        <w:rPr>
          <w:rFonts w:ascii="Arial" w:hAnsi="Arial" w:cs="Arial"/>
          <w:i/>
          <w:sz w:val="20"/>
          <w:szCs w:val="20"/>
        </w:rPr>
        <w:t>The cumulative number of CRP elevations that a child experienced in the first year of life, as well as IL-1β and IL-6 at 18 weeks of age, were also negatively associated with Bayley Scales results. CRP, sCD14, IL-1β, and IL-6 were associated with lower neurodevelopmental outcomes. Our findings implicate a role of inflammation in the neurodevelopment of children growing up in adversity.</w:t>
      </w:r>
    </w:p>
    <w:p w14:paraId="2FC6FEA8" w14:textId="4EE094DC" w:rsidR="00F568B5" w:rsidRPr="00F568B5" w:rsidRDefault="00F568B5" w:rsidP="001024EC">
      <w:pPr>
        <w:tabs>
          <w:tab w:val="left" w:pos="360"/>
          <w:tab w:val="num" w:pos="540"/>
        </w:tabs>
        <w:jc w:val="both"/>
        <w:rPr>
          <w:rFonts w:ascii="Arial" w:eastAsia="Times New Roman" w:hAnsi="Arial" w:cs="Arial"/>
          <w:b/>
          <w:color w:val="000000"/>
          <w:sz w:val="20"/>
          <w:szCs w:val="20"/>
          <w:highlight w:val="yellow"/>
          <w:shd w:val="clear" w:color="auto" w:fill="FFFFFF"/>
        </w:rPr>
      </w:pPr>
      <w:r w:rsidRPr="00F568B5">
        <w:rPr>
          <w:rFonts w:ascii="Arial" w:eastAsia="Times New Roman" w:hAnsi="Arial" w:cs="Arial"/>
          <w:b/>
          <w:color w:val="000000"/>
          <w:sz w:val="20"/>
          <w:szCs w:val="20"/>
          <w:shd w:val="clear" w:color="auto" w:fill="FFFFFF"/>
        </w:rPr>
        <w:t>EED and Wheezing</w:t>
      </w:r>
    </w:p>
    <w:p w14:paraId="027A6F02" w14:textId="54A5B1C2" w:rsidR="0036651A" w:rsidRDefault="00F568B5" w:rsidP="0036651A">
      <w:pPr>
        <w:tabs>
          <w:tab w:val="left" w:pos="360"/>
        </w:tabs>
        <w:spacing w:after="120"/>
        <w:rPr>
          <w:rFonts w:ascii="Arial" w:hAnsi="Arial" w:cs="Arial"/>
          <w:i/>
          <w:sz w:val="20"/>
          <w:szCs w:val="20"/>
        </w:rPr>
      </w:pPr>
      <w:r>
        <w:rPr>
          <w:rFonts w:ascii="Arial" w:hAnsi="Arial" w:cs="Arial"/>
          <w:sz w:val="20"/>
          <w:szCs w:val="20"/>
        </w:rPr>
        <w:t xml:space="preserve">28. </w:t>
      </w:r>
      <w:r w:rsidR="001E2CFE" w:rsidRPr="004A3817">
        <w:rPr>
          <w:rFonts w:ascii="Arial" w:hAnsi="Arial" w:cs="Arial"/>
          <w:sz w:val="20"/>
          <w:szCs w:val="20"/>
        </w:rPr>
        <w:t xml:space="preserve">Burgess SL, Lu M, Ma JZ, Naylor C, Donowitz JR, Kirkpatrick BD, Haque R, </w:t>
      </w:r>
      <w:r w:rsidR="001E2CFE" w:rsidRPr="004A3817">
        <w:rPr>
          <w:rFonts w:ascii="Arial" w:hAnsi="Arial" w:cs="Arial"/>
          <w:bCs/>
          <w:sz w:val="20"/>
          <w:szCs w:val="20"/>
        </w:rPr>
        <w:t>Petri WA</w:t>
      </w:r>
      <w:r w:rsidR="001E2CFE" w:rsidRPr="004A3817">
        <w:rPr>
          <w:rFonts w:ascii="Arial" w:hAnsi="Arial" w:cs="Arial"/>
          <w:sz w:val="20"/>
          <w:szCs w:val="20"/>
        </w:rPr>
        <w:t xml:space="preserve"> Jr. </w:t>
      </w:r>
      <w:r w:rsidR="001E2CFE" w:rsidRPr="00106CF1">
        <w:rPr>
          <w:rFonts w:ascii="Arial" w:hAnsi="Arial" w:cs="Arial"/>
          <w:sz w:val="20"/>
          <w:szCs w:val="20"/>
          <w:u w:val="single"/>
        </w:rPr>
        <w:t>Inflammatory markers predict episodes of wheezing during the first year of life in Bangladesh</w:t>
      </w:r>
      <w:r w:rsidR="001E2CFE" w:rsidRPr="004A3817">
        <w:rPr>
          <w:rFonts w:ascii="Arial" w:hAnsi="Arial" w:cs="Arial"/>
          <w:sz w:val="20"/>
          <w:szCs w:val="20"/>
        </w:rPr>
        <w:t xml:space="preserve">.  </w:t>
      </w:r>
      <w:r w:rsidR="001E2CFE" w:rsidRPr="004A3817">
        <w:rPr>
          <w:rFonts w:ascii="Arial" w:hAnsi="Arial" w:cs="Arial"/>
          <w:sz w:val="20"/>
          <w:szCs w:val="20"/>
          <w:u w:color="1800C0"/>
        </w:rPr>
        <w:t xml:space="preserve"> Respiratory Medicine 1</w:t>
      </w:r>
      <w:r w:rsidR="001E2CFE">
        <w:rPr>
          <w:rFonts w:ascii="Arial" w:hAnsi="Arial" w:cs="Arial"/>
          <w:sz w:val="20"/>
          <w:szCs w:val="20"/>
          <w:u w:color="1800C0"/>
        </w:rPr>
        <w:t>10:</w:t>
      </w:r>
      <w:r w:rsidR="001E2CFE" w:rsidRPr="004A3817">
        <w:rPr>
          <w:rFonts w:ascii="Arial" w:hAnsi="Arial" w:cs="Arial"/>
          <w:sz w:val="20"/>
          <w:szCs w:val="20"/>
          <w:u w:color="1800C0"/>
        </w:rPr>
        <w:t>53-57</w:t>
      </w:r>
      <w:r w:rsidR="001E2CFE">
        <w:rPr>
          <w:rFonts w:ascii="Arial" w:hAnsi="Arial" w:cs="Arial"/>
          <w:sz w:val="20"/>
          <w:szCs w:val="20"/>
          <w:u w:color="1800C0"/>
        </w:rPr>
        <w:t>, 2016.</w:t>
      </w:r>
      <w:r w:rsidR="004D1E72">
        <w:rPr>
          <w:rFonts w:ascii="Arial" w:hAnsi="Arial" w:cs="Arial"/>
          <w:sz w:val="20"/>
          <w:szCs w:val="20"/>
          <w:u w:color="1800C0"/>
        </w:rPr>
        <w:t xml:space="preserve"> PMID: 26631486. </w:t>
      </w:r>
      <w:r w:rsidR="001E2CFE">
        <w:rPr>
          <w:rFonts w:ascii="Arial" w:hAnsi="Arial" w:cs="Arial"/>
          <w:sz w:val="20"/>
          <w:szCs w:val="20"/>
        </w:rPr>
        <w:t xml:space="preserve"> </w:t>
      </w:r>
      <w:r w:rsidR="00AF743D" w:rsidRPr="0036651A">
        <w:rPr>
          <w:rFonts w:ascii="Arial" w:hAnsi="Arial" w:cs="Arial"/>
          <w:i/>
          <w:sz w:val="20"/>
          <w:szCs w:val="20"/>
        </w:rPr>
        <w:t>Children from Dhaka, Bangladesh were recruited at birth and episodes of wheezing were measured alongside nutritional, immunological and socioeconomic factors over a one-year period. Poisson Regression with variable selection was utilized to determine what factors were associated with wheezing.</w:t>
      </w:r>
      <w:r w:rsidR="0036651A" w:rsidRPr="0036651A">
        <w:rPr>
          <w:rFonts w:ascii="Arial" w:hAnsi="Arial" w:cs="Arial"/>
          <w:i/>
          <w:sz w:val="20"/>
          <w:szCs w:val="20"/>
        </w:rPr>
        <w:t xml:space="preserve"> </w:t>
      </w:r>
      <w:r w:rsidR="0036651A" w:rsidRPr="00106CF1">
        <w:rPr>
          <w:rFonts w:ascii="Arial" w:hAnsi="Arial" w:cs="Arial"/>
          <w:i/>
          <w:sz w:val="20"/>
          <w:szCs w:val="20"/>
        </w:rPr>
        <w:t>Wheezing</w:t>
      </w:r>
      <w:r w:rsidR="0036651A" w:rsidRPr="004A3817">
        <w:rPr>
          <w:rFonts w:ascii="Arial" w:hAnsi="Arial" w:cs="Arial"/>
          <w:i/>
          <w:sz w:val="20"/>
          <w:szCs w:val="20"/>
        </w:rPr>
        <w:t xml:space="preserve"> in the first year of life was predicted by systemic inflammation early in life, poverty, and male sex. These results support the hypothesis that there is a link between inflammation in infancy and the development of respiratory illness later in life and provide specific biomarkers that can predict wheezing in a low-income country.</w:t>
      </w:r>
    </w:p>
    <w:p w14:paraId="1A7DA541" w14:textId="3251BA69" w:rsidR="006332ED" w:rsidRPr="004A3817" w:rsidRDefault="006332ED" w:rsidP="00F41193">
      <w:pPr>
        <w:tabs>
          <w:tab w:val="left" w:pos="360"/>
        </w:tabs>
        <w:rPr>
          <w:rFonts w:ascii="Arial" w:hAnsi="Arial" w:cs="Arial"/>
          <w:b/>
          <w:sz w:val="20"/>
          <w:szCs w:val="20"/>
        </w:rPr>
      </w:pPr>
      <w:r w:rsidRPr="004A3817">
        <w:rPr>
          <w:rFonts w:ascii="Arial" w:hAnsi="Arial" w:cs="Arial"/>
          <w:b/>
          <w:sz w:val="20"/>
          <w:szCs w:val="20"/>
        </w:rPr>
        <w:t>Study Methodology</w:t>
      </w:r>
      <w:r w:rsidR="00855D30">
        <w:rPr>
          <w:rFonts w:ascii="Arial" w:hAnsi="Arial" w:cs="Arial"/>
          <w:b/>
          <w:sz w:val="20"/>
          <w:szCs w:val="20"/>
        </w:rPr>
        <w:t xml:space="preserve"> and Analysis</w:t>
      </w:r>
    </w:p>
    <w:p w14:paraId="11287CB7" w14:textId="5AEBAAB4" w:rsidR="006332ED" w:rsidRPr="00F41193" w:rsidRDefault="00F568B5" w:rsidP="001771DF">
      <w:pPr>
        <w:tabs>
          <w:tab w:val="left" w:pos="360"/>
        </w:tabs>
        <w:spacing w:after="120"/>
        <w:rPr>
          <w:rFonts w:ascii="Arial" w:hAnsi="Arial" w:cs="Arial"/>
          <w:sz w:val="20"/>
          <w:szCs w:val="20"/>
        </w:rPr>
      </w:pPr>
      <w:r>
        <w:rPr>
          <w:rFonts w:ascii="Arial" w:hAnsi="Arial" w:cs="Arial"/>
          <w:sz w:val="20"/>
          <w:szCs w:val="20"/>
        </w:rPr>
        <w:t xml:space="preserve">29. </w:t>
      </w:r>
      <w:r w:rsidR="006332ED" w:rsidRPr="004A3817">
        <w:rPr>
          <w:rFonts w:ascii="Arial" w:hAnsi="Arial" w:cs="Arial"/>
          <w:sz w:val="20"/>
          <w:szCs w:val="20"/>
        </w:rPr>
        <w:t xml:space="preserve">Kirkpatrick BD, Colgate ER, Mychaleckyj JC, Haque R, Dickson DM, </w:t>
      </w:r>
      <w:proofErr w:type="spellStart"/>
      <w:r w:rsidR="006332ED" w:rsidRPr="004A3817">
        <w:rPr>
          <w:rFonts w:ascii="Arial" w:hAnsi="Arial" w:cs="Arial"/>
          <w:sz w:val="20"/>
          <w:szCs w:val="20"/>
        </w:rPr>
        <w:t>Carmolli</w:t>
      </w:r>
      <w:proofErr w:type="spellEnd"/>
      <w:r w:rsidR="006332ED" w:rsidRPr="004A3817">
        <w:rPr>
          <w:rFonts w:ascii="Arial" w:hAnsi="Arial" w:cs="Arial"/>
          <w:sz w:val="20"/>
          <w:szCs w:val="20"/>
        </w:rPr>
        <w:t xml:space="preserve"> MP, Nayak U, Taniuchi M, Naylor C, </w:t>
      </w:r>
      <w:proofErr w:type="spellStart"/>
      <w:r w:rsidR="006332ED" w:rsidRPr="004A3817">
        <w:rPr>
          <w:rFonts w:ascii="Arial" w:hAnsi="Arial" w:cs="Arial"/>
          <w:sz w:val="20"/>
          <w:szCs w:val="20"/>
        </w:rPr>
        <w:t>Qadri</w:t>
      </w:r>
      <w:proofErr w:type="spellEnd"/>
      <w:r w:rsidR="006332ED" w:rsidRPr="004A3817">
        <w:rPr>
          <w:rFonts w:ascii="Arial" w:hAnsi="Arial" w:cs="Arial"/>
          <w:sz w:val="20"/>
          <w:szCs w:val="20"/>
        </w:rPr>
        <w:t xml:space="preserve"> F, Ma JZ, Alam M, Walsh MC, Diehl SA; PROVIDE Study Teams, </w:t>
      </w:r>
      <w:r w:rsidR="006332ED" w:rsidRPr="004A3817">
        <w:rPr>
          <w:rFonts w:ascii="Arial" w:hAnsi="Arial" w:cs="Arial"/>
          <w:bCs/>
          <w:sz w:val="20"/>
          <w:szCs w:val="20"/>
        </w:rPr>
        <w:t>Petri WA</w:t>
      </w:r>
      <w:r w:rsidR="006332ED" w:rsidRPr="004A3817">
        <w:rPr>
          <w:rFonts w:ascii="Arial" w:hAnsi="Arial" w:cs="Arial"/>
          <w:sz w:val="20"/>
          <w:szCs w:val="20"/>
        </w:rPr>
        <w:t xml:space="preserve"> Jr.  </w:t>
      </w:r>
      <w:r w:rsidR="006332ED" w:rsidRPr="00106CF1">
        <w:rPr>
          <w:rFonts w:ascii="Arial" w:hAnsi="Arial" w:cs="Arial"/>
          <w:sz w:val="20"/>
          <w:szCs w:val="20"/>
          <w:u w:val="single"/>
        </w:rPr>
        <w:t>The "Performance of Rotavirus and Oral Polio Vaccines in Developing Countries" (PROVIDE) study: description of methods of an interventional study designed to explore complex biologic problems.</w:t>
      </w:r>
      <w:r w:rsidR="006332ED" w:rsidRPr="004A3817">
        <w:rPr>
          <w:rFonts w:ascii="Arial" w:hAnsi="Arial" w:cs="Arial"/>
          <w:sz w:val="20"/>
          <w:szCs w:val="20"/>
          <w:u w:color="1800C0"/>
        </w:rPr>
        <w:t xml:space="preserve"> </w:t>
      </w:r>
      <w:r w:rsidR="006332ED" w:rsidRPr="004A3817">
        <w:rPr>
          <w:rFonts w:ascii="Arial" w:hAnsi="Arial" w:cs="Arial"/>
          <w:sz w:val="20"/>
          <w:szCs w:val="20"/>
        </w:rPr>
        <w:t>Am J</w:t>
      </w:r>
      <w:r w:rsidR="00052904">
        <w:rPr>
          <w:rFonts w:ascii="Arial" w:hAnsi="Arial" w:cs="Arial"/>
          <w:sz w:val="20"/>
          <w:szCs w:val="20"/>
        </w:rPr>
        <w:t xml:space="preserve"> Trop Med </w:t>
      </w:r>
      <w:proofErr w:type="spellStart"/>
      <w:r w:rsidR="00052904">
        <w:rPr>
          <w:rFonts w:ascii="Arial" w:hAnsi="Arial" w:cs="Arial"/>
          <w:sz w:val="20"/>
          <w:szCs w:val="20"/>
        </w:rPr>
        <w:t>Hyg</w:t>
      </w:r>
      <w:proofErr w:type="spellEnd"/>
      <w:r w:rsidR="00052904">
        <w:rPr>
          <w:rFonts w:ascii="Arial" w:hAnsi="Arial" w:cs="Arial"/>
          <w:sz w:val="20"/>
          <w:szCs w:val="20"/>
        </w:rPr>
        <w:t xml:space="preserve"> 92:</w:t>
      </w:r>
      <w:r w:rsidR="006332ED" w:rsidRPr="004A3817">
        <w:rPr>
          <w:rFonts w:ascii="Arial" w:hAnsi="Arial" w:cs="Arial"/>
          <w:sz w:val="20"/>
          <w:szCs w:val="20"/>
        </w:rPr>
        <w:t>744–751</w:t>
      </w:r>
      <w:r w:rsidR="00052904">
        <w:rPr>
          <w:rFonts w:ascii="Arial" w:hAnsi="Arial" w:cs="Arial"/>
          <w:sz w:val="20"/>
          <w:szCs w:val="20"/>
        </w:rPr>
        <w:t>, 2015</w:t>
      </w:r>
      <w:r w:rsidR="00F41193">
        <w:rPr>
          <w:rFonts w:ascii="Arial" w:hAnsi="Arial" w:cs="Arial"/>
          <w:sz w:val="20"/>
          <w:szCs w:val="20"/>
        </w:rPr>
        <w:t xml:space="preserve">. </w:t>
      </w:r>
      <w:r w:rsidR="004D1E72">
        <w:rPr>
          <w:rFonts w:ascii="Arial" w:hAnsi="Arial" w:cs="Arial"/>
          <w:sz w:val="20"/>
          <w:szCs w:val="20"/>
          <w:u w:color="1800C0"/>
        </w:rPr>
        <w:t xml:space="preserve">PMID: 25711607. </w:t>
      </w:r>
      <w:r w:rsidR="006332ED" w:rsidRPr="00FC5AFB">
        <w:rPr>
          <w:rFonts w:ascii="Arial" w:hAnsi="Arial" w:cs="Arial"/>
          <w:i/>
          <w:sz w:val="20"/>
          <w:szCs w:val="20"/>
        </w:rPr>
        <w:t>Methods for the enrollment and 2-year follow-up of a 700 child birth cohort are described,</w:t>
      </w:r>
      <w:r w:rsidR="00F41193">
        <w:rPr>
          <w:rFonts w:ascii="Arial" w:hAnsi="Arial" w:cs="Arial"/>
          <w:sz w:val="20"/>
          <w:szCs w:val="20"/>
        </w:rPr>
        <w:t xml:space="preserve"> </w:t>
      </w:r>
      <w:r w:rsidR="006332ED" w:rsidRPr="004A3817">
        <w:rPr>
          <w:rFonts w:ascii="Arial" w:hAnsi="Arial" w:cs="Arial"/>
          <w:i/>
          <w:sz w:val="20"/>
          <w:szCs w:val="20"/>
        </w:rPr>
        <w:t>including core laboratory, safety, regulatory, and data management practices</w:t>
      </w:r>
    </w:p>
    <w:p w14:paraId="10C972CD" w14:textId="5F5D7470" w:rsidR="00855D30" w:rsidRPr="00F41193" w:rsidRDefault="00F568B5" w:rsidP="00F41193">
      <w:pPr>
        <w:widowControl w:val="0"/>
        <w:tabs>
          <w:tab w:val="left" w:pos="360"/>
        </w:tabs>
        <w:autoSpaceDE w:val="0"/>
        <w:autoSpaceDN w:val="0"/>
        <w:adjustRightInd w:val="0"/>
        <w:spacing w:after="120"/>
        <w:rPr>
          <w:rFonts w:ascii="Arial" w:eastAsia="Arial Unicode MS" w:hAnsi="Arial" w:cs="Arial"/>
          <w:color w:val="1C1C1C"/>
          <w:sz w:val="20"/>
          <w:szCs w:val="20"/>
        </w:rPr>
      </w:pPr>
      <w:r w:rsidRPr="007007DF">
        <w:rPr>
          <w:rFonts w:ascii="Arial" w:eastAsia="Arial Unicode MS" w:hAnsi="Arial" w:cs="Arial"/>
          <w:color w:val="1C1C1C"/>
          <w:sz w:val="20"/>
          <w:szCs w:val="20"/>
        </w:rPr>
        <w:t xml:space="preserve">30. </w:t>
      </w:r>
      <w:r w:rsidR="00855D30" w:rsidRPr="007007DF">
        <w:rPr>
          <w:rFonts w:ascii="Arial" w:eastAsia="Arial Unicode MS" w:hAnsi="Arial" w:cs="Arial"/>
          <w:color w:val="1C1C1C"/>
          <w:sz w:val="20"/>
          <w:szCs w:val="20"/>
        </w:rPr>
        <w:t>Lu M, Zhou J, Naylor C, Kirkpatrick BD, Haque R, Petri WA Jr, Ma JZ.</w:t>
      </w:r>
      <w:r w:rsidR="00855D30" w:rsidRPr="007007DF">
        <w:t xml:space="preserve"> </w:t>
      </w:r>
      <w:r w:rsidR="00855D30" w:rsidRPr="007007DF">
        <w:rPr>
          <w:rFonts w:ascii="Arial" w:eastAsia="Arial Unicode MS" w:hAnsi="Arial" w:cs="Arial"/>
          <w:color w:val="1C1C1C"/>
          <w:sz w:val="20"/>
          <w:szCs w:val="20"/>
          <w:u w:val="single"/>
        </w:rPr>
        <w:t>Application of</w:t>
      </w:r>
      <w:r w:rsidR="00855D30" w:rsidRPr="00EB2EFE">
        <w:rPr>
          <w:rFonts w:ascii="Arial" w:eastAsia="Arial Unicode MS" w:hAnsi="Arial" w:cs="Arial"/>
          <w:color w:val="1C1C1C"/>
          <w:sz w:val="20"/>
          <w:szCs w:val="20"/>
          <w:u w:val="single"/>
        </w:rPr>
        <w:t xml:space="preserve"> penalized linear regression methods to the selection of environmental enteropathy biomarkers</w:t>
      </w:r>
      <w:r w:rsidR="00855D30" w:rsidRPr="00C259C6">
        <w:rPr>
          <w:rFonts w:ascii="Arial" w:eastAsia="Arial Unicode MS" w:hAnsi="Arial" w:cs="Arial"/>
          <w:color w:val="1C1C1C"/>
          <w:sz w:val="20"/>
          <w:szCs w:val="20"/>
        </w:rPr>
        <w:t>.</w:t>
      </w:r>
      <w:r w:rsidR="00855D30" w:rsidRPr="00C259C6">
        <w:t xml:space="preserve"> </w:t>
      </w:r>
      <w:proofErr w:type="spellStart"/>
      <w:r w:rsidR="00855D30" w:rsidRPr="00C259C6">
        <w:rPr>
          <w:rFonts w:ascii="Arial" w:eastAsia="Arial Unicode MS" w:hAnsi="Arial" w:cs="Arial"/>
          <w:color w:val="1C1C1C"/>
          <w:sz w:val="20"/>
          <w:szCs w:val="20"/>
        </w:rPr>
        <w:t>Biomark</w:t>
      </w:r>
      <w:proofErr w:type="spellEnd"/>
      <w:r w:rsidR="00855D30" w:rsidRPr="00C259C6">
        <w:rPr>
          <w:rFonts w:ascii="Arial" w:eastAsia="Arial Unicode MS" w:hAnsi="Arial" w:cs="Arial"/>
          <w:color w:val="1C1C1C"/>
          <w:sz w:val="20"/>
          <w:szCs w:val="20"/>
        </w:rPr>
        <w:t xml:space="preserve"> Res. 2017 Mar </w:t>
      </w:r>
      <w:proofErr w:type="gramStart"/>
      <w:r w:rsidR="00855D30" w:rsidRPr="00C259C6">
        <w:rPr>
          <w:rFonts w:ascii="Arial" w:eastAsia="Arial Unicode MS" w:hAnsi="Arial" w:cs="Arial"/>
          <w:color w:val="1C1C1C"/>
          <w:sz w:val="20"/>
          <w:szCs w:val="20"/>
        </w:rPr>
        <w:t>9;5:9</w:t>
      </w:r>
      <w:proofErr w:type="gramEnd"/>
      <w:r w:rsidR="00855D30" w:rsidRPr="00C259C6">
        <w:rPr>
          <w:rFonts w:ascii="Arial" w:eastAsia="Arial Unicode MS" w:hAnsi="Arial" w:cs="Arial"/>
          <w:color w:val="1C1C1C"/>
          <w:sz w:val="20"/>
          <w:szCs w:val="20"/>
        </w:rPr>
        <w:t xml:space="preserve">. </w:t>
      </w:r>
      <w:proofErr w:type="spellStart"/>
      <w:r w:rsidR="00855D30" w:rsidRPr="00C259C6">
        <w:rPr>
          <w:rFonts w:ascii="Arial" w:eastAsia="Arial Unicode MS" w:hAnsi="Arial" w:cs="Arial"/>
          <w:color w:val="1C1C1C"/>
          <w:sz w:val="20"/>
          <w:szCs w:val="20"/>
        </w:rPr>
        <w:t>doi</w:t>
      </w:r>
      <w:proofErr w:type="spellEnd"/>
      <w:r w:rsidR="00855D30" w:rsidRPr="00C259C6">
        <w:rPr>
          <w:rFonts w:ascii="Arial" w:eastAsia="Arial Unicode MS" w:hAnsi="Arial" w:cs="Arial"/>
          <w:color w:val="1C1C1C"/>
          <w:sz w:val="20"/>
          <w:szCs w:val="20"/>
        </w:rPr>
        <w:t xml:space="preserve">: 10.1186/s40364-017-0089-4. </w:t>
      </w:r>
      <w:proofErr w:type="spellStart"/>
      <w:r w:rsidR="00855D30" w:rsidRPr="00C259C6">
        <w:rPr>
          <w:rFonts w:ascii="Arial" w:eastAsia="Arial Unicode MS" w:hAnsi="Arial" w:cs="Arial"/>
          <w:color w:val="1C1C1C"/>
          <w:sz w:val="20"/>
          <w:szCs w:val="20"/>
        </w:rPr>
        <w:t>eCollection</w:t>
      </w:r>
      <w:proofErr w:type="spellEnd"/>
      <w:r w:rsidR="00855D30" w:rsidRPr="00C259C6">
        <w:rPr>
          <w:rFonts w:ascii="Arial" w:eastAsia="Arial Unicode MS" w:hAnsi="Arial" w:cs="Arial"/>
          <w:color w:val="1C1C1C"/>
          <w:sz w:val="20"/>
          <w:szCs w:val="20"/>
        </w:rPr>
        <w:t xml:space="preserve"> 2017.</w:t>
      </w:r>
      <w:r w:rsidR="00F41193">
        <w:rPr>
          <w:rFonts w:ascii="Arial" w:eastAsia="Arial Unicode MS" w:hAnsi="Arial" w:cs="Arial"/>
          <w:color w:val="1C1C1C"/>
          <w:sz w:val="20"/>
          <w:szCs w:val="20"/>
        </w:rPr>
        <w:t xml:space="preserve"> </w:t>
      </w:r>
      <w:r w:rsidR="00855D30" w:rsidRPr="00C259C6">
        <w:rPr>
          <w:rFonts w:ascii="Arial" w:eastAsia="Arial Unicode MS" w:hAnsi="Arial" w:cs="Arial"/>
          <w:color w:val="1C1C1C"/>
          <w:sz w:val="20"/>
          <w:szCs w:val="20"/>
        </w:rPr>
        <w:t>PMID: 28293424</w:t>
      </w:r>
      <w:r w:rsidR="00855D30" w:rsidRPr="00C259C6">
        <w:rPr>
          <w:rFonts w:ascii="Arial" w:eastAsia="Times New Roman" w:hAnsi="Arial" w:cs="Arial"/>
          <w:color w:val="000000"/>
          <w:shd w:val="clear" w:color="auto" w:fill="FFFFFF"/>
        </w:rPr>
        <w:t xml:space="preserve"> </w:t>
      </w:r>
      <w:r w:rsidR="00855D30" w:rsidRPr="00C259C6">
        <w:rPr>
          <w:rFonts w:ascii="Arial" w:eastAsia="Times New Roman" w:hAnsi="Arial" w:cs="Arial"/>
          <w:i/>
          <w:color w:val="000000"/>
          <w:sz w:val="20"/>
          <w:szCs w:val="20"/>
          <w:shd w:val="clear" w:color="auto" w:fill="FFFFFF"/>
        </w:rPr>
        <w:t xml:space="preserve">Penalized linear regression methods are plausible alternatives to traditional variable selection methods, and the suggested methods are applicable to other biomedical studies. The </w:t>
      </w:r>
      <w:r w:rsidR="00855D30" w:rsidRPr="00C259C6">
        <w:rPr>
          <w:rFonts w:ascii="Arial" w:eastAsia="Times New Roman" w:hAnsi="Arial" w:cs="Arial"/>
          <w:i/>
          <w:color w:val="000000"/>
          <w:sz w:val="20"/>
          <w:szCs w:val="20"/>
          <w:shd w:val="clear" w:color="auto" w:fill="FFFFFF"/>
        </w:rPr>
        <w:lastRenderedPageBreak/>
        <w:t>selected early-stage biomarkers offer a potential explanation for the burden of malnutrition problems in low-income countries, allow early identification of infants at risk, and suggest pathways for intervention.</w:t>
      </w:r>
    </w:p>
    <w:p w14:paraId="4AF4F46C" w14:textId="527E5B33" w:rsidR="00855D30" w:rsidRPr="00CC77D7" w:rsidRDefault="00F568B5" w:rsidP="00F41193">
      <w:pPr>
        <w:widowControl w:val="0"/>
        <w:tabs>
          <w:tab w:val="left" w:pos="360"/>
        </w:tabs>
        <w:autoSpaceDE w:val="0"/>
        <w:autoSpaceDN w:val="0"/>
        <w:adjustRightInd w:val="0"/>
        <w:spacing w:after="120"/>
        <w:rPr>
          <w:rFonts w:ascii="Arial" w:hAnsi="Arial" w:cs="Arial"/>
          <w:bCs/>
          <w:color w:val="DDD9C3" w:themeColor="background2" w:themeShade="E6"/>
          <w:sz w:val="20"/>
          <w:szCs w:val="20"/>
        </w:rPr>
      </w:pPr>
      <w:r w:rsidRPr="00CC77D7">
        <w:rPr>
          <w:rFonts w:ascii="Arial" w:hAnsi="Arial" w:cs="Arial"/>
          <w:color w:val="DDD9C3" w:themeColor="background2" w:themeShade="E6"/>
          <w:sz w:val="20"/>
          <w:szCs w:val="20"/>
        </w:rPr>
        <w:t xml:space="preserve">31. </w:t>
      </w:r>
      <w:r w:rsidR="00855D30" w:rsidRPr="00CC77D7">
        <w:rPr>
          <w:rFonts w:ascii="Arial" w:hAnsi="Arial" w:cs="Arial"/>
          <w:color w:val="DDD9C3" w:themeColor="background2" w:themeShade="E6"/>
          <w:sz w:val="20"/>
          <w:szCs w:val="20"/>
        </w:rPr>
        <w:t xml:space="preserve">Zhang Y, Zhou J, </w:t>
      </w:r>
      <w:proofErr w:type="spellStart"/>
      <w:r w:rsidR="00855D30" w:rsidRPr="00CC77D7">
        <w:rPr>
          <w:rFonts w:ascii="Arial" w:hAnsi="Arial" w:cs="Arial"/>
          <w:color w:val="DDD9C3" w:themeColor="background2" w:themeShade="E6"/>
          <w:sz w:val="20"/>
          <w:szCs w:val="20"/>
        </w:rPr>
        <w:t>Niu</w:t>
      </w:r>
      <w:proofErr w:type="spellEnd"/>
      <w:r w:rsidR="00855D30" w:rsidRPr="00CC77D7">
        <w:rPr>
          <w:rFonts w:ascii="Arial" w:hAnsi="Arial" w:cs="Arial"/>
          <w:color w:val="DDD9C3" w:themeColor="background2" w:themeShade="E6"/>
          <w:sz w:val="20"/>
          <w:szCs w:val="20"/>
        </w:rPr>
        <w:t xml:space="preserve"> F, Donowitz JR, Haque R, Petri WA Jr, Ma JZ.</w:t>
      </w:r>
      <w:r w:rsidR="00855D30" w:rsidRPr="00CC77D7">
        <w:rPr>
          <w:color w:val="DDD9C3" w:themeColor="background2" w:themeShade="E6"/>
        </w:rPr>
        <w:t xml:space="preserve"> </w:t>
      </w:r>
      <w:r w:rsidR="00855D30" w:rsidRPr="00CC77D7">
        <w:rPr>
          <w:rFonts w:ascii="Arial" w:hAnsi="Arial" w:cs="Arial"/>
          <w:color w:val="DDD9C3" w:themeColor="background2" w:themeShade="E6"/>
          <w:sz w:val="20"/>
          <w:szCs w:val="20"/>
          <w:u w:val="single"/>
        </w:rPr>
        <w:t>Characterizing early child growth patterns of height-for-age in an urban slum cohort of Bangladesh with functional principal component analysis</w:t>
      </w:r>
      <w:r w:rsidR="00855D30" w:rsidRPr="00CC77D7">
        <w:rPr>
          <w:rFonts w:ascii="Arial" w:hAnsi="Arial" w:cs="Arial"/>
          <w:color w:val="DDD9C3" w:themeColor="background2" w:themeShade="E6"/>
          <w:sz w:val="20"/>
          <w:szCs w:val="20"/>
        </w:rPr>
        <w:t>.</w:t>
      </w:r>
      <w:r w:rsidR="00855D30" w:rsidRPr="00CC77D7">
        <w:rPr>
          <w:color w:val="DDD9C3" w:themeColor="background2" w:themeShade="E6"/>
        </w:rPr>
        <w:t xml:space="preserve"> </w:t>
      </w:r>
      <w:r w:rsidR="00855D30" w:rsidRPr="00CC77D7">
        <w:rPr>
          <w:rFonts w:ascii="Arial" w:hAnsi="Arial" w:cs="Arial"/>
          <w:color w:val="DDD9C3" w:themeColor="background2" w:themeShade="E6"/>
          <w:sz w:val="20"/>
          <w:szCs w:val="20"/>
        </w:rPr>
        <w:t xml:space="preserve">BMC </w:t>
      </w:r>
      <w:proofErr w:type="spellStart"/>
      <w:r w:rsidR="00855D30" w:rsidRPr="00CC77D7">
        <w:rPr>
          <w:rFonts w:ascii="Arial" w:hAnsi="Arial" w:cs="Arial"/>
          <w:color w:val="DDD9C3" w:themeColor="background2" w:themeShade="E6"/>
          <w:sz w:val="20"/>
          <w:szCs w:val="20"/>
        </w:rPr>
        <w:t>Pediatr</w:t>
      </w:r>
      <w:proofErr w:type="spellEnd"/>
      <w:r w:rsidR="00855D30" w:rsidRPr="00CC77D7">
        <w:rPr>
          <w:rFonts w:ascii="Arial" w:hAnsi="Arial" w:cs="Arial"/>
          <w:color w:val="DDD9C3" w:themeColor="background2" w:themeShade="E6"/>
          <w:sz w:val="20"/>
          <w:szCs w:val="20"/>
        </w:rPr>
        <w:t xml:space="preserve">. 2017 Mar 21;17(1):84. </w:t>
      </w:r>
      <w:proofErr w:type="spellStart"/>
      <w:r w:rsidR="00855D30" w:rsidRPr="00CC77D7">
        <w:rPr>
          <w:rFonts w:ascii="Arial" w:hAnsi="Arial" w:cs="Arial"/>
          <w:color w:val="DDD9C3" w:themeColor="background2" w:themeShade="E6"/>
          <w:sz w:val="20"/>
          <w:szCs w:val="20"/>
        </w:rPr>
        <w:t>doi</w:t>
      </w:r>
      <w:proofErr w:type="spellEnd"/>
      <w:r w:rsidR="00855D30" w:rsidRPr="00CC77D7">
        <w:rPr>
          <w:rFonts w:ascii="Arial" w:hAnsi="Arial" w:cs="Arial"/>
          <w:color w:val="DDD9C3" w:themeColor="background2" w:themeShade="E6"/>
          <w:sz w:val="20"/>
          <w:szCs w:val="20"/>
        </w:rPr>
        <w:t>: 10.1186/s12887-017-0831-y</w:t>
      </w:r>
      <w:r w:rsidR="00F41193" w:rsidRPr="00CC77D7">
        <w:rPr>
          <w:rFonts w:ascii="Arial" w:hAnsi="Arial" w:cs="Arial"/>
          <w:color w:val="DDD9C3" w:themeColor="background2" w:themeShade="E6"/>
          <w:sz w:val="20"/>
          <w:szCs w:val="20"/>
        </w:rPr>
        <w:t xml:space="preserve">. </w:t>
      </w:r>
      <w:r w:rsidR="00855D30" w:rsidRPr="00CC77D7">
        <w:rPr>
          <w:rFonts w:ascii="Arial" w:hAnsi="Arial" w:cs="Arial"/>
          <w:i/>
          <w:color w:val="DDD9C3" w:themeColor="background2" w:themeShade="E6"/>
          <w:sz w:val="20"/>
          <w:szCs w:val="20"/>
        </w:rPr>
        <w:t>Growth modeling with the FPC1 and adj-FPC2 scores together were able to predict 90% of stunting at age 3, 4, and 5 years.  Risk factors associated with such a change in growth included HAZ at birth (boys and girls), family income, family size, having an animal in the house and</w:t>
      </w:r>
      <w:r w:rsidR="00F41193" w:rsidRPr="00CC77D7">
        <w:rPr>
          <w:rFonts w:ascii="Arial" w:hAnsi="Arial" w:cs="Arial"/>
          <w:bCs/>
          <w:color w:val="DDD9C3" w:themeColor="background2" w:themeShade="E6"/>
          <w:sz w:val="20"/>
          <w:szCs w:val="20"/>
        </w:rPr>
        <w:t xml:space="preserve"> </w:t>
      </w:r>
      <w:r w:rsidR="00855D30" w:rsidRPr="00CC77D7">
        <w:rPr>
          <w:rFonts w:ascii="Arial" w:hAnsi="Arial" w:cs="Arial"/>
          <w:i/>
          <w:color w:val="DDD9C3" w:themeColor="background2" w:themeShade="E6"/>
          <w:sz w:val="20"/>
          <w:szCs w:val="20"/>
        </w:rPr>
        <w:t>duration of exclusive breast-feeding (boys), and maternal weight, food coverage practice</w:t>
      </w:r>
      <w:r w:rsidR="00F41193" w:rsidRPr="00CC77D7">
        <w:rPr>
          <w:rFonts w:ascii="Arial" w:hAnsi="Arial" w:cs="Arial"/>
          <w:bCs/>
          <w:color w:val="DDD9C3" w:themeColor="background2" w:themeShade="E6"/>
          <w:sz w:val="20"/>
          <w:szCs w:val="20"/>
        </w:rPr>
        <w:t xml:space="preserve"> </w:t>
      </w:r>
      <w:r w:rsidR="00855D30" w:rsidRPr="00CC77D7">
        <w:rPr>
          <w:rFonts w:ascii="Arial" w:hAnsi="Arial" w:cs="Arial"/>
          <w:i/>
          <w:color w:val="DDD9C3" w:themeColor="background2" w:themeShade="E6"/>
          <w:sz w:val="20"/>
          <w:szCs w:val="20"/>
        </w:rPr>
        <w:t>and source of h</w:t>
      </w:r>
      <w:r w:rsidR="0048601D">
        <w:rPr>
          <w:rFonts w:ascii="Arial" w:hAnsi="Arial" w:cs="Arial"/>
          <w:i/>
          <w:color w:val="DDD9C3" w:themeColor="background2" w:themeShade="E6"/>
          <w:sz w:val="20"/>
          <w:szCs w:val="20"/>
        </w:rPr>
        <w:t xml:space="preserve">ousehold drinking water (girls)- </w:t>
      </w:r>
      <w:r w:rsidR="0048601D" w:rsidRPr="0048601D">
        <w:rPr>
          <w:rFonts w:ascii="Arial" w:hAnsi="Arial" w:cs="Arial"/>
          <w:b/>
          <w:i/>
          <w:color w:val="DDD9C3" w:themeColor="background2" w:themeShade="E6"/>
          <w:sz w:val="20"/>
          <w:szCs w:val="20"/>
        </w:rPr>
        <w:t>using data from earlier birth cohort study</w:t>
      </w:r>
    </w:p>
    <w:p w14:paraId="56462CE2" w14:textId="77777777" w:rsidR="00855D30" w:rsidRDefault="00855D30" w:rsidP="00052904">
      <w:pPr>
        <w:tabs>
          <w:tab w:val="left" w:pos="360"/>
        </w:tabs>
        <w:rPr>
          <w:rFonts w:ascii="Arial" w:hAnsi="Arial" w:cs="Arial"/>
          <w:b/>
          <w:sz w:val="20"/>
          <w:szCs w:val="20"/>
        </w:rPr>
      </w:pPr>
    </w:p>
    <w:p w14:paraId="3E2495F9" w14:textId="77777777" w:rsidR="00733EB5" w:rsidRDefault="00B00614" w:rsidP="00AB4A34">
      <w:pPr>
        <w:tabs>
          <w:tab w:val="left" w:pos="360"/>
        </w:tabs>
        <w:rPr>
          <w:rFonts w:ascii="Arial" w:hAnsi="Arial" w:cs="Arial"/>
          <w:b/>
          <w:sz w:val="20"/>
          <w:szCs w:val="20"/>
        </w:rPr>
      </w:pPr>
      <w:r w:rsidRPr="00AB4A34">
        <w:rPr>
          <w:rFonts w:ascii="Arial" w:hAnsi="Arial" w:cs="Arial"/>
          <w:b/>
          <w:sz w:val="20"/>
          <w:szCs w:val="20"/>
        </w:rPr>
        <w:t>Review Articles</w:t>
      </w:r>
    </w:p>
    <w:p w14:paraId="22F5D861" w14:textId="54262E7A" w:rsidR="00AB4A34" w:rsidRDefault="00F568B5" w:rsidP="00AB4A34">
      <w:pPr>
        <w:tabs>
          <w:tab w:val="left" w:pos="360"/>
        </w:tabs>
        <w:rPr>
          <w:rFonts w:ascii="Arial" w:hAnsi="Arial" w:cs="Arial"/>
          <w:sz w:val="20"/>
          <w:szCs w:val="20"/>
        </w:rPr>
      </w:pPr>
      <w:r>
        <w:rPr>
          <w:rFonts w:ascii="Arial" w:hAnsi="Arial" w:cs="Arial"/>
          <w:sz w:val="20"/>
          <w:szCs w:val="20"/>
        </w:rPr>
        <w:t xml:space="preserve">32. </w:t>
      </w:r>
      <w:r w:rsidR="00AB4A34" w:rsidRPr="00AB4A34">
        <w:rPr>
          <w:rFonts w:ascii="Arial" w:hAnsi="Arial" w:cs="Arial"/>
          <w:sz w:val="20"/>
          <w:szCs w:val="20"/>
        </w:rPr>
        <w:t>Korpe P, Petri WA Jr.  Environmental Enteropathy: Critical implications of a poorly understood condition.  Trends Molecular Medicine</w:t>
      </w:r>
      <w:r w:rsidR="0017198C">
        <w:rPr>
          <w:rFonts w:ascii="Arial" w:hAnsi="Arial" w:cs="Arial"/>
          <w:sz w:val="20"/>
          <w:szCs w:val="20"/>
        </w:rPr>
        <w:t xml:space="preserve"> 2012, 18:328-336.</w:t>
      </w:r>
      <w:r w:rsidR="00CC77D7">
        <w:rPr>
          <w:rFonts w:ascii="Arial" w:hAnsi="Arial" w:cs="Arial"/>
          <w:sz w:val="20"/>
          <w:szCs w:val="20"/>
        </w:rPr>
        <w:t xml:space="preserve"> PMID: 22633998</w:t>
      </w:r>
    </w:p>
    <w:p w14:paraId="3797F5C7" w14:textId="77777777" w:rsidR="0017198C" w:rsidRDefault="0017198C" w:rsidP="00AB4A34">
      <w:pPr>
        <w:tabs>
          <w:tab w:val="left" w:pos="360"/>
        </w:tabs>
        <w:rPr>
          <w:rFonts w:ascii="Arial" w:hAnsi="Arial" w:cs="Arial"/>
          <w:b/>
          <w:sz w:val="20"/>
          <w:szCs w:val="20"/>
        </w:rPr>
      </w:pPr>
    </w:p>
    <w:p w14:paraId="1B95F518" w14:textId="7BF1A0F4" w:rsidR="00AB4A34" w:rsidRDefault="00F568B5" w:rsidP="00AB4A34">
      <w:pPr>
        <w:tabs>
          <w:tab w:val="left" w:pos="360"/>
        </w:tabs>
        <w:rPr>
          <w:rFonts w:ascii="Arial" w:hAnsi="Arial" w:cs="Arial"/>
          <w:b/>
          <w:sz w:val="20"/>
          <w:szCs w:val="20"/>
        </w:rPr>
      </w:pPr>
      <w:r>
        <w:rPr>
          <w:rFonts w:ascii="Arial" w:hAnsi="Arial" w:cs="Arial"/>
          <w:sz w:val="20"/>
          <w:szCs w:val="20"/>
        </w:rPr>
        <w:t xml:space="preserve">33. </w:t>
      </w:r>
      <w:r w:rsidR="00AB4A34" w:rsidRPr="00AB4A34">
        <w:rPr>
          <w:rFonts w:ascii="Arial" w:hAnsi="Arial" w:cs="Arial"/>
          <w:sz w:val="20"/>
          <w:szCs w:val="20"/>
        </w:rPr>
        <w:t>Donowitz JR, Petri WA Jr. Pediatric Small Intestinal Bacterial Overgrowth in Low-Income Coun</w:t>
      </w:r>
      <w:r w:rsidR="0017198C">
        <w:rPr>
          <w:rFonts w:ascii="Arial" w:hAnsi="Arial" w:cs="Arial"/>
          <w:sz w:val="20"/>
          <w:szCs w:val="20"/>
        </w:rPr>
        <w:t xml:space="preserve">tries. Trends </w:t>
      </w:r>
      <w:proofErr w:type="spellStart"/>
      <w:r w:rsidR="0017198C">
        <w:rPr>
          <w:rFonts w:ascii="Arial" w:hAnsi="Arial" w:cs="Arial"/>
          <w:sz w:val="20"/>
          <w:szCs w:val="20"/>
        </w:rPr>
        <w:t>Mol</w:t>
      </w:r>
      <w:proofErr w:type="spellEnd"/>
      <w:r w:rsidR="0017198C">
        <w:rPr>
          <w:rFonts w:ascii="Arial" w:hAnsi="Arial" w:cs="Arial"/>
          <w:sz w:val="20"/>
          <w:szCs w:val="20"/>
        </w:rPr>
        <w:t xml:space="preserve"> Med. 2015 21</w:t>
      </w:r>
      <w:r w:rsidR="00AB4A34" w:rsidRPr="00AB4A34">
        <w:rPr>
          <w:rFonts w:ascii="Arial" w:hAnsi="Arial" w:cs="Arial"/>
          <w:sz w:val="20"/>
          <w:szCs w:val="20"/>
        </w:rPr>
        <w:t xml:space="preserve">:6-15. </w:t>
      </w:r>
      <w:proofErr w:type="spellStart"/>
      <w:r w:rsidR="00AB4A34" w:rsidRPr="00AB4A34">
        <w:rPr>
          <w:rFonts w:ascii="Arial" w:hAnsi="Arial" w:cs="Arial"/>
          <w:sz w:val="20"/>
          <w:szCs w:val="20"/>
        </w:rPr>
        <w:t>doi</w:t>
      </w:r>
      <w:proofErr w:type="spellEnd"/>
      <w:r w:rsidR="00AB4A34" w:rsidRPr="00AB4A34">
        <w:rPr>
          <w:rFonts w:ascii="Arial" w:hAnsi="Arial" w:cs="Arial"/>
          <w:sz w:val="20"/>
          <w:szCs w:val="20"/>
        </w:rPr>
        <w:t>: 10.1016/j.molmed.2014.11.001.</w:t>
      </w:r>
      <w:r w:rsidR="00CC77D7">
        <w:rPr>
          <w:rFonts w:ascii="Arial" w:hAnsi="Arial" w:cs="Arial"/>
          <w:sz w:val="20"/>
          <w:szCs w:val="20"/>
        </w:rPr>
        <w:t xml:space="preserve"> PMID: 25486880</w:t>
      </w:r>
    </w:p>
    <w:p w14:paraId="05B25FA8" w14:textId="77777777" w:rsidR="00AB4A34" w:rsidRDefault="00AB4A34" w:rsidP="00AB4A34">
      <w:pPr>
        <w:tabs>
          <w:tab w:val="left" w:pos="360"/>
        </w:tabs>
        <w:rPr>
          <w:rFonts w:ascii="Arial" w:hAnsi="Arial" w:cs="Arial"/>
          <w:b/>
          <w:sz w:val="20"/>
          <w:szCs w:val="20"/>
        </w:rPr>
      </w:pPr>
    </w:p>
    <w:p w14:paraId="23660BFA" w14:textId="46D6852E" w:rsidR="00AB4A34" w:rsidRDefault="00F568B5" w:rsidP="00AB4A34">
      <w:pPr>
        <w:tabs>
          <w:tab w:val="left" w:pos="360"/>
        </w:tabs>
        <w:rPr>
          <w:rFonts w:ascii="Arial" w:hAnsi="Arial" w:cs="Arial"/>
          <w:b/>
          <w:sz w:val="20"/>
          <w:szCs w:val="20"/>
        </w:rPr>
      </w:pPr>
      <w:r>
        <w:rPr>
          <w:rFonts w:ascii="Arial" w:hAnsi="Arial" w:cs="Arial"/>
          <w:sz w:val="20"/>
          <w:szCs w:val="20"/>
        </w:rPr>
        <w:t xml:space="preserve">34. </w:t>
      </w:r>
      <w:r w:rsidR="00AB4A34" w:rsidRPr="00AB4A34">
        <w:rPr>
          <w:rFonts w:ascii="Arial" w:hAnsi="Arial" w:cs="Arial"/>
          <w:sz w:val="20"/>
          <w:szCs w:val="20"/>
        </w:rPr>
        <w:t xml:space="preserve">Petri WA Jr, Naylor C, Haque R. </w:t>
      </w:r>
      <w:r w:rsidR="00AB4A34" w:rsidRPr="00AB4A34">
        <w:rPr>
          <w:rFonts w:ascii="Arial" w:hAnsi="Arial" w:cs="Arial"/>
          <w:bCs/>
          <w:sz w:val="20"/>
          <w:szCs w:val="20"/>
        </w:rPr>
        <w:t xml:space="preserve">Environmental Enteropathy and Malnutrition: Do we know enough to intervene?  </w:t>
      </w:r>
      <w:r w:rsidR="00AB4A34" w:rsidRPr="00AB4A34">
        <w:rPr>
          <w:rFonts w:ascii="Arial" w:hAnsi="Arial" w:cs="Arial"/>
          <w:sz w:val="20"/>
          <w:szCs w:val="20"/>
        </w:rPr>
        <w:t xml:space="preserve">BMC Med. 2014 Oct </w:t>
      </w:r>
      <w:proofErr w:type="gramStart"/>
      <w:r w:rsidR="00AB4A34" w:rsidRPr="00AB4A34">
        <w:rPr>
          <w:rFonts w:ascii="Arial" w:hAnsi="Arial" w:cs="Arial"/>
          <w:sz w:val="20"/>
          <w:szCs w:val="20"/>
        </w:rPr>
        <w:t>14;12:187</w:t>
      </w:r>
      <w:proofErr w:type="gramEnd"/>
      <w:r w:rsidR="00AB4A34" w:rsidRPr="00AB4A34">
        <w:rPr>
          <w:rFonts w:ascii="Arial" w:hAnsi="Arial" w:cs="Arial"/>
          <w:sz w:val="20"/>
          <w:szCs w:val="20"/>
        </w:rPr>
        <w:t xml:space="preserve">. </w:t>
      </w:r>
      <w:proofErr w:type="spellStart"/>
      <w:r w:rsidR="00AB4A34" w:rsidRPr="00AB4A34">
        <w:rPr>
          <w:rFonts w:ascii="Arial" w:hAnsi="Arial" w:cs="Arial"/>
          <w:sz w:val="20"/>
          <w:szCs w:val="20"/>
        </w:rPr>
        <w:t>doi</w:t>
      </w:r>
      <w:proofErr w:type="spellEnd"/>
      <w:r w:rsidR="00AB4A34" w:rsidRPr="00AB4A34">
        <w:rPr>
          <w:rFonts w:ascii="Arial" w:hAnsi="Arial" w:cs="Arial"/>
          <w:sz w:val="20"/>
          <w:szCs w:val="20"/>
        </w:rPr>
        <w:t>: 10.1186/s12916-014-0187-1.</w:t>
      </w:r>
      <w:r w:rsidR="00CC77D7">
        <w:rPr>
          <w:rFonts w:ascii="Arial" w:hAnsi="Arial" w:cs="Arial"/>
          <w:sz w:val="20"/>
          <w:szCs w:val="20"/>
        </w:rPr>
        <w:t xml:space="preserve"> PMID: 25604120</w:t>
      </w:r>
    </w:p>
    <w:p w14:paraId="4574B2A7" w14:textId="77777777" w:rsidR="00AB4A34" w:rsidRDefault="00AB4A34" w:rsidP="00AB4A34">
      <w:pPr>
        <w:tabs>
          <w:tab w:val="left" w:pos="360"/>
        </w:tabs>
        <w:rPr>
          <w:rFonts w:ascii="Arial" w:hAnsi="Arial" w:cs="Arial"/>
          <w:b/>
          <w:sz w:val="20"/>
          <w:szCs w:val="20"/>
        </w:rPr>
      </w:pPr>
    </w:p>
    <w:p w14:paraId="1329E60D" w14:textId="5ED51D26" w:rsidR="00AB4A34" w:rsidRDefault="00F568B5" w:rsidP="00AB4A34">
      <w:pPr>
        <w:tabs>
          <w:tab w:val="left" w:pos="360"/>
        </w:tabs>
        <w:rPr>
          <w:rFonts w:ascii="Arial" w:hAnsi="Arial" w:cs="Arial"/>
          <w:b/>
          <w:sz w:val="20"/>
          <w:szCs w:val="20"/>
        </w:rPr>
      </w:pPr>
      <w:r>
        <w:rPr>
          <w:rFonts w:ascii="Arial" w:hAnsi="Arial" w:cs="Arial"/>
          <w:sz w:val="20"/>
          <w:szCs w:val="20"/>
        </w:rPr>
        <w:t xml:space="preserve">35. </w:t>
      </w:r>
      <w:r w:rsidR="00AB4A34" w:rsidRPr="00AB4A34">
        <w:rPr>
          <w:rFonts w:ascii="Arial" w:hAnsi="Arial" w:cs="Arial"/>
          <w:sz w:val="20"/>
          <w:szCs w:val="20"/>
        </w:rPr>
        <w:t xml:space="preserve">Gilmartin AA, Petri WA Jr. Exploring the role of environmental enteropathy in malnutrition, infant development and oral vaccine response. </w:t>
      </w:r>
      <w:proofErr w:type="spellStart"/>
      <w:r w:rsidR="00AB4A34" w:rsidRPr="00AB4A34">
        <w:rPr>
          <w:rFonts w:ascii="Arial" w:hAnsi="Arial" w:cs="Arial"/>
          <w:sz w:val="20"/>
          <w:szCs w:val="20"/>
        </w:rPr>
        <w:t>Philos</w:t>
      </w:r>
      <w:proofErr w:type="spellEnd"/>
      <w:r w:rsidR="00AB4A34" w:rsidRPr="00AB4A34">
        <w:rPr>
          <w:rFonts w:ascii="Arial" w:hAnsi="Arial" w:cs="Arial"/>
          <w:sz w:val="20"/>
          <w:szCs w:val="20"/>
        </w:rPr>
        <w:t xml:space="preserve"> Trans R </w:t>
      </w:r>
      <w:proofErr w:type="spellStart"/>
      <w:r w:rsidR="00AB4A34" w:rsidRPr="00AB4A34">
        <w:rPr>
          <w:rFonts w:ascii="Arial" w:hAnsi="Arial" w:cs="Arial"/>
          <w:sz w:val="20"/>
          <w:szCs w:val="20"/>
        </w:rPr>
        <w:t>Soc</w:t>
      </w:r>
      <w:proofErr w:type="spellEnd"/>
      <w:r w:rsidR="00AB4A34" w:rsidRPr="00AB4A34">
        <w:rPr>
          <w:rFonts w:ascii="Arial" w:hAnsi="Arial" w:cs="Arial"/>
          <w:sz w:val="20"/>
          <w:szCs w:val="20"/>
        </w:rPr>
        <w:t xml:space="preserve"> </w:t>
      </w:r>
      <w:proofErr w:type="spellStart"/>
      <w:r w:rsidR="00AB4A34" w:rsidRPr="00AB4A34">
        <w:rPr>
          <w:rFonts w:ascii="Arial" w:hAnsi="Arial" w:cs="Arial"/>
          <w:sz w:val="20"/>
          <w:szCs w:val="20"/>
        </w:rPr>
        <w:t>Lond</w:t>
      </w:r>
      <w:proofErr w:type="spellEnd"/>
      <w:r w:rsidR="00AB4A34" w:rsidRPr="00AB4A34">
        <w:rPr>
          <w:rFonts w:ascii="Arial" w:hAnsi="Arial" w:cs="Arial"/>
          <w:sz w:val="20"/>
          <w:szCs w:val="20"/>
        </w:rPr>
        <w:t xml:space="preserve"> B </w:t>
      </w:r>
      <w:proofErr w:type="spellStart"/>
      <w:r w:rsidR="00AB4A34" w:rsidRPr="00AB4A34">
        <w:rPr>
          <w:rFonts w:ascii="Arial" w:hAnsi="Arial" w:cs="Arial"/>
          <w:sz w:val="20"/>
          <w:szCs w:val="20"/>
        </w:rPr>
        <w:t>Biol</w:t>
      </w:r>
      <w:proofErr w:type="spellEnd"/>
      <w:r w:rsidR="00AB4A34" w:rsidRPr="00AB4A34">
        <w:rPr>
          <w:rFonts w:ascii="Arial" w:hAnsi="Arial" w:cs="Arial"/>
          <w:sz w:val="20"/>
          <w:szCs w:val="20"/>
        </w:rPr>
        <w:t xml:space="preserve"> Sci. 2015 Jun 19;370(1671). </w:t>
      </w:r>
      <w:proofErr w:type="spellStart"/>
      <w:r w:rsidR="00AB4A34" w:rsidRPr="00AB4A34">
        <w:rPr>
          <w:rFonts w:ascii="Arial" w:hAnsi="Arial" w:cs="Arial"/>
          <w:sz w:val="20"/>
          <w:szCs w:val="20"/>
        </w:rPr>
        <w:t>pii</w:t>
      </w:r>
      <w:proofErr w:type="spellEnd"/>
      <w:r w:rsidR="00AB4A34" w:rsidRPr="00AB4A34">
        <w:rPr>
          <w:rFonts w:ascii="Arial" w:hAnsi="Arial" w:cs="Arial"/>
          <w:sz w:val="20"/>
          <w:szCs w:val="20"/>
        </w:rPr>
        <w:t xml:space="preserve">: 20140143. </w:t>
      </w:r>
      <w:proofErr w:type="spellStart"/>
      <w:r w:rsidR="00AB4A34" w:rsidRPr="00AB4A34">
        <w:rPr>
          <w:rFonts w:ascii="Arial" w:hAnsi="Arial" w:cs="Arial"/>
          <w:sz w:val="20"/>
          <w:szCs w:val="20"/>
        </w:rPr>
        <w:t>doi</w:t>
      </w:r>
      <w:proofErr w:type="spellEnd"/>
      <w:r w:rsidR="00AB4A34" w:rsidRPr="00AB4A34">
        <w:rPr>
          <w:rFonts w:ascii="Arial" w:hAnsi="Arial" w:cs="Arial"/>
          <w:sz w:val="20"/>
          <w:szCs w:val="20"/>
        </w:rPr>
        <w:t>: 10.1098/rstb.2014.0143.</w:t>
      </w:r>
      <w:r w:rsidR="00CC77D7">
        <w:rPr>
          <w:rFonts w:ascii="Arial" w:hAnsi="Arial" w:cs="Arial"/>
          <w:sz w:val="20"/>
          <w:szCs w:val="20"/>
        </w:rPr>
        <w:t xml:space="preserve"> PMID: 25964455</w:t>
      </w:r>
    </w:p>
    <w:p w14:paraId="31FD6BD8" w14:textId="77777777" w:rsidR="00AB4A34" w:rsidRDefault="00AB4A34" w:rsidP="00AB4A34">
      <w:pPr>
        <w:tabs>
          <w:tab w:val="left" w:pos="360"/>
        </w:tabs>
        <w:rPr>
          <w:rFonts w:ascii="Arial" w:hAnsi="Arial" w:cs="Arial"/>
          <w:b/>
          <w:sz w:val="20"/>
          <w:szCs w:val="20"/>
        </w:rPr>
      </w:pPr>
    </w:p>
    <w:p w14:paraId="3A3AC85E" w14:textId="78814064" w:rsidR="00AB4A34" w:rsidRDefault="00F568B5" w:rsidP="00AB4A34">
      <w:pPr>
        <w:tabs>
          <w:tab w:val="left" w:pos="360"/>
          <w:tab w:val="num" w:pos="630"/>
        </w:tabs>
        <w:rPr>
          <w:rFonts w:ascii="Arial" w:hAnsi="Arial" w:cs="Arial"/>
          <w:sz w:val="20"/>
          <w:szCs w:val="20"/>
        </w:rPr>
      </w:pPr>
      <w:r>
        <w:rPr>
          <w:rFonts w:ascii="Arial" w:hAnsi="Arial" w:cs="Arial"/>
          <w:sz w:val="20"/>
          <w:szCs w:val="20"/>
        </w:rPr>
        <w:t xml:space="preserve">36. </w:t>
      </w:r>
      <w:r w:rsidR="00AB4A34" w:rsidRPr="00AB4A34">
        <w:rPr>
          <w:rFonts w:ascii="Arial" w:hAnsi="Arial" w:cs="Arial"/>
          <w:sz w:val="20"/>
          <w:szCs w:val="20"/>
        </w:rPr>
        <w:t xml:space="preserve">Watanabe, K, Petri WA Jr.  Environmental Enteropathy: elusive but significant subclinical abnormalities in developing countries.  </w:t>
      </w:r>
      <w:proofErr w:type="spellStart"/>
      <w:r w:rsidR="00AB4A34" w:rsidRPr="00AB4A34">
        <w:rPr>
          <w:rFonts w:ascii="Arial" w:hAnsi="Arial" w:cs="Arial"/>
          <w:sz w:val="20"/>
          <w:szCs w:val="20"/>
        </w:rPr>
        <w:t>EBioMedicine</w:t>
      </w:r>
      <w:proofErr w:type="spellEnd"/>
      <w:r w:rsidR="00AB4A34" w:rsidRPr="00AB4A34">
        <w:rPr>
          <w:rFonts w:ascii="Arial" w:hAnsi="Arial" w:cs="Arial"/>
          <w:sz w:val="20"/>
          <w:szCs w:val="20"/>
        </w:rPr>
        <w:t xml:space="preserve">. 2016 </w:t>
      </w:r>
      <w:proofErr w:type="gramStart"/>
      <w:r w:rsidR="00AB4A34" w:rsidRPr="00AB4A34">
        <w:rPr>
          <w:rFonts w:ascii="Arial" w:hAnsi="Arial" w:cs="Arial"/>
          <w:sz w:val="20"/>
          <w:szCs w:val="20"/>
        </w:rPr>
        <w:t>Aug;10:25</w:t>
      </w:r>
      <w:proofErr w:type="gramEnd"/>
      <w:r w:rsidR="00AB4A34" w:rsidRPr="00AB4A34">
        <w:rPr>
          <w:rFonts w:ascii="Arial" w:hAnsi="Arial" w:cs="Arial"/>
          <w:sz w:val="20"/>
          <w:szCs w:val="20"/>
        </w:rPr>
        <w:t xml:space="preserve">-32. </w:t>
      </w:r>
      <w:proofErr w:type="spellStart"/>
      <w:r w:rsidR="00AB4A34" w:rsidRPr="00AB4A34">
        <w:rPr>
          <w:rFonts w:ascii="Arial" w:hAnsi="Arial" w:cs="Arial"/>
          <w:sz w:val="20"/>
          <w:szCs w:val="20"/>
        </w:rPr>
        <w:t>doi</w:t>
      </w:r>
      <w:proofErr w:type="spellEnd"/>
      <w:r w:rsidR="00AB4A34" w:rsidRPr="00AB4A34">
        <w:rPr>
          <w:rFonts w:ascii="Arial" w:hAnsi="Arial" w:cs="Arial"/>
          <w:sz w:val="20"/>
          <w:szCs w:val="20"/>
        </w:rPr>
        <w:t>: 10.1016/j.ebiom.2016.07.030.</w:t>
      </w:r>
      <w:r w:rsidR="00CC77D7">
        <w:rPr>
          <w:rFonts w:ascii="Arial" w:hAnsi="Arial" w:cs="Arial"/>
          <w:sz w:val="20"/>
          <w:szCs w:val="20"/>
        </w:rPr>
        <w:t xml:space="preserve"> PMID: 27495791</w:t>
      </w:r>
    </w:p>
    <w:p w14:paraId="71DD4E52" w14:textId="52129B58" w:rsidR="00F568B5" w:rsidRDefault="00F568B5" w:rsidP="00AB4A34">
      <w:pPr>
        <w:tabs>
          <w:tab w:val="left" w:pos="360"/>
          <w:tab w:val="num" w:pos="630"/>
        </w:tabs>
        <w:rPr>
          <w:rFonts w:ascii="Arial" w:hAnsi="Arial" w:cs="Arial"/>
          <w:sz w:val="20"/>
          <w:szCs w:val="20"/>
        </w:rPr>
      </w:pPr>
    </w:p>
    <w:p w14:paraId="2609EBF4" w14:textId="4C6F8AA0" w:rsidR="00F568B5" w:rsidRDefault="00F568B5" w:rsidP="00F568B5">
      <w:pPr>
        <w:tabs>
          <w:tab w:val="left" w:pos="360"/>
          <w:tab w:val="num" w:pos="630"/>
        </w:tabs>
        <w:rPr>
          <w:rFonts w:ascii="Arial" w:hAnsi="Arial" w:cs="Arial"/>
          <w:sz w:val="20"/>
          <w:szCs w:val="20"/>
        </w:rPr>
      </w:pPr>
      <w:r>
        <w:rPr>
          <w:rFonts w:ascii="Arial" w:hAnsi="Arial" w:cs="Arial"/>
          <w:sz w:val="20"/>
          <w:szCs w:val="20"/>
        </w:rPr>
        <w:t xml:space="preserve">37. Jiang NM, Cowan M, </w:t>
      </w:r>
      <w:proofErr w:type="spellStart"/>
      <w:r>
        <w:rPr>
          <w:rFonts w:ascii="Arial" w:hAnsi="Arial" w:cs="Arial"/>
          <w:sz w:val="20"/>
          <w:szCs w:val="20"/>
        </w:rPr>
        <w:t>Moonah</w:t>
      </w:r>
      <w:proofErr w:type="spellEnd"/>
      <w:r>
        <w:rPr>
          <w:rFonts w:ascii="Arial" w:hAnsi="Arial" w:cs="Arial"/>
          <w:sz w:val="20"/>
          <w:szCs w:val="20"/>
        </w:rPr>
        <w:t xml:space="preserve"> SN, Petri WA Jr. Impact of systemic inflammation on neurodevelopment. Trends Molecular Medicine 2018, 24:794-804.</w:t>
      </w:r>
      <w:r w:rsidR="00CC77D7">
        <w:rPr>
          <w:rFonts w:ascii="Arial" w:hAnsi="Arial" w:cs="Arial"/>
          <w:sz w:val="20"/>
          <w:szCs w:val="20"/>
        </w:rPr>
        <w:t xml:space="preserve"> PMID: 30006148</w:t>
      </w:r>
    </w:p>
    <w:p w14:paraId="2EDE6D0A" w14:textId="77777777" w:rsidR="00F568B5" w:rsidRDefault="00F568B5" w:rsidP="00AB4A34">
      <w:pPr>
        <w:tabs>
          <w:tab w:val="left" w:pos="360"/>
          <w:tab w:val="num" w:pos="630"/>
        </w:tabs>
        <w:rPr>
          <w:rFonts w:ascii="Arial" w:hAnsi="Arial" w:cs="Arial"/>
          <w:sz w:val="20"/>
          <w:szCs w:val="20"/>
        </w:rPr>
      </w:pPr>
    </w:p>
    <w:p w14:paraId="7B6E41DC" w14:textId="65C57534" w:rsidR="00D149CD" w:rsidRPr="006707A3" w:rsidRDefault="00D149CD" w:rsidP="006707A3">
      <w:pPr>
        <w:tabs>
          <w:tab w:val="left" w:pos="360"/>
          <w:tab w:val="num" w:pos="630"/>
        </w:tabs>
        <w:rPr>
          <w:rFonts w:ascii="Arial" w:hAnsi="Arial" w:cs="Arial"/>
          <w:b/>
          <w:sz w:val="20"/>
          <w:szCs w:val="20"/>
        </w:rPr>
      </w:pPr>
    </w:p>
    <w:sectPr w:rsidR="00D149CD" w:rsidRPr="006707A3" w:rsidSect="00D96C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DACC8148"/>
    <w:lvl w:ilvl="0">
      <w:start w:val="40"/>
      <w:numFmt w:val="decimal"/>
      <w:lvlText w:val="%1."/>
      <w:lvlJc w:val="left"/>
      <w:pPr>
        <w:tabs>
          <w:tab w:val="num" w:pos="630"/>
        </w:tabs>
        <w:ind w:left="630" w:hanging="360"/>
      </w:pPr>
      <w:rPr>
        <w:rFonts w:hint="default"/>
        <w:i w:val="0"/>
      </w:rPr>
    </w:lvl>
  </w:abstractNum>
  <w:abstractNum w:abstractNumId="1" w15:restartNumberingAfterBreak="0">
    <w:nsid w:val="05F240C0"/>
    <w:multiLevelType w:val="singleLevel"/>
    <w:tmpl w:val="DACC8148"/>
    <w:lvl w:ilvl="0">
      <w:start w:val="40"/>
      <w:numFmt w:val="decimal"/>
      <w:lvlText w:val="%1."/>
      <w:lvlJc w:val="left"/>
      <w:pPr>
        <w:tabs>
          <w:tab w:val="num" w:pos="630"/>
        </w:tabs>
        <w:ind w:left="630" w:hanging="360"/>
      </w:pPr>
      <w:rPr>
        <w:rFonts w:hint="default"/>
        <w:i w:val="0"/>
      </w:rPr>
    </w:lvl>
  </w:abstractNum>
  <w:abstractNum w:abstractNumId="2" w15:restartNumberingAfterBreak="0">
    <w:nsid w:val="56316404"/>
    <w:multiLevelType w:val="hybridMultilevel"/>
    <w:tmpl w:val="6CA2DE54"/>
    <w:lvl w:ilvl="0" w:tplc="306E5C46">
      <w:start w:val="45"/>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EA049C"/>
    <w:multiLevelType w:val="hybridMultilevel"/>
    <w:tmpl w:val="5B008136"/>
    <w:lvl w:ilvl="0" w:tplc="8DC6044E">
      <w:start w:val="95"/>
      <w:numFmt w:val="decimal"/>
      <w:lvlText w:val="%1."/>
      <w:lvlJc w:val="left"/>
      <w:pPr>
        <w:tabs>
          <w:tab w:val="num" w:pos="540"/>
        </w:tabs>
        <w:ind w:left="540" w:hanging="360"/>
      </w:pPr>
      <w:rPr>
        <w:rFonts w:hint="default"/>
        <w:i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1A"/>
    <w:rsid w:val="000135FE"/>
    <w:rsid w:val="000248FA"/>
    <w:rsid w:val="00052904"/>
    <w:rsid w:val="00056B67"/>
    <w:rsid w:val="00090C7A"/>
    <w:rsid w:val="000D0D2E"/>
    <w:rsid w:val="000D10B6"/>
    <w:rsid w:val="000F1968"/>
    <w:rsid w:val="000F4447"/>
    <w:rsid w:val="001024EC"/>
    <w:rsid w:val="00106CF1"/>
    <w:rsid w:val="00112569"/>
    <w:rsid w:val="00121FA0"/>
    <w:rsid w:val="0012412C"/>
    <w:rsid w:val="0013086E"/>
    <w:rsid w:val="00163FA3"/>
    <w:rsid w:val="00164235"/>
    <w:rsid w:val="0017198C"/>
    <w:rsid w:val="001771DF"/>
    <w:rsid w:val="001873BB"/>
    <w:rsid w:val="001A46BA"/>
    <w:rsid w:val="001A630C"/>
    <w:rsid w:val="001E2CFE"/>
    <w:rsid w:val="001F1D2E"/>
    <w:rsid w:val="00212D2F"/>
    <w:rsid w:val="00213CB6"/>
    <w:rsid w:val="00216C12"/>
    <w:rsid w:val="00225D64"/>
    <w:rsid w:val="002342E2"/>
    <w:rsid w:val="00234D7D"/>
    <w:rsid w:val="00257EE5"/>
    <w:rsid w:val="00260F2C"/>
    <w:rsid w:val="002B7B74"/>
    <w:rsid w:val="002E7C79"/>
    <w:rsid w:val="0036651A"/>
    <w:rsid w:val="0037176E"/>
    <w:rsid w:val="00371F6A"/>
    <w:rsid w:val="00382FB4"/>
    <w:rsid w:val="003B46B8"/>
    <w:rsid w:val="003E451A"/>
    <w:rsid w:val="003F0105"/>
    <w:rsid w:val="003F7C4B"/>
    <w:rsid w:val="0040548A"/>
    <w:rsid w:val="0044576E"/>
    <w:rsid w:val="004506CB"/>
    <w:rsid w:val="004724BC"/>
    <w:rsid w:val="0048601D"/>
    <w:rsid w:val="004A3817"/>
    <w:rsid w:val="004B6BAB"/>
    <w:rsid w:val="004D1E72"/>
    <w:rsid w:val="004E186F"/>
    <w:rsid w:val="00501528"/>
    <w:rsid w:val="005151A4"/>
    <w:rsid w:val="00517F7F"/>
    <w:rsid w:val="0053126A"/>
    <w:rsid w:val="00534420"/>
    <w:rsid w:val="00534ACD"/>
    <w:rsid w:val="0053682D"/>
    <w:rsid w:val="005433B6"/>
    <w:rsid w:val="00570C73"/>
    <w:rsid w:val="0059362A"/>
    <w:rsid w:val="005D4B6A"/>
    <w:rsid w:val="005E4B3C"/>
    <w:rsid w:val="005F698F"/>
    <w:rsid w:val="0060754E"/>
    <w:rsid w:val="00627850"/>
    <w:rsid w:val="006332ED"/>
    <w:rsid w:val="0063415A"/>
    <w:rsid w:val="00642526"/>
    <w:rsid w:val="006521A8"/>
    <w:rsid w:val="0067031D"/>
    <w:rsid w:val="006707A3"/>
    <w:rsid w:val="00690D2F"/>
    <w:rsid w:val="006A5DD8"/>
    <w:rsid w:val="006B5D7B"/>
    <w:rsid w:val="006C130C"/>
    <w:rsid w:val="006D3794"/>
    <w:rsid w:val="007007DF"/>
    <w:rsid w:val="00725890"/>
    <w:rsid w:val="007322EE"/>
    <w:rsid w:val="00733EB5"/>
    <w:rsid w:val="00734C0E"/>
    <w:rsid w:val="007654F5"/>
    <w:rsid w:val="0078488B"/>
    <w:rsid w:val="00786477"/>
    <w:rsid w:val="007A20BB"/>
    <w:rsid w:val="007C68E2"/>
    <w:rsid w:val="007E344C"/>
    <w:rsid w:val="007F4B6C"/>
    <w:rsid w:val="00833D6A"/>
    <w:rsid w:val="00841CCE"/>
    <w:rsid w:val="00855D30"/>
    <w:rsid w:val="00857CAE"/>
    <w:rsid w:val="00864662"/>
    <w:rsid w:val="00865E2E"/>
    <w:rsid w:val="008969FD"/>
    <w:rsid w:val="008D41FA"/>
    <w:rsid w:val="009154A7"/>
    <w:rsid w:val="00920FC3"/>
    <w:rsid w:val="00947FFB"/>
    <w:rsid w:val="00963EB5"/>
    <w:rsid w:val="009A425C"/>
    <w:rsid w:val="009C18A6"/>
    <w:rsid w:val="009E1870"/>
    <w:rsid w:val="009F2E3E"/>
    <w:rsid w:val="00A238CB"/>
    <w:rsid w:val="00A331F2"/>
    <w:rsid w:val="00A522FD"/>
    <w:rsid w:val="00A571A4"/>
    <w:rsid w:val="00A906C8"/>
    <w:rsid w:val="00AA6083"/>
    <w:rsid w:val="00AB4A34"/>
    <w:rsid w:val="00AB7966"/>
    <w:rsid w:val="00AD3B80"/>
    <w:rsid w:val="00AE6E94"/>
    <w:rsid w:val="00AF0638"/>
    <w:rsid w:val="00AF743D"/>
    <w:rsid w:val="00B00614"/>
    <w:rsid w:val="00B202F2"/>
    <w:rsid w:val="00B31A37"/>
    <w:rsid w:val="00B4215A"/>
    <w:rsid w:val="00B42343"/>
    <w:rsid w:val="00B8364A"/>
    <w:rsid w:val="00BB370A"/>
    <w:rsid w:val="00BB3CF4"/>
    <w:rsid w:val="00BD1CD9"/>
    <w:rsid w:val="00C1224D"/>
    <w:rsid w:val="00C12B85"/>
    <w:rsid w:val="00C259C6"/>
    <w:rsid w:val="00C778A6"/>
    <w:rsid w:val="00C85FBC"/>
    <w:rsid w:val="00CC77D7"/>
    <w:rsid w:val="00CD17A1"/>
    <w:rsid w:val="00CF1620"/>
    <w:rsid w:val="00CF490A"/>
    <w:rsid w:val="00D066D2"/>
    <w:rsid w:val="00D117BD"/>
    <w:rsid w:val="00D142CB"/>
    <w:rsid w:val="00D149CD"/>
    <w:rsid w:val="00D2168B"/>
    <w:rsid w:val="00D43907"/>
    <w:rsid w:val="00D6298A"/>
    <w:rsid w:val="00D66281"/>
    <w:rsid w:val="00D66E99"/>
    <w:rsid w:val="00D708F1"/>
    <w:rsid w:val="00D7220E"/>
    <w:rsid w:val="00D725C5"/>
    <w:rsid w:val="00D96C67"/>
    <w:rsid w:val="00DA0B29"/>
    <w:rsid w:val="00DA10AB"/>
    <w:rsid w:val="00DB4C90"/>
    <w:rsid w:val="00E01E79"/>
    <w:rsid w:val="00E05979"/>
    <w:rsid w:val="00E110C4"/>
    <w:rsid w:val="00E5790C"/>
    <w:rsid w:val="00E6548C"/>
    <w:rsid w:val="00E76A85"/>
    <w:rsid w:val="00E875D7"/>
    <w:rsid w:val="00EB2EFE"/>
    <w:rsid w:val="00EE2A5B"/>
    <w:rsid w:val="00F103A0"/>
    <w:rsid w:val="00F2061A"/>
    <w:rsid w:val="00F3581C"/>
    <w:rsid w:val="00F41193"/>
    <w:rsid w:val="00F477E6"/>
    <w:rsid w:val="00F568B5"/>
    <w:rsid w:val="00F6061A"/>
    <w:rsid w:val="00F65C13"/>
    <w:rsid w:val="00FA1EC6"/>
    <w:rsid w:val="00FA32D6"/>
    <w:rsid w:val="00FA5610"/>
    <w:rsid w:val="00FC5908"/>
    <w:rsid w:val="00FC5AFB"/>
    <w:rsid w:val="00FD76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40652"/>
  <w15:docId w15:val="{3A389CA6-A49D-DA44-A865-B77CE09A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743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F743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D142C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0A"/>
    <w:pPr>
      <w:ind w:left="720"/>
      <w:contextualSpacing/>
    </w:pPr>
  </w:style>
  <w:style w:type="paragraph" w:styleId="NormalWeb">
    <w:name w:val="Normal (Web)"/>
    <w:basedOn w:val="Normal"/>
    <w:uiPriority w:val="99"/>
    <w:unhideWhenUsed/>
    <w:rsid w:val="00A571A4"/>
    <w:pPr>
      <w:spacing w:before="100" w:beforeAutospacing="1" w:after="100" w:afterAutospacing="1"/>
    </w:pPr>
    <w:rPr>
      <w:rFonts w:ascii="Times" w:hAnsi="Times" w:cs="Times New Roman"/>
      <w:sz w:val="20"/>
      <w:szCs w:val="20"/>
    </w:rPr>
  </w:style>
  <w:style w:type="character" w:styleId="Strong">
    <w:name w:val="Strong"/>
    <w:uiPriority w:val="22"/>
    <w:qFormat/>
    <w:rsid w:val="001A46BA"/>
    <w:rPr>
      <w:b/>
      <w:bCs/>
    </w:rPr>
  </w:style>
  <w:style w:type="character" w:styleId="Hyperlink">
    <w:name w:val="Hyperlink"/>
    <w:basedOn w:val="DefaultParagraphFont"/>
    <w:uiPriority w:val="99"/>
    <w:unhideWhenUsed/>
    <w:rsid w:val="00AB4A34"/>
    <w:rPr>
      <w:color w:val="0000FF" w:themeColor="hyperlink"/>
      <w:u w:val="single"/>
    </w:rPr>
  </w:style>
  <w:style w:type="character" w:customStyle="1" w:styleId="apple-converted-space">
    <w:name w:val="apple-converted-space"/>
    <w:basedOn w:val="DefaultParagraphFont"/>
    <w:rsid w:val="00EE2A5B"/>
  </w:style>
  <w:style w:type="character" w:customStyle="1" w:styleId="jrnl">
    <w:name w:val="jrnl"/>
    <w:basedOn w:val="DefaultParagraphFont"/>
    <w:rsid w:val="00D142CB"/>
  </w:style>
  <w:style w:type="character" w:customStyle="1" w:styleId="Heading4Char">
    <w:name w:val="Heading 4 Char"/>
    <w:basedOn w:val="DefaultParagraphFont"/>
    <w:link w:val="Heading4"/>
    <w:uiPriority w:val="9"/>
    <w:rsid w:val="00D142CB"/>
    <w:rPr>
      <w:rFonts w:ascii="Times" w:hAnsi="Times"/>
      <w:b/>
      <w:bCs/>
    </w:rPr>
  </w:style>
  <w:style w:type="character" w:customStyle="1" w:styleId="Heading3Char">
    <w:name w:val="Heading 3 Char"/>
    <w:basedOn w:val="DefaultParagraphFont"/>
    <w:link w:val="Heading3"/>
    <w:uiPriority w:val="9"/>
    <w:semiHidden/>
    <w:rsid w:val="00AF743D"/>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AF743D"/>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17198C"/>
    <w:rPr>
      <w:color w:val="800080" w:themeColor="followedHyperlink"/>
      <w:u w:val="single"/>
    </w:rPr>
  </w:style>
  <w:style w:type="character" w:customStyle="1" w:styleId="highlight">
    <w:name w:val="highlight"/>
    <w:basedOn w:val="DefaultParagraphFont"/>
    <w:rsid w:val="003B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0416">
      <w:bodyDiv w:val="1"/>
      <w:marLeft w:val="0"/>
      <w:marRight w:val="0"/>
      <w:marTop w:val="0"/>
      <w:marBottom w:val="0"/>
      <w:divBdr>
        <w:top w:val="none" w:sz="0" w:space="0" w:color="auto"/>
        <w:left w:val="none" w:sz="0" w:space="0" w:color="auto"/>
        <w:bottom w:val="none" w:sz="0" w:space="0" w:color="auto"/>
        <w:right w:val="none" w:sz="0" w:space="0" w:color="auto"/>
      </w:divBdr>
      <w:divsChild>
        <w:div w:id="335037635">
          <w:marLeft w:val="0"/>
          <w:marRight w:val="0"/>
          <w:marTop w:val="0"/>
          <w:marBottom w:val="0"/>
          <w:divBdr>
            <w:top w:val="none" w:sz="0" w:space="0" w:color="auto"/>
            <w:left w:val="none" w:sz="0" w:space="0" w:color="auto"/>
            <w:bottom w:val="none" w:sz="0" w:space="0" w:color="auto"/>
            <w:right w:val="none" w:sz="0" w:space="0" w:color="auto"/>
          </w:divBdr>
          <w:divsChild>
            <w:div w:id="196436656">
              <w:marLeft w:val="0"/>
              <w:marRight w:val="0"/>
              <w:marTop w:val="0"/>
              <w:marBottom w:val="0"/>
              <w:divBdr>
                <w:top w:val="none" w:sz="0" w:space="0" w:color="auto"/>
                <w:left w:val="none" w:sz="0" w:space="0" w:color="auto"/>
                <w:bottom w:val="none" w:sz="0" w:space="0" w:color="auto"/>
                <w:right w:val="none" w:sz="0" w:space="0" w:color="auto"/>
              </w:divBdr>
              <w:divsChild>
                <w:div w:id="1571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7642">
      <w:bodyDiv w:val="1"/>
      <w:marLeft w:val="0"/>
      <w:marRight w:val="0"/>
      <w:marTop w:val="0"/>
      <w:marBottom w:val="0"/>
      <w:divBdr>
        <w:top w:val="none" w:sz="0" w:space="0" w:color="auto"/>
        <w:left w:val="none" w:sz="0" w:space="0" w:color="auto"/>
        <w:bottom w:val="none" w:sz="0" w:space="0" w:color="auto"/>
        <w:right w:val="none" w:sz="0" w:space="0" w:color="auto"/>
      </w:divBdr>
    </w:div>
    <w:div w:id="246618813">
      <w:bodyDiv w:val="1"/>
      <w:marLeft w:val="0"/>
      <w:marRight w:val="0"/>
      <w:marTop w:val="0"/>
      <w:marBottom w:val="0"/>
      <w:divBdr>
        <w:top w:val="none" w:sz="0" w:space="0" w:color="auto"/>
        <w:left w:val="none" w:sz="0" w:space="0" w:color="auto"/>
        <w:bottom w:val="none" w:sz="0" w:space="0" w:color="auto"/>
        <w:right w:val="none" w:sz="0" w:space="0" w:color="auto"/>
      </w:divBdr>
      <w:divsChild>
        <w:div w:id="555511432">
          <w:marLeft w:val="0"/>
          <w:marRight w:val="1"/>
          <w:marTop w:val="0"/>
          <w:marBottom w:val="0"/>
          <w:divBdr>
            <w:top w:val="none" w:sz="0" w:space="0" w:color="auto"/>
            <w:left w:val="none" w:sz="0" w:space="0" w:color="auto"/>
            <w:bottom w:val="none" w:sz="0" w:space="0" w:color="auto"/>
            <w:right w:val="none" w:sz="0" w:space="0" w:color="auto"/>
          </w:divBdr>
          <w:divsChild>
            <w:div w:id="1979338258">
              <w:marLeft w:val="0"/>
              <w:marRight w:val="0"/>
              <w:marTop w:val="0"/>
              <w:marBottom w:val="0"/>
              <w:divBdr>
                <w:top w:val="none" w:sz="0" w:space="0" w:color="auto"/>
                <w:left w:val="none" w:sz="0" w:space="0" w:color="auto"/>
                <w:bottom w:val="none" w:sz="0" w:space="0" w:color="auto"/>
                <w:right w:val="none" w:sz="0" w:space="0" w:color="auto"/>
              </w:divBdr>
              <w:divsChild>
                <w:div w:id="2071920740">
                  <w:marLeft w:val="0"/>
                  <w:marRight w:val="1"/>
                  <w:marTop w:val="0"/>
                  <w:marBottom w:val="0"/>
                  <w:divBdr>
                    <w:top w:val="none" w:sz="0" w:space="0" w:color="auto"/>
                    <w:left w:val="none" w:sz="0" w:space="0" w:color="auto"/>
                    <w:bottom w:val="none" w:sz="0" w:space="0" w:color="auto"/>
                    <w:right w:val="none" w:sz="0" w:space="0" w:color="auto"/>
                  </w:divBdr>
                  <w:divsChild>
                    <w:div w:id="1680424837">
                      <w:marLeft w:val="0"/>
                      <w:marRight w:val="0"/>
                      <w:marTop w:val="0"/>
                      <w:marBottom w:val="0"/>
                      <w:divBdr>
                        <w:top w:val="none" w:sz="0" w:space="0" w:color="auto"/>
                        <w:left w:val="none" w:sz="0" w:space="0" w:color="auto"/>
                        <w:bottom w:val="none" w:sz="0" w:space="0" w:color="auto"/>
                        <w:right w:val="none" w:sz="0" w:space="0" w:color="auto"/>
                      </w:divBdr>
                      <w:divsChild>
                        <w:div w:id="1471285811">
                          <w:marLeft w:val="0"/>
                          <w:marRight w:val="0"/>
                          <w:marTop w:val="0"/>
                          <w:marBottom w:val="0"/>
                          <w:divBdr>
                            <w:top w:val="none" w:sz="0" w:space="0" w:color="auto"/>
                            <w:left w:val="none" w:sz="0" w:space="0" w:color="auto"/>
                            <w:bottom w:val="none" w:sz="0" w:space="0" w:color="auto"/>
                            <w:right w:val="none" w:sz="0" w:space="0" w:color="auto"/>
                          </w:divBdr>
                          <w:divsChild>
                            <w:div w:id="815952239">
                              <w:marLeft w:val="0"/>
                              <w:marRight w:val="0"/>
                              <w:marTop w:val="120"/>
                              <w:marBottom w:val="360"/>
                              <w:divBdr>
                                <w:top w:val="none" w:sz="0" w:space="0" w:color="auto"/>
                                <w:left w:val="none" w:sz="0" w:space="0" w:color="auto"/>
                                <w:bottom w:val="none" w:sz="0" w:space="0" w:color="auto"/>
                                <w:right w:val="none" w:sz="0" w:space="0" w:color="auto"/>
                              </w:divBdr>
                              <w:divsChild>
                                <w:div w:id="711924152">
                                  <w:marLeft w:val="0"/>
                                  <w:marRight w:val="0"/>
                                  <w:marTop w:val="0"/>
                                  <w:marBottom w:val="0"/>
                                  <w:divBdr>
                                    <w:top w:val="none" w:sz="0" w:space="0" w:color="auto"/>
                                    <w:left w:val="none" w:sz="0" w:space="0" w:color="auto"/>
                                    <w:bottom w:val="none" w:sz="0" w:space="0" w:color="auto"/>
                                    <w:right w:val="none" w:sz="0" w:space="0" w:color="auto"/>
                                  </w:divBdr>
                                  <w:divsChild>
                                    <w:div w:id="4446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046538">
      <w:bodyDiv w:val="1"/>
      <w:marLeft w:val="0"/>
      <w:marRight w:val="0"/>
      <w:marTop w:val="0"/>
      <w:marBottom w:val="0"/>
      <w:divBdr>
        <w:top w:val="none" w:sz="0" w:space="0" w:color="auto"/>
        <w:left w:val="none" w:sz="0" w:space="0" w:color="auto"/>
        <w:bottom w:val="none" w:sz="0" w:space="0" w:color="auto"/>
        <w:right w:val="none" w:sz="0" w:space="0" w:color="auto"/>
      </w:divBdr>
      <w:divsChild>
        <w:div w:id="733889941">
          <w:marLeft w:val="0"/>
          <w:marRight w:val="1"/>
          <w:marTop w:val="0"/>
          <w:marBottom w:val="0"/>
          <w:divBdr>
            <w:top w:val="none" w:sz="0" w:space="0" w:color="auto"/>
            <w:left w:val="none" w:sz="0" w:space="0" w:color="auto"/>
            <w:bottom w:val="none" w:sz="0" w:space="0" w:color="auto"/>
            <w:right w:val="none" w:sz="0" w:space="0" w:color="auto"/>
          </w:divBdr>
          <w:divsChild>
            <w:div w:id="308436019">
              <w:marLeft w:val="0"/>
              <w:marRight w:val="0"/>
              <w:marTop w:val="0"/>
              <w:marBottom w:val="0"/>
              <w:divBdr>
                <w:top w:val="none" w:sz="0" w:space="0" w:color="auto"/>
                <w:left w:val="none" w:sz="0" w:space="0" w:color="auto"/>
                <w:bottom w:val="none" w:sz="0" w:space="0" w:color="auto"/>
                <w:right w:val="none" w:sz="0" w:space="0" w:color="auto"/>
              </w:divBdr>
              <w:divsChild>
                <w:div w:id="393892920">
                  <w:marLeft w:val="0"/>
                  <w:marRight w:val="1"/>
                  <w:marTop w:val="0"/>
                  <w:marBottom w:val="0"/>
                  <w:divBdr>
                    <w:top w:val="none" w:sz="0" w:space="0" w:color="auto"/>
                    <w:left w:val="none" w:sz="0" w:space="0" w:color="auto"/>
                    <w:bottom w:val="none" w:sz="0" w:space="0" w:color="auto"/>
                    <w:right w:val="none" w:sz="0" w:space="0" w:color="auto"/>
                  </w:divBdr>
                  <w:divsChild>
                    <w:div w:id="42293725">
                      <w:marLeft w:val="0"/>
                      <w:marRight w:val="0"/>
                      <w:marTop w:val="0"/>
                      <w:marBottom w:val="0"/>
                      <w:divBdr>
                        <w:top w:val="none" w:sz="0" w:space="0" w:color="auto"/>
                        <w:left w:val="none" w:sz="0" w:space="0" w:color="auto"/>
                        <w:bottom w:val="none" w:sz="0" w:space="0" w:color="auto"/>
                        <w:right w:val="none" w:sz="0" w:space="0" w:color="auto"/>
                      </w:divBdr>
                      <w:divsChild>
                        <w:div w:id="1167407098">
                          <w:marLeft w:val="0"/>
                          <w:marRight w:val="0"/>
                          <w:marTop w:val="0"/>
                          <w:marBottom w:val="0"/>
                          <w:divBdr>
                            <w:top w:val="none" w:sz="0" w:space="0" w:color="auto"/>
                            <w:left w:val="none" w:sz="0" w:space="0" w:color="auto"/>
                            <w:bottom w:val="none" w:sz="0" w:space="0" w:color="auto"/>
                            <w:right w:val="none" w:sz="0" w:space="0" w:color="auto"/>
                          </w:divBdr>
                          <w:divsChild>
                            <w:div w:id="1932395815">
                              <w:marLeft w:val="0"/>
                              <w:marRight w:val="0"/>
                              <w:marTop w:val="120"/>
                              <w:marBottom w:val="360"/>
                              <w:divBdr>
                                <w:top w:val="none" w:sz="0" w:space="0" w:color="auto"/>
                                <w:left w:val="none" w:sz="0" w:space="0" w:color="auto"/>
                                <w:bottom w:val="none" w:sz="0" w:space="0" w:color="auto"/>
                                <w:right w:val="none" w:sz="0" w:space="0" w:color="auto"/>
                              </w:divBdr>
                              <w:divsChild>
                                <w:div w:id="572618783">
                                  <w:marLeft w:val="0"/>
                                  <w:marRight w:val="0"/>
                                  <w:marTop w:val="0"/>
                                  <w:marBottom w:val="0"/>
                                  <w:divBdr>
                                    <w:top w:val="none" w:sz="0" w:space="0" w:color="auto"/>
                                    <w:left w:val="none" w:sz="0" w:space="0" w:color="auto"/>
                                    <w:bottom w:val="none" w:sz="0" w:space="0" w:color="auto"/>
                                    <w:right w:val="none" w:sz="0" w:space="0" w:color="auto"/>
                                  </w:divBdr>
                                  <w:divsChild>
                                    <w:div w:id="532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264233">
      <w:bodyDiv w:val="1"/>
      <w:marLeft w:val="0"/>
      <w:marRight w:val="0"/>
      <w:marTop w:val="0"/>
      <w:marBottom w:val="0"/>
      <w:divBdr>
        <w:top w:val="none" w:sz="0" w:space="0" w:color="auto"/>
        <w:left w:val="none" w:sz="0" w:space="0" w:color="auto"/>
        <w:bottom w:val="none" w:sz="0" w:space="0" w:color="auto"/>
        <w:right w:val="none" w:sz="0" w:space="0" w:color="auto"/>
      </w:divBdr>
    </w:div>
    <w:div w:id="309090966">
      <w:bodyDiv w:val="1"/>
      <w:marLeft w:val="0"/>
      <w:marRight w:val="0"/>
      <w:marTop w:val="0"/>
      <w:marBottom w:val="0"/>
      <w:divBdr>
        <w:top w:val="none" w:sz="0" w:space="0" w:color="auto"/>
        <w:left w:val="none" w:sz="0" w:space="0" w:color="auto"/>
        <w:bottom w:val="none" w:sz="0" w:space="0" w:color="auto"/>
        <w:right w:val="none" w:sz="0" w:space="0" w:color="auto"/>
      </w:divBdr>
    </w:div>
    <w:div w:id="343367648">
      <w:bodyDiv w:val="1"/>
      <w:marLeft w:val="0"/>
      <w:marRight w:val="0"/>
      <w:marTop w:val="0"/>
      <w:marBottom w:val="0"/>
      <w:divBdr>
        <w:top w:val="none" w:sz="0" w:space="0" w:color="auto"/>
        <w:left w:val="none" w:sz="0" w:space="0" w:color="auto"/>
        <w:bottom w:val="none" w:sz="0" w:space="0" w:color="auto"/>
        <w:right w:val="none" w:sz="0" w:space="0" w:color="auto"/>
      </w:divBdr>
    </w:div>
    <w:div w:id="399254556">
      <w:bodyDiv w:val="1"/>
      <w:marLeft w:val="0"/>
      <w:marRight w:val="0"/>
      <w:marTop w:val="0"/>
      <w:marBottom w:val="0"/>
      <w:divBdr>
        <w:top w:val="none" w:sz="0" w:space="0" w:color="auto"/>
        <w:left w:val="none" w:sz="0" w:space="0" w:color="auto"/>
        <w:bottom w:val="none" w:sz="0" w:space="0" w:color="auto"/>
        <w:right w:val="none" w:sz="0" w:space="0" w:color="auto"/>
      </w:divBdr>
    </w:div>
    <w:div w:id="402719608">
      <w:bodyDiv w:val="1"/>
      <w:marLeft w:val="0"/>
      <w:marRight w:val="0"/>
      <w:marTop w:val="0"/>
      <w:marBottom w:val="0"/>
      <w:divBdr>
        <w:top w:val="none" w:sz="0" w:space="0" w:color="auto"/>
        <w:left w:val="none" w:sz="0" w:space="0" w:color="auto"/>
        <w:bottom w:val="none" w:sz="0" w:space="0" w:color="auto"/>
        <w:right w:val="none" w:sz="0" w:space="0" w:color="auto"/>
      </w:divBdr>
    </w:div>
    <w:div w:id="408506854">
      <w:bodyDiv w:val="1"/>
      <w:marLeft w:val="0"/>
      <w:marRight w:val="0"/>
      <w:marTop w:val="0"/>
      <w:marBottom w:val="0"/>
      <w:divBdr>
        <w:top w:val="none" w:sz="0" w:space="0" w:color="auto"/>
        <w:left w:val="none" w:sz="0" w:space="0" w:color="auto"/>
        <w:bottom w:val="none" w:sz="0" w:space="0" w:color="auto"/>
        <w:right w:val="none" w:sz="0" w:space="0" w:color="auto"/>
      </w:divBdr>
    </w:div>
    <w:div w:id="431783369">
      <w:bodyDiv w:val="1"/>
      <w:marLeft w:val="0"/>
      <w:marRight w:val="0"/>
      <w:marTop w:val="0"/>
      <w:marBottom w:val="0"/>
      <w:divBdr>
        <w:top w:val="none" w:sz="0" w:space="0" w:color="auto"/>
        <w:left w:val="none" w:sz="0" w:space="0" w:color="auto"/>
        <w:bottom w:val="none" w:sz="0" w:space="0" w:color="auto"/>
        <w:right w:val="none" w:sz="0" w:space="0" w:color="auto"/>
      </w:divBdr>
    </w:div>
    <w:div w:id="464784054">
      <w:bodyDiv w:val="1"/>
      <w:marLeft w:val="0"/>
      <w:marRight w:val="0"/>
      <w:marTop w:val="0"/>
      <w:marBottom w:val="0"/>
      <w:divBdr>
        <w:top w:val="none" w:sz="0" w:space="0" w:color="auto"/>
        <w:left w:val="none" w:sz="0" w:space="0" w:color="auto"/>
        <w:bottom w:val="none" w:sz="0" w:space="0" w:color="auto"/>
        <w:right w:val="none" w:sz="0" w:space="0" w:color="auto"/>
      </w:divBdr>
    </w:div>
    <w:div w:id="469985013">
      <w:bodyDiv w:val="1"/>
      <w:marLeft w:val="0"/>
      <w:marRight w:val="0"/>
      <w:marTop w:val="0"/>
      <w:marBottom w:val="0"/>
      <w:divBdr>
        <w:top w:val="none" w:sz="0" w:space="0" w:color="auto"/>
        <w:left w:val="none" w:sz="0" w:space="0" w:color="auto"/>
        <w:bottom w:val="none" w:sz="0" w:space="0" w:color="auto"/>
        <w:right w:val="none" w:sz="0" w:space="0" w:color="auto"/>
      </w:divBdr>
      <w:divsChild>
        <w:div w:id="732848833">
          <w:marLeft w:val="0"/>
          <w:marRight w:val="1"/>
          <w:marTop w:val="0"/>
          <w:marBottom w:val="0"/>
          <w:divBdr>
            <w:top w:val="none" w:sz="0" w:space="0" w:color="auto"/>
            <w:left w:val="none" w:sz="0" w:space="0" w:color="auto"/>
            <w:bottom w:val="none" w:sz="0" w:space="0" w:color="auto"/>
            <w:right w:val="none" w:sz="0" w:space="0" w:color="auto"/>
          </w:divBdr>
          <w:divsChild>
            <w:div w:id="2138209446">
              <w:marLeft w:val="0"/>
              <w:marRight w:val="0"/>
              <w:marTop w:val="0"/>
              <w:marBottom w:val="0"/>
              <w:divBdr>
                <w:top w:val="none" w:sz="0" w:space="0" w:color="auto"/>
                <w:left w:val="none" w:sz="0" w:space="0" w:color="auto"/>
                <w:bottom w:val="none" w:sz="0" w:space="0" w:color="auto"/>
                <w:right w:val="none" w:sz="0" w:space="0" w:color="auto"/>
              </w:divBdr>
              <w:divsChild>
                <w:div w:id="546138613">
                  <w:marLeft w:val="0"/>
                  <w:marRight w:val="1"/>
                  <w:marTop w:val="0"/>
                  <w:marBottom w:val="0"/>
                  <w:divBdr>
                    <w:top w:val="none" w:sz="0" w:space="0" w:color="auto"/>
                    <w:left w:val="none" w:sz="0" w:space="0" w:color="auto"/>
                    <w:bottom w:val="none" w:sz="0" w:space="0" w:color="auto"/>
                    <w:right w:val="none" w:sz="0" w:space="0" w:color="auto"/>
                  </w:divBdr>
                  <w:divsChild>
                    <w:div w:id="1703165573">
                      <w:marLeft w:val="0"/>
                      <w:marRight w:val="0"/>
                      <w:marTop w:val="0"/>
                      <w:marBottom w:val="0"/>
                      <w:divBdr>
                        <w:top w:val="none" w:sz="0" w:space="0" w:color="auto"/>
                        <w:left w:val="none" w:sz="0" w:space="0" w:color="auto"/>
                        <w:bottom w:val="none" w:sz="0" w:space="0" w:color="auto"/>
                        <w:right w:val="none" w:sz="0" w:space="0" w:color="auto"/>
                      </w:divBdr>
                      <w:divsChild>
                        <w:div w:id="1237859028">
                          <w:marLeft w:val="0"/>
                          <w:marRight w:val="0"/>
                          <w:marTop w:val="0"/>
                          <w:marBottom w:val="0"/>
                          <w:divBdr>
                            <w:top w:val="none" w:sz="0" w:space="0" w:color="auto"/>
                            <w:left w:val="none" w:sz="0" w:space="0" w:color="auto"/>
                            <w:bottom w:val="none" w:sz="0" w:space="0" w:color="auto"/>
                            <w:right w:val="none" w:sz="0" w:space="0" w:color="auto"/>
                          </w:divBdr>
                          <w:divsChild>
                            <w:div w:id="479611958">
                              <w:marLeft w:val="0"/>
                              <w:marRight w:val="0"/>
                              <w:marTop w:val="120"/>
                              <w:marBottom w:val="360"/>
                              <w:divBdr>
                                <w:top w:val="none" w:sz="0" w:space="0" w:color="auto"/>
                                <w:left w:val="none" w:sz="0" w:space="0" w:color="auto"/>
                                <w:bottom w:val="none" w:sz="0" w:space="0" w:color="auto"/>
                                <w:right w:val="none" w:sz="0" w:space="0" w:color="auto"/>
                              </w:divBdr>
                              <w:divsChild>
                                <w:div w:id="153767165">
                                  <w:marLeft w:val="0"/>
                                  <w:marRight w:val="0"/>
                                  <w:marTop w:val="0"/>
                                  <w:marBottom w:val="0"/>
                                  <w:divBdr>
                                    <w:top w:val="none" w:sz="0" w:space="0" w:color="auto"/>
                                    <w:left w:val="none" w:sz="0" w:space="0" w:color="auto"/>
                                    <w:bottom w:val="none" w:sz="0" w:space="0" w:color="auto"/>
                                    <w:right w:val="none" w:sz="0" w:space="0" w:color="auto"/>
                                  </w:divBdr>
                                  <w:divsChild>
                                    <w:div w:id="156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166171">
      <w:bodyDiv w:val="1"/>
      <w:marLeft w:val="0"/>
      <w:marRight w:val="0"/>
      <w:marTop w:val="0"/>
      <w:marBottom w:val="0"/>
      <w:divBdr>
        <w:top w:val="none" w:sz="0" w:space="0" w:color="auto"/>
        <w:left w:val="none" w:sz="0" w:space="0" w:color="auto"/>
        <w:bottom w:val="none" w:sz="0" w:space="0" w:color="auto"/>
        <w:right w:val="none" w:sz="0" w:space="0" w:color="auto"/>
      </w:divBdr>
      <w:divsChild>
        <w:div w:id="539589057">
          <w:marLeft w:val="0"/>
          <w:marRight w:val="1"/>
          <w:marTop w:val="0"/>
          <w:marBottom w:val="0"/>
          <w:divBdr>
            <w:top w:val="none" w:sz="0" w:space="0" w:color="auto"/>
            <w:left w:val="none" w:sz="0" w:space="0" w:color="auto"/>
            <w:bottom w:val="none" w:sz="0" w:space="0" w:color="auto"/>
            <w:right w:val="none" w:sz="0" w:space="0" w:color="auto"/>
          </w:divBdr>
          <w:divsChild>
            <w:div w:id="656493287">
              <w:marLeft w:val="0"/>
              <w:marRight w:val="0"/>
              <w:marTop w:val="0"/>
              <w:marBottom w:val="0"/>
              <w:divBdr>
                <w:top w:val="none" w:sz="0" w:space="0" w:color="auto"/>
                <w:left w:val="none" w:sz="0" w:space="0" w:color="auto"/>
                <w:bottom w:val="none" w:sz="0" w:space="0" w:color="auto"/>
                <w:right w:val="none" w:sz="0" w:space="0" w:color="auto"/>
              </w:divBdr>
              <w:divsChild>
                <w:div w:id="1492599210">
                  <w:marLeft w:val="0"/>
                  <w:marRight w:val="1"/>
                  <w:marTop w:val="0"/>
                  <w:marBottom w:val="0"/>
                  <w:divBdr>
                    <w:top w:val="none" w:sz="0" w:space="0" w:color="auto"/>
                    <w:left w:val="none" w:sz="0" w:space="0" w:color="auto"/>
                    <w:bottom w:val="none" w:sz="0" w:space="0" w:color="auto"/>
                    <w:right w:val="none" w:sz="0" w:space="0" w:color="auto"/>
                  </w:divBdr>
                  <w:divsChild>
                    <w:div w:id="2063554021">
                      <w:marLeft w:val="0"/>
                      <w:marRight w:val="0"/>
                      <w:marTop w:val="0"/>
                      <w:marBottom w:val="0"/>
                      <w:divBdr>
                        <w:top w:val="none" w:sz="0" w:space="0" w:color="auto"/>
                        <w:left w:val="none" w:sz="0" w:space="0" w:color="auto"/>
                        <w:bottom w:val="none" w:sz="0" w:space="0" w:color="auto"/>
                        <w:right w:val="none" w:sz="0" w:space="0" w:color="auto"/>
                      </w:divBdr>
                      <w:divsChild>
                        <w:div w:id="407075465">
                          <w:marLeft w:val="0"/>
                          <w:marRight w:val="0"/>
                          <w:marTop w:val="0"/>
                          <w:marBottom w:val="0"/>
                          <w:divBdr>
                            <w:top w:val="none" w:sz="0" w:space="0" w:color="auto"/>
                            <w:left w:val="none" w:sz="0" w:space="0" w:color="auto"/>
                            <w:bottom w:val="none" w:sz="0" w:space="0" w:color="auto"/>
                            <w:right w:val="none" w:sz="0" w:space="0" w:color="auto"/>
                          </w:divBdr>
                          <w:divsChild>
                            <w:div w:id="1009134335">
                              <w:marLeft w:val="0"/>
                              <w:marRight w:val="0"/>
                              <w:marTop w:val="120"/>
                              <w:marBottom w:val="360"/>
                              <w:divBdr>
                                <w:top w:val="none" w:sz="0" w:space="0" w:color="auto"/>
                                <w:left w:val="none" w:sz="0" w:space="0" w:color="auto"/>
                                <w:bottom w:val="none" w:sz="0" w:space="0" w:color="auto"/>
                                <w:right w:val="none" w:sz="0" w:space="0" w:color="auto"/>
                              </w:divBdr>
                              <w:divsChild>
                                <w:div w:id="1491217306">
                                  <w:marLeft w:val="0"/>
                                  <w:marRight w:val="0"/>
                                  <w:marTop w:val="0"/>
                                  <w:marBottom w:val="0"/>
                                  <w:divBdr>
                                    <w:top w:val="none" w:sz="0" w:space="0" w:color="auto"/>
                                    <w:left w:val="none" w:sz="0" w:space="0" w:color="auto"/>
                                    <w:bottom w:val="none" w:sz="0" w:space="0" w:color="auto"/>
                                    <w:right w:val="none" w:sz="0" w:space="0" w:color="auto"/>
                                  </w:divBdr>
                                  <w:divsChild>
                                    <w:div w:id="18175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497627">
      <w:bodyDiv w:val="1"/>
      <w:marLeft w:val="0"/>
      <w:marRight w:val="0"/>
      <w:marTop w:val="0"/>
      <w:marBottom w:val="0"/>
      <w:divBdr>
        <w:top w:val="none" w:sz="0" w:space="0" w:color="auto"/>
        <w:left w:val="none" w:sz="0" w:space="0" w:color="auto"/>
        <w:bottom w:val="none" w:sz="0" w:space="0" w:color="auto"/>
        <w:right w:val="none" w:sz="0" w:space="0" w:color="auto"/>
      </w:divBdr>
    </w:div>
    <w:div w:id="557743802">
      <w:bodyDiv w:val="1"/>
      <w:marLeft w:val="0"/>
      <w:marRight w:val="0"/>
      <w:marTop w:val="0"/>
      <w:marBottom w:val="0"/>
      <w:divBdr>
        <w:top w:val="none" w:sz="0" w:space="0" w:color="auto"/>
        <w:left w:val="none" w:sz="0" w:space="0" w:color="auto"/>
        <w:bottom w:val="none" w:sz="0" w:space="0" w:color="auto"/>
        <w:right w:val="none" w:sz="0" w:space="0" w:color="auto"/>
      </w:divBdr>
    </w:div>
    <w:div w:id="590628493">
      <w:bodyDiv w:val="1"/>
      <w:marLeft w:val="0"/>
      <w:marRight w:val="0"/>
      <w:marTop w:val="0"/>
      <w:marBottom w:val="0"/>
      <w:divBdr>
        <w:top w:val="none" w:sz="0" w:space="0" w:color="auto"/>
        <w:left w:val="none" w:sz="0" w:space="0" w:color="auto"/>
        <w:bottom w:val="none" w:sz="0" w:space="0" w:color="auto"/>
        <w:right w:val="none" w:sz="0" w:space="0" w:color="auto"/>
      </w:divBdr>
      <w:divsChild>
        <w:div w:id="1656300097">
          <w:marLeft w:val="0"/>
          <w:marRight w:val="1"/>
          <w:marTop w:val="0"/>
          <w:marBottom w:val="0"/>
          <w:divBdr>
            <w:top w:val="none" w:sz="0" w:space="0" w:color="auto"/>
            <w:left w:val="none" w:sz="0" w:space="0" w:color="auto"/>
            <w:bottom w:val="none" w:sz="0" w:space="0" w:color="auto"/>
            <w:right w:val="none" w:sz="0" w:space="0" w:color="auto"/>
          </w:divBdr>
          <w:divsChild>
            <w:div w:id="631863677">
              <w:marLeft w:val="0"/>
              <w:marRight w:val="0"/>
              <w:marTop w:val="0"/>
              <w:marBottom w:val="0"/>
              <w:divBdr>
                <w:top w:val="none" w:sz="0" w:space="0" w:color="auto"/>
                <w:left w:val="none" w:sz="0" w:space="0" w:color="auto"/>
                <w:bottom w:val="none" w:sz="0" w:space="0" w:color="auto"/>
                <w:right w:val="none" w:sz="0" w:space="0" w:color="auto"/>
              </w:divBdr>
              <w:divsChild>
                <w:div w:id="106002942">
                  <w:marLeft w:val="0"/>
                  <w:marRight w:val="1"/>
                  <w:marTop w:val="0"/>
                  <w:marBottom w:val="0"/>
                  <w:divBdr>
                    <w:top w:val="none" w:sz="0" w:space="0" w:color="auto"/>
                    <w:left w:val="none" w:sz="0" w:space="0" w:color="auto"/>
                    <w:bottom w:val="none" w:sz="0" w:space="0" w:color="auto"/>
                    <w:right w:val="none" w:sz="0" w:space="0" w:color="auto"/>
                  </w:divBdr>
                  <w:divsChild>
                    <w:div w:id="1366977554">
                      <w:marLeft w:val="0"/>
                      <w:marRight w:val="0"/>
                      <w:marTop w:val="0"/>
                      <w:marBottom w:val="0"/>
                      <w:divBdr>
                        <w:top w:val="none" w:sz="0" w:space="0" w:color="auto"/>
                        <w:left w:val="none" w:sz="0" w:space="0" w:color="auto"/>
                        <w:bottom w:val="none" w:sz="0" w:space="0" w:color="auto"/>
                        <w:right w:val="none" w:sz="0" w:space="0" w:color="auto"/>
                      </w:divBdr>
                      <w:divsChild>
                        <w:div w:id="664359427">
                          <w:marLeft w:val="0"/>
                          <w:marRight w:val="0"/>
                          <w:marTop w:val="0"/>
                          <w:marBottom w:val="0"/>
                          <w:divBdr>
                            <w:top w:val="none" w:sz="0" w:space="0" w:color="auto"/>
                            <w:left w:val="none" w:sz="0" w:space="0" w:color="auto"/>
                            <w:bottom w:val="none" w:sz="0" w:space="0" w:color="auto"/>
                            <w:right w:val="none" w:sz="0" w:space="0" w:color="auto"/>
                          </w:divBdr>
                          <w:divsChild>
                            <w:div w:id="2106605080">
                              <w:marLeft w:val="0"/>
                              <w:marRight w:val="0"/>
                              <w:marTop w:val="120"/>
                              <w:marBottom w:val="360"/>
                              <w:divBdr>
                                <w:top w:val="none" w:sz="0" w:space="0" w:color="auto"/>
                                <w:left w:val="none" w:sz="0" w:space="0" w:color="auto"/>
                                <w:bottom w:val="none" w:sz="0" w:space="0" w:color="auto"/>
                                <w:right w:val="none" w:sz="0" w:space="0" w:color="auto"/>
                              </w:divBdr>
                              <w:divsChild>
                                <w:div w:id="1361660946">
                                  <w:marLeft w:val="0"/>
                                  <w:marRight w:val="0"/>
                                  <w:marTop w:val="0"/>
                                  <w:marBottom w:val="0"/>
                                  <w:divBdr>
                                    <w:top w:val="none" w:sz="0" w:space="0" w:color="auto"/>
                                    <w:left w:val="none" w:sz="0" w:space="0" w:color="auto"/>
                                    <w:bottom w:val="none" w:sz="0" w:space="0" w:color="auto"/>
                                    <w:right w:val="none" w:sz="0" w:space="0" w:color="auto"/>
                                  </w:divBdr>
                                  <w:divsChild>
                                    <w:div w:id="13798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529377">
      <w:bodyDiv w:val="1"/>
      <w:marLeft w:val="0"/>
      <w:marRight w:val="0"/>
      <w:marTop w:val="0"/>
      <w:marBottom w:val="0"/>
      <w:divBdr>
        <w:top w:val="none" w:sz="0" w:space="0" w:color="auto"/>
        <w:left w:val="none" w:sz="0" w:space="0" w:color="auto"/>
        <w:bottom w:val="none" w:sz="0" w:space="0" w:color="auto"/>
        <w:right w:val="none" w:sz="0" w:space="0" w:color="auto"/>
      </w:divBdr>
    </w:div>
    <w:div w:id="700939887">
      <w:bodyDiv w:val="1"/>
      <w:marLeft w:val="0"/>
      <w:marRight w:val="0"/>
      <w:marTop w:val="0"/>
      <w:marBottom w:val="0"/>
      <w:divBdr>
        <w:top w:val="none" w:sz="0" w:space="0" w:color="auto"/>
        <w:left w:val="none" w:sz="0" w:space="0" w:color="auto"/>
        <w:bottom w:val="none" w:sz="0" w:space="0" w:color="auto"/>
        <w:right w:val="none" w:sz="0" w:space="0" w:color="auto"/>
      </w:divBdr>
    </w:div>
    <w:div w:id="854460901">
      <w:bodyDiv w:val="1"/>
      <w:marLeft w:val="0"/>
      <w:marRight w:val="0"/>
      <w:marTop w:val="0"/>
      <w:marBottom w:val="0"/>
      <w:divBdr>
        <w:top w:val="none" w:sz="0" w:space="0" w:color="auto"/>
        <w:left w:val="none" w:sz="0" w:space="0" w:color="auto"/>
        <w:bottom w:val="none" w:sz="0" w:space="0" w:color="auto"/>
        <w:right w:val="none" w:sz="0" w:space="0" w:color="auto"/>
      </w:divBdr>
    </w:div>
    <w:div w:id="929505060">
      <w:bodyDiv w:val="1"/>
      <w:marLeft w:val="0"/>
      <w:marRight w:val="0"/>
      <w:marTop w:val="0"/>
      <w:marBottom w:val="0"/>
      <w:divBdr>
        <w:top w:val="none" w:sz="0" w:space="0" w:color="auto"/>
        <w:left w:val="none" w:sz="0" w:space="0" w:color="auto"/>
        <w:bottom w:val="none" w:sz="0" w:space="0" w:color="auto"/>
        <w:right w:val="none" w:sz="0" w:space="0" w:color="auto"/>
      </w:divBdr>
    </w:div>
    <w:div w:id="1029141818">
      <w:bodyDiv w:val="1"/>
      <w:marLeft w:val="0"/>
      <w:marRight w:val="0"/>
      <w:marTop w:val="0"/>
      <w:marBottom w:val="0"/>
      <w:divBdr>
        <w:top w:val="none" w:sz="0" w:space="0" w:color="auto"/>
        <w:left w:val="none" w:sz="0" w:space="0" w:color="auto"/>
        <w:bottom w:val="none" w:sz="0" w:space="0" w:color="auto"/>
        <w:right w:val="none" w:sz="0" w:space="0" w:color="auto"/>
      </w:divBdr>
    </w:div>
    <w:div w:id="1031684294">
      <w:bodyDiv w:val="1"/>
      <w:marLeft w:val="0"/>
      <w:marRight w:val="0"/>
      <w:marTop w:val="0"/>
      <w:marBottom w:val="0"/>
      <w:divBdr>
        <w:top w:val="none" w:sz="0" w:space="0" w:color="auto"/>
        <w:left w:val="none" w:sz="0" w:space="0" w:color="auto"/>
        <w:bottom w:val="none" w:sz="0" w:space="0" w:color="auto"/>
        <w:right w:val="none" w:sz="0" w:space="0" w:color="auto"/>
      </w:divBdr>
    </w:div>
    <w:div w:id="1038360024">
      <w:bodyDiv w:val="1"/>
      <w:marLeft w:val="0"/>
      <w:marRight w:val="0"/>
      <w:marTop w:val="0"/>
      <w:marBottom w:val="0"/>
      <w:divBdr>
        <w:top w:val="none" w:sz="0" w:space="0" w:color="auto"/>
        <w:left w:val="none" w:sz="0" w:space="0" w:color="auto"/>
        <w:bottom w:val="none" w:sz="0" w:space="0" w:color="auto"/>
        <w:right w:val="none" w:sz="0" w:space="0" w:color="auto"/>
      </w:divBdr>
    </w:div>
    <w:div w:id="1074428022">
      <w:bodyDiv w:val="1"/>
      <w:marLeft w:val="0"/>
      <w:marRight w:val="0"/>
      <w:marTop w:val="0"/>
      <w:marBottom w:val="0"/>
      <w:divBdr>
        <w:top w:val="none" w:sz="0" w:space="0" w:color="auto"/>
        <w:left w:val="none" w:sz="0" w:space="0" w:color="auto"/>
        <w:bottom w:val="none" w:sz="0" w:space="0" w:color="auto"/>
        <w:right w:val="none" w:sz="0" w:space="0" w:color="auto"/>
      </w:divBdr>
    </w:div>
    <w:div w:id="1075779228">
      <w:bodyDiv w:val="1"/>
      <w:marLeft w:val="0"/>
      <w:marRight w:val="0"/>
      <w:marTop w:val="0"/>
      <w:marBottom w:val="0"/>
      <w:divBdr>
        <w:top w:val="none" w:sz="0" w:space="0" w:color="auto"/>
        <w:left w:val="none" w:sz="0" w:space="0" w:color="auto"/>
        <w:bottom w:val="none" w:sz="0" w:space="0" w:color="auto"/>
        <w:right w:val="none" w:sz="0" w:space="0" w:color="auto"/>
      </w:divBdr>
    </w:div>
    <w:div w:id="1110662318">
      <w:bodyDiv w:val="1"/>
      <w:marLeft w:val="0"/>
      <w:marRight w:val="0"/>
      <w:marTop w:val="0"/>
      <w:marBottom w:val="0"/>
      <w:divBdr>
        <w:top w:val="none" w:sz="0" w:space="0" w:color="auto"/>
        <w:left w:val="none" w:sz="0" w:space="0" w:color="auto"/>
        <w:bottom w:val="none" w:sz="0" w:space="0" w:color="auto"/>
        <w:right w:val="none" w:sz="0" w:space="0" w:color="auto"/>
      </w:divBdr>
      <w:divsChild>
        <w:div w:id="1901205827">
          <w:marLeft w:val="0"/>
          <w:marRight w:val="0"/>
          <w:marTop w:val="34"/>
          <w:marBottom w:val="34"/>
          <w:divBdr>
            <w:top w:val="none" w:sz="0" w:space="0" w:color="auto"/>
            <w:left w:val="none" w:sz="0" w:space="0" w:color="auto"/>
            <w:bottom w:val="none" w:sz="0" w:space="0" w:color="auto"/>
            <w:right w:val="none" w:sz="0" w:space="0" w:color="auto"/>
          </w:divBdr>
        </w:div>
        <w:div w:id="837572849">
          <w:marLeft w:val="0"/>
          <w:marRight w:val="0"/>
          <w:marTop w:val="0"/>
          <w:marBottom w:val="0"/>
          <w:divBdr>
            <w:top w:val="none" w:sz="0" w:space="0" w:color="auto"/>
            <w:left w:val="none" w:sz="0" w:space="0" w:color="auto"/>
            <w:bottom w:val="none" w:sz="0" w:space="0" w:color="auto"/>
            <w:right w:val="none" w:sz="0" w:space="0" w:color="auto"/>
          </w:divBdr>
        </w:div>
      </w:divsChild>
    </w:div>
    <w:div w:id="1209565024">
      <w:bodyDiv w:val="1"/>
      <w:marLeft w:val="0"/>
      <w:marRight w:val="0"/>
      <w:marTop w:val="0"/>
      <w:marBottom w:val="0"/>
      <w:divBdr>
        <w:top w:val="none" w:sz="0" w:space="0" w:color="auto"/>
        <w:left w:val="none" w:sz="0" w:space="0" w:color="auto"/>
        <w:bottom w:val="none" w:sz="0" w:space="0" w:color="auto"/>
        <w:right w:val="none" w:sz="0" w:space="0" w:color="auto"/>
      </w:divBdr>
      <w:divsChild>
        <w:div w:id="1781341569">
          <w:marLeft w:val="0"/>
          <w:marRight w:val="0"/>
          <w:marTop w:val="34"/>
          <w:marBottom w:val="34"/>
          <w:divBdr>
            <w:top w:val="none" w:sz="0" w:space="0" w:color="auto"/>
            <w:left w:val="none" w:sz="0" w:space="0" w:color="auto"/>
            <w:bottom w:val="none" w:sz="0" w:space="0" w:color="auto"/>
            <w:right w:val="none" w:sz="0" w:space="0" w:color="auto"/>
          </w:divBdr>
        </w:div>
        <w:div w:id="2117824832">
          <w:marLeft w:val="0"/>
          <w:marRight w:val="0"/>
          <w:marTop w:val="0"/>
          <w:marBottom w:val="0"/>
          <w:divBdr>
            <w:top w:val="none" w:sz="0" w:space="0" w:color="auto"/>
            <w:left w:val="none" w:sz="0" w:space="0" w:color="auto"/>
            <w:bottom w:val="none" w:sz="0" w:space="0" w:color="auto"/>
            <w:right w:val="none" w:sz="0" w:space="0" w:color="auto"/>
          </w:divBdr>
        </w:div>
      </w:divsChild>
    </w:div>
    <w:div w:id="1247417259">
      <w:bodyDiv w:val="1"/>
      <w:marLeft w:val="0"/>
      <w:marRight w:val="0"/>
      <w:marTop w:val="0"/>
      <w:marBottom w:val="0"/>
      <w:divBdr>
        <w:top w:val="none" w:sz="0" w:space="0" w:color="auto"/>
        <w:left w:val="none" w:sz="0" w:space="0" w:color="auto"/>
        <w:bottom w:val="none" w:sz="0" w:space="0" w:color="auto"/>
        <w:right w:val="none" w:sz="0" w:space="0" w:color="auto"/>
      </w:divBdr>
    </w:div>
    <w:div w:id="1322388129">
      <w:bodyDiv w:val="1"/>
      <w:marLeft w:val="0"/>
      <w:marRight w:val="0"/>
      <w:marTop w:val="0"/>
      <w:marBottom w:val="0"/>
      <w:divBdr>
        <w:top w:val="none" w:sz="0" w:space="0" w:color="auto"/>
        <w:left w:val="none" w:sz="0" w:space="0" w:color="auto"/>
        <w:bottom w:val="none" w:sz="0" w:space="0" w:color="auto"/>
        <w:right w:val="none" w:sz="0" w:space="0" w:color="auto"/>
      </w:divBdr>
    </w:div>
    <w:div w:id="1470123336">
      <w:bodyDiv w:val="1"/>
      <w:marLeft w:val="0"/>
      <w:marRight w:val="0"/>
      <w:marTop w:val="0"/>
      <w:marBottom w:val="0"/>
      <w:divBdr>
        <w:top w:val="none" w:sz="0" w:space="0" w:color="auto"/>
        <w:left w:val="none" w:sz="0" w:space="0" w:color="auto"/>
        <w:bottom w:val="none" w:sz="0" w:space="0" w:color="auto"/>
        <w:right w:val="none" w:sz="0" w:space="0" w:color="auto"/>
      </w:divBdr>
    </w:div>
    <w:div w:id="1478182942">
      <w:bodyDiv w:val="1"/>
      <w:marLeft w:val="0"/>
      <w:marRight w:val="0"/>
      <w:marTop w:val="0"/>
      <w:marBottom w:val="0"/>
      <w:divBdr>
        <w:top w:val="none" w:sz="0" w:space="0" w:color="auto"/>
        <w:left w:val="none" w:sz="0" w:space="0" w:color="auto"/>
        <w:bottom w:val="none" w:sz="0" w:space="0" w:color="auto"/>
        <w:right w:val="none" w:sz="0" w:space="0" w:color="auto"/>
      </w:divBdr>
    </w:div>
    <w:div w:id="1483617604">
      <w:bodyDiv w:val="1"/>
      <w:marLeft w:val="0"/>
      <w:marRight w:val="0"/>
      <w:marTop w:val="0"/>
      <w:marBottom w:val="0"/>
      <w:divBdr>
        <w:top w:val="none" w:sz="0" w:space="0" w:color="auto"/>
        <w:left w:val="none" w:sz="0" w:space="0" w:color="auto"/>
        <w:bottom w:val="none" w:sz="0" w:space="0" w:color="auto"/>
        <w:right w:val="none" w:sz="0" w:space="0" w:color="auto"/>
      </w:divBdr>
    </w:div>
    <w:div w:id="1551651646">
      <w:bodyDiv w:val="1"/>
      <w:marLeft w:val="0"/>
      <w:marRight w:val="0"/>
      <w:marTop w:val="0"/>
      <w:marBottom w:val="0"/>
      <w:divBdr>
        <w:top w:val="none" w:sz="0" w:space="0" w:color="auto"/>
        <w:left w:val="none" w:sz="0" w:space="0" w:color="auto"/>
        <w:bottom w:val="none" w:sz="0" w:space="0" w:color="auto"/>
        <w:right w:val="none" w:sz="0" w:space="0" w:color="auto"/>
      </w:divBdr>
    </w:div>
    <w:div w:id="1568030990">
      <w:bodyDiv w:val="1"/>
      <w:marLeft w:val="0"/>
      <w:marRight w:val="0"/>
      <w:marTop w:val="0"/>
      <w:marBottom w:val="0"/>
      <w:divBdr>
        <w:top w:val="none" w:sz="0" w:space="0" w:color="auto"/>
        <w:left w:val="none" w:sz="0" w:space="0" w:color="auto"/>
        <w:bottom w:val="none" w:sz="0" w:space="0" w:color="auto"/>
        <w:right w:val="none" w:sz="0" w:space="0" w:color="auto"/>
      </w:divBdr>
    </w:div>
    <w:div w:id="1575124428">
      <w:bodyDiv w:val="1"/>
      <w:marLeft w:val="0"/>
      <w:marRight w:val="0"/>
      <w:marTop w:val="0"/>
      <w:marBottom w:val="0"/>
      <w:divBdr>
        <w:top w:val="none" w:sz="0" w:space="0" w:color="auto"/>
        <w:left w:val="none" w:sz="0" w:space="0" w:color="auto"/>
        <w:bottom w:val="none" w:sz="0" w:space="0" w:color="auto"/>
        <w:right w:val="none" w:sz="0" w:space="0" w:color="auto"/>
      </w:divBdr>
    </w:div>
    <w:div w:id="1584100363">
      <w:bodyDiv w:val="1"/>
      <w:marLeft w:val="0"/>
      <w:marRight w:val="0"/>
      <w:marTop w:val="0"/>
      <w:marBottom w:val="0"/>
      <w:divBdr>
        <w:top w:val="none" w:sz="0" w:space="0" w:color="auto"/>
        <w:left w:val="none" w:sz="0" w:space="0" w:color="auto"/>
        <w:bottom w:val="none" w:sz="0" w:space="0" w:color="auto"/>
        <w:right w:val="none" w:sz="0" w:space="0" w:color="auto"/>
      </w:divBdr>
      <w:divsChild>
        <w:div w:id="237448525">
          <w:marLeft w:val="0"/>
          <w:marRight w:val="0"/>
          <w:marTop w:val="34"/>
          <w:marBottom w:val="34"/>
          <w:divBdr>
            <w:top w:val="none" w:sz="0" w:space="0" w:color="auto"/>
            <w:left w:val="none" w:sz="0" w:space="0" w:color="auto"/>
            <w:bottom w:val="none" w:sz="0" w:space="0" w:color="auto"/>
            <w:right w:val="none" w:sz="0" w:space="0" w:color="auto"/>
          </w:divBdr>
        </w:div>
        <w:div w:id="2039696869">
          <w:marLeft w:val="0"/>
          <w:marRight w:val="0"/>
          <w:marTop w:val="0"/>
          <w:marBottom w:val="0"/>
          <w:divBdr>
            <w:top w:val="none" w:sz="0" w:space="0" w:color="auto"/>
            <w:left w:val="none" w:sz="0" w:space="0" w:color="auto"/>
            <w:bottom w:val="none" w:sz="0" w:space="0" w:color="auto"/>
            <w:right w:val="none" w:sz="0" w:space="0" w:color="auto"/>
          </w:divBdr>
        </w:div>
      </w:divsChild>
    </w:div>
    <w:div w:id="1598756813">
      <w:bodyDiv w:val="1"/>
      <w:marLeft w:val="0"/>
      <w:marRight w:val="0"/>
      <w:marTop w:val="0"/>
      <w:marBottom w:val="0"/>
      <w:divBdr>
        <w:top w:val="none" w:sz="0" w:space="0" w:color="auto"/>
        <w:left w:val="none" w:sz="0" w:space="0" w:color="auto"/>
        <w:bottom w:val="none" w:sz="0" w:space="0" w:color="auto"/>
        <w:right w:val="none" w:sz="0" w:space="0" w:color="auto"/>
      </w:divBdr>
      <w:divsChild>
        <w:div w:id="981230240">
          <w:marLeft w:val="0"/>
          <w:marRight w:val="0"/>
          <w:marTop w:val="34"/>
          <w:marBottom w:val="34"/>
          <w:divBdr>
            <w:top w:val="none" w:sz="0" w:space="0" w:color="auto"/>
            <w:left w:val="none" w:sz="0" w:space="0" w:color="auto"/>
            <w:bottom w:val="none" w:sz="0" w:space="0" w:color="auto"/>
            <w:right w:val="none" w:sz="0" w:space="0" w:color="auto"/>
          </w:divBdr>
        </w:div>
        <w:div w:id="970482694">
          <w:marLeft w:val="0"/>
          <w:marRight w:val="0"/>
          <w:marTop w:val="0"/>
          <w:marBottom w:val="0"/>
          <w:divBdr>
            <w:top w:val="none" w:sz="0" w:space="0" w:color="auto"/>
            <w:left w:val="none" w:sz="0" w:space="0" w:color="auto"/>
            <w:bottom w:val="none" w:sz="0" w:space="0" w:color="auto"/>
            <w:right w:val="none" w:sz="0" w:space="0" w:color="auto"/>
          </w:divBdr>
        </w:div>
      </w:divsChild>
    </w:div>
    <w:div w:id="1675375143">
      <w:bodyDiv w:val="1"/>
      <w:marLeft w:val="0"/>
      <w:marRight w:val="0"/>
      <w:marTop w:val="0"/>
      <w:marBottom w:val="0"/>
      <w:divBdr>
        <w:top w:val="none" w:sz="0" w:space="0" w:color="auto"/>
        <w:left w:val="none" w:sz="0" w:space="0" w:color="auto"/>
        <w:bottom w:val="none" w:sz="0" w:space="0" w:color="auto"/>
        <w:right w:val="none" w:sz="0" w:space="0" w:color="auto"/>
      </w:divBdr>
    </w:div>
    <w:div w:id="1701127644">
      <w:bodyDiv w:val="1"/>
      <w:marLeft w:val="0"/>
      <w:marRight w:val="0"/>
      <w:marTop w:val="0"/>
      <w:marBottom w:val="0"/>
      <w:divBdr>
        <w:top w:val="none" w:sz="0" w:space="0" w:color="auto"/>
        <w:left w:val="none" w:sz="0" w:space="0" w:color="auto"/>
        <w:bottom w:val="none" w:sz="0" w:space="0" w:color="auto"/>
        <w:right w:val="none" w:sz="0" w:space="0" w:color="auto"/>
      </w:divBdr>
    </w:div>
    <w:div w:id="1746338109">
      <w:bodyDiv w:val="1"/>
      <w:marLeft w:val="0"/>
      <w:marRight w:val="0"/>
      <w:marTop w:val="0"/>
      <w:marBottom w:val="0"/>
      <w:divBdr>
        <w:top w:val="none" w:sz="0" w:space="0" w:color="auto"/>
        <w:left w:val="none" w:sz="0" w:space="0" w:color="auto"/>
        <w:bottom w:val="none" w:sz="0" w:space="0" w:color="auto"/>
        <w:right w:val="none" w:sz="0" w:space="0" w:color="auto"/>
      </w:divBdr>
      <w:divsChild>
        <w:div w:id="1310135220">
          <w:marLeft w:val="0"/>
          <w:marRight w:val="0"/>
          <w:marTop w:val="34"/>
          <w:marBottom w:val="34"/>
          <w:divBdr>
            <w:top w:val="none" w:sz="0" w:space="0" w:color="auto"/>
            <w:left w:val="none" w:sz="0" w:space="0" w:color="auto"/>
            <w:bottom w:val="none" w:sz="0" w:space="0" w:color="auto"/>
            <w:right w:val="none" w:sz="0" w:space="0" w:color="auto"/>
          </w:divBdr>
        </w:div>
        <w:div w:id="1834490454">
          <w:marLeft w:val="0"/>
          <w:marRight w:val="0"/>
          <w:marTop w:val="0"/>
          <w:marBottom w:val="0"/>
          <w:divBdr>
            <w:top w:val="none" w:sz="0" w:space="0" w:color="auto"/>
            <w:left w:val="none" w:sz="0" w:space="0" w:color="auto"/>
            <w:bottom w:val="none" w:sz="0" w:space="0" w:color="auto"/>
            <w:right w:val="none" w:sz="0" w:space="0" w:color="auto"/>
          </w:divBdr>
        </w:div>
      </w:divsChild>
    </w:div>
    <w:div w:id="1773354051">
      <w:bodyDiv w:val="1"/>
      <w:marLeft w:val="0"/>
      <w:marRight w:val="0"/>
      <w:marTop w:val="0"/>
      <w:marBottom w:val="0"/>
      <w:divBdr>
        <w:top w:val="none" w:sz="0" w:space="0" w:color="auto"/>
        <w:left w:val="none" w:sz="0" w:space="0" w:color="auto"/>
        <w:bottom w:val="none" w:sz="0" w:space="0" w:color="auto"/>
        <w:right w:val="none" w:sz="0" w:space="0" w:color="auto"/>
      </w:divBdr>
    </w:div>
    <w:div w:id="1781874761">
      <w:bodyDiv w:val="1"/>
      <w:marLeft w:val="0"/>
      <w:marRight w:val="0"/>
      <w:marTop w:val="0"/>
      <w:marBottom w:val="0"/>
      <w:divBdr>
        <w:top w:val="none" w:sz="0" w:space="0" w:color="auto"/>
        <w:left w:val="none" w:sz="0" w:space="0" w:color="auto"/>
        <w:bottom w:val="none" w:sz="0" w:space="0" w:color="auto"/>
        <w:right w:val="none" w:sz="0" w:space="0" w:color="auto"/>
      </w:divBdr>
    </w:div>
    <w:div w:id="1785339958">
      <w:bodyDiv w:val="1"/>
      <w:marLeft w:val="0"/>
      <w:marRight w:val="0"/>
      <w:marTop w:val="0"/>
      <w:marBottom w:val="0"/>
      <w:divBdr>
        <w:top w:val="none" w:sz="0" w:space="0" w:color="auto"/>
        <w:left w:val="none" w:sz="0" w:space="0" w:color="auto"/>
        <w:bottom w:val="none" w:sz="0" w:space="0" w:color="auto"/>
        <w:right w:val="none" w:sz="0" w:space="0" w:color="auto"/>
      </w:divBdr>
    </w:div>
    <w:div w:id="1788741956">
      <w:bodyDiv w:val="1"/>
      <w:marLeft w:val="0"/>
      <w:marRight w:val="0"/>
      <w:marTop w:val="0"/>
      <w:marBottom w:val="0"/>
      <w:divBdr>
        <w:top w:val="none" w:sz="0" w:space="0" w:color="auto"/>
        <w:left w:val="none" w:sz="0" w:space="0" w:color="auto"/>
        <w:bottom w:val="none" w:sz="0" w:space="0" w:color="auto"/>
        <w:right w:val="none" w:sz="0" w:space="0" w:color="auto"/>
      </w:divBdr>
    </w:div>
    <w:div w:id="1789733725">
      <w:bodyDiv w:val="1"/>
      <w:marLeft w:val="0"/>
      <w:marRight w:val="0"/>
      <w:marTop w:val="0"/>
      <w:marBottom w:val="0"/>
      <w:divBdr>
        <w:top w:val="none" w:sz="0" w:space="0" w:color="auto"/>
        <w:left w:val="none" w:sz="0" w:space="0" w:color="auto"/>
        <w:bottom w:val="none" w:sz="0" w:space="0" w:color="auto"/>
        <w:right w:val="none" w:sz="0" w:space="0" w:color="auto"/>
      </w:divBdr>
      <w:divsChild>
        <w:div w:id="492524947">
          <w:marLeft w:val="0"/>
          <w:marRight w:val="0"/>
          <w:marTop w:val="34"/>
          <w:marBottom w:val="34"/>
          <w:divBdr>
            <w:top w:val="none" w:sz="0" w:space="0" w:color="auto"/>
            <w:left w:val="none" w:sz="0" w:space="0" w:color="auto"/>
            <w:bottom w:val="none" w:sz="0" w:space="0" w:color="auto"/>
            <w:right w:val="none" w:sz="0" w:space="0" w:color="auto"/>
          </w:divBdr>
        </w:div>
        <w:div w:id="2143300567">
          <w:marLeft w:val="0"/>
          <w:marRight w:val="0"/>
          <w:marTop w:val="0"/>
          <w:marBottom w:val="0"/>
          <w:divBdr>
            <w:top w:val="none" w:sz="0" w:space="0" w:color="auto"/>
            <w:left w:val="none" w:sz="0" w:space="0" w:color="auto"/>
            <w:bottom w:val="none" w:sz="0" w:space="0" w:color="auto"/>
            <w:right w:val="none" w:sz="0" w:space="0" w:color="auto"/>
          </w:divBdr>
        </w:div>
      </w:divsChild>
    </w:div>
    <w:div w:id="1840807866">
      <w:bodyDiv w:val="1"/>
      <w:marLeft w:val="0"/>
      <w:marRight w:val="0"/>
      <w:marTop w:val="0"/>
      <w:marBottom w:val="0"/>
      <w:divBdr>
        <w:top w:val="none" w:sz="0" w:space="0" w:color="auto"/>
        <w:left w:val="none" w:sz="0" w:space="0" w:color="auto"/>
        <w:bottom w:val="none" w:sz="0" w:space="0" w:color="auto"/>
        <w:right w:val="none" w:sz="0" w:space="0" w:color="auto"/>
      </w:divBdr>
    </w:div>
    <w:div w:id="1864898132">
      <w:bodyDiv w:val="1"/>
      <w:marLeft w:val="0"/>
      <w:marRight w:val="0"/>
      <w:marTop w:val="0"/>
      <w:marBottom w:val="0"/>
      <w:divBdr>
        <w:top w:val="none" w:sz="0" w:space="0" w:color="auto"/>
        <w:left w:val="none" w:sz="0" w:space="0" w:color="auto"/>
        <w:bottom w:val="none" w:sz="0" w:space="0" w:color="auto"/>
        <w:right w:val="none" w:sz="0" w:space="0" w:color="auto"/>
      </w:divBdr>
      <w:divsChild>
        <w:div w:id="1298150420">
          <w:marLeft w:val="0"/>
          <w:marRight w:val="0"/>
          <w:marTop w:val="0"/>
          <w:marBottom w:val="0"/>
          <w:divBdr>
            <w:top w:val="none" w:sz="0" w:space="0" w:color="auto"/>
            <w:left w:val="none" w:sz="0" w:space="0" w:color="auto"/>
            <w:bottom w:val="none" w:sz="0" w:space="0" w:color="auto"/>
            <w:right w:val="none" w:sz="0" w:space="0" w:color="auto"/>
          </w:divBdr>
          <w:divsChild>
            <w:div w:id="98960967">
              <w:marLeft w:val="0"/>
              <w:marRight w:val="0"/>
              <w:marTop w:val="0"/>
              <w:marBottom w:val="0"/>
              <w:divBdr>
                <w:top w:val="none" w:sz="0" w:space="0" w:color="auto"/>
                <w:left w:val="none" w:sz="0" w:space="0" w:color="auto"/>
                <w:bottom w:val="none" w:sz="0" w:space="0" w:color="auto"/>
                <w:right w:val="none" w:sz="0" w:space="0" w:color="auto"/>
              </w:divBdr>
              <w:divsChild>
                <w:div w:id="18469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57544">
      <w:bodyDiv w:val="1"/>
      <w:marLeft w:val="0"/>
      <w:marRight w:val="0"/>
      <w:marTop w:val="0"/>
      <w:marBottom w:val="0"/>
      <w:divBdr>
        <w:top w:val="none" w:sz="0" w:space="0" w:color="auto"/>
        <w:left w:val="none" w:sz="0" w:space="0" w:color="auto"/>
        <w:bottom w:val="none" w:sz="0" w:space="0" w:color="auto"/>
        <w:right w:val="none" w:sz="0" w:space="0" w:color="auto"/>
      </w:divBdr>
    </w:div>
    <w:div w:id="1966691777">
      <w:bodyDiv w:val="1"/>
      <w:marLeft w:val="0"/>
      <w:marRight w:val="0"/>
      <w:marTop w:val="0"/>
      <w:marBottom w:val="0"/>
      <w:divBdr>
        <w:top w:val="none" w:sz="0" w:space="0" w:color="auto"/>
        <w:left w:val="none" w:sz="0" w:space="0" w:color="auto"/>
        <w:bottom w:val="none" w:sz="0" w:space="0" w:color="auto"/>
        <w:right w:val="none" w:sz="0" w:space="0" w:color="auto"/>
      </w:divBdr>
    </w:div>
    <w:div w:id="1998528500">
      <w:bodyDiv w:val="1"/>
      <w:marLeft w:val="0"/>
      <w:marRight w:val="0"/>
      <w:marTop w:val="0"/>
      <w:marBottom w:val="0"/>
      <w:divBdr>
        <w:top w:val="none" w:sz="0" w:space="0" w:color="auto"/>
        <w:left w:val="none" w:sz="0" w:space="0" w:color="auto"/>
        <w:bottom w:val="none" w:sz="0" w:space="0" w:color="auto"/>
        <w:right w:val="none" w:sz="0" w:space="0" w:color="auto"/>
      </w:divBdr>
    </w:div>
    <w:div w:id="2078745653">
      <w:bodyDiv w:val="1"/>
      <w:marLeft w:val="0"/>
      <w:marRight w:val="0"/>
      <w:marTop w:val="0"/>
      <w:marBottom w:val="0"/>
      <w:divBdr>
        <w:top w:val="none" w:sz="0" w:space="0" w:color="auto"/>
        <w:left w:val="none" w:sz="0" w:space="0" w:color="auto"/>
        <w:bottom w:val="none" w:sz="0" w:space="0" w:color="auto"/>
        <w:right w:val="none" w:sz="0" w:space="0" w:color="auto"/>
      </w:divBdr>
      <w:divsChild>
        <w:div w:id="1808624243">
          <w:marLeft w:val="0"/>
          <w:marRight w:val="0"/>
          <w:marTop w:val="0"/>
          <w:marBottom w:val="0"/>
          <w:divBdr>
            <w:top w:val="none" w:sz="0" w:space="0" w:color="auto"/>
            <w:left w:val="none" w:sz="0" w:space="0" w:color="auto"/>
            <w:bottom w:val="none" w:sz="0" w:space="0" w:color="auto"/>
            <w:right w:val="none" w:sz="0" w:space="0" w:color="auto"/>
          </w:divBdr>
        </w:div>
        <w:div w:id="1537041017">
          <w:marLeft w:val="0"/>
          <w:marRight w:val="0"/>
          <w:marTop w:val="0"/>
          <w:marBottom w:val="0"/>
          <w:divBdr>
            <w:top w:val="none" w:sz="0" w:space="0" w:color="auto"/>
            <w:left w:val="none" w:sz="0" w:space="0" w:color="auto"/>
            <w:bottom w:val="none" w:sz="0" w:space="0" w:color="auto"/>
            <w:right w:val="none" w:sz="0" w:space="0" w:color="auto"/>
          </w:divBdr>
        </w:div>
        <w:div w:id="1946378030">
          <w:marLeft w:val="0"/>
          <w:marRight w:val="0"/>
          <w:marTop w:val="0"/>
          <w:marBottom w:val="0"/>
          <w:divBdr>
            <w:top w:val="none" w:sz="0" w:space="0" w:color="auto"/>
            <w:left w:val="none" w:sz="0" w:space="0" w:color="auto"/>
            <w:bottom w:val="none" w:sz="0" w:space="0" w:color="auto"/>
            <w:right w:val="none" w:sz="0" w:space="0" w:color="auto"/>
          </w:divBdr>
        </w:div>
      </w:divsChild>
    </w:div>
    <w:div w:id="2097705094">
      <w:bodyDiv w:val="1"/>
      <w:marLeft w:val="0"/>
      <w:marRight w:val="0"/>
      <w:marTop w:val="0"/>
      <w:marBottom w:val="0"/>
      <w:divBdr>
        <w:top w:val="none" w:sz="0" w:space="0" w:color="auto"/>
        <w:left w:val="none" w:sz="0" w:space="0" w:color="auto"/>
        <w:bottom w:val="none" w:sz="0" w:space="0" w:color="auto"/>
        <w:right w:val="none" w:sz="0" w:space="0" w:color="auto"/>
      </w:divBdr>
    </w:div>
    <w:div w:id="2121558533">
      <w:bodyDiv w:val="1"/>
      <w:marLeft w:val="0"/>
      <w:marRight w:val="0"/>
      <w:marTop w:val="0"/>
      <w:marBottom w:val="0"/>
      <w:divBdr>
        <w:top w:val="none" w:sz="0" w:space="0" w:color="auto"/>
        <w:left w:val="none" w:sz="0" w:space="0" w:color="auto"/>
        <w:bottom w:val="none" w:sz="0" w:space="0" w:color="auto"/>
        <w:right w:val="none" w:sz="0" w:space="0" w:color="auto"/>
      </w:divBdr>
      <w:divsChild>
        <w:div w:id="1950041643">
          <w:marLeft w:val="0"/>
          <w:marRight w:val="0"/>
          <w:marTop w:val="34"/>
          <w:marBottom w:val="34"/>
          <w:divBdr>
            <w:top w:val="none" w:sz="0" w:space="0" w:color="auto"/>
            <w:left w:val="none" w:sz="0" w:space="0" w:color="auto"/>
            <w:bottom w:val="none" w:sz="0" w:space="0" w:color="auto"/>
            <w:right w:val="none" w:sz="0" w:space="0" w:color="auto"/>
          </w:divBdr>
        </w:div>
        <w:div w:id="1517271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medcentral.com/1471-2431/14/50" TargetMode="External"/><Relationship Id="rId3" Type="http://schemas.openxmlformats.org/officeDocument/2006/relationships/styles" Target="styles.xml"/><Relationship Id="rId7" Type="http://schemas.openxmlformats.org/officeDocument/2006/relationships/hyperlink" Target="https://www.ncbi.nlm.nih.gov/pubmed/304205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ubmed/?term=Gut+microbiota+dysbiosis+is+associated+with+malnutrition+and+reduced+plasma+amino+acid+levels%3A+Lessons+from+genome-scale+metabolic+model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04B4E-B0EF-4076-8F1C-50F6746D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4361</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Petri</dc:creator>
  <cp:keywords/>
  <dc:description/>
  <cp:lastModifiedBy>Nayak, Uma (un8x)</cp:lastModifiedBy>
  <cp:revision>94</cp:revision>
  <cp:lastPrinted>2017-01-02T02:30:00Z</cp:lastPrinted>
  <dcterms:created xsi:type="dcterms:W3CDTF">2015-12-27T12:32:00Z</dcterms:created>
  <dcterms:modified xsi:type="dcterms:W3CDTF">2019-04-19T14:28:00Z</dcterms:modified>
</cp:coreProperties>
</file>