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paration"/>
        <w:ind w:left="851" w:hanging="851"/>
        <w:rPr/>
      </w:pPr>
      <w:r>
        <w:rPr/>
        <w:drawing>
          <wp:inline distT="0" distB="0" distL="0" distR="0">
            <wp:extent cx="4955540" cy="301942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4955540" cy="3019425"/>
                    </a:xfrm>
                    <a:prstGeom prst="rect">
                      <a:avLst/>
                    </a:prstGeom>
                  </pic:spPr>
                </pic:pic>
              </a:graphicData>
            </a:graphic>
          </wp:inline>
        </w:drawing>
      </w:r>
    </w:p>
    <w:tbl>
      <w:tblPr>
        <w:tblStyle w:val="Grilledutableau"/>
        <w:tblpPr w:bottomFromText="0" w:horzAnchor="margin" w:leftFromText="141" w:rightFromText="141" w:tblpX="0" w:tblpY="358" w:topFromText="0" w:vertAnchor="text"/>
        <w:tblW w:w="94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198"/>
        <w:gridCol w:w="263"/>
      </w:tblGrid>
      <w:tr>
        <w:trPr/>
        <w:tc>
          <w:tcPr>
            <w:tcW w:w="9198" w:type="dxa"/>
            <w:tcBorders>
              <w:top w:val="nil"/>
              <w:left w:val="nil"/>
              <w:bottom w:val="nil"/>
              <w:right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center"/>
              <w:rPr>
                <w:rFonts w:cs="Calibri" w:cstheme="minorHAnsi"/>
                <w:b/>
                <w:b/>
                <w:bCs/>
                <w:sz w:val="40"/>
                <w:szCs w:val="40"/>
              </w:rPr>
            </w:pPr>
            <w:r>
              <w:rPr>
                <w:rFonts w:eastAsia="Calibri" w:cs=""/>
                <w:b/>
                <w:bCs/>
                <w:kern w:val="0"/>
                <w:sz w:val="40"/>
                <w:szCs w:val="40"/>
                <w:lang w:val="de-CH" w:eastAsia="en-US" w:bidi="ar-SA"/>
              </w:rPr>
              <w:t>Berechnung des Wohnrechts</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drawing>
                <wp:anchor behindDoc="0" distT="0" distB="0" distL="114300" distR="114300" simplePos="0" locked="0" layoutInCell="1" allowOverlap="1" relativeHeight="10">
                  <wp:simplePos x="0" y="0"/>
                  <wp:positionH relativeFrom="column">
                    <wp:posOffset>2540</wp:posOffset>
                  </wp:positionH>
                  <wp:positionV relativeFrom="paragraph">
                    <wp:posOffset>183515</wp:posOffset>
                  </wp:positionV>
                  <wp:extent cx="5704205" cy="3397250"/>
                  <wp:effectExtent l="0" t="0" r="0" b="0"/>
                  <wp:wrapTopAndBottom/>
                  <wp:docPr id="2"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
                          <pic:cNvPicPr>
                            <a:picLocks noChangeAspect="1" noChangeArrowheads="1"/>
                          </pic:cNvPicPr>
                        </pic:nvPicPr>
                        <pic:blipFill>
                          <a:blip r:embed="rId3"/>
                          <a:stretch>
                            <a:fillRect/>
                          </a:stretch>
                        </pic:blipFill>
                        <pic:spPr bwMode="auto">
                          <a:xfrm>
                            <a:off x="0" y="0"/>
                            <a:ext cx="5704205" cy="3397250"/>
                          </a:xfrm>
                          <a:prstGeom prst="rect">
                            <a:avLst/>
                          </a:prstGeom>
                        </pic:spPr>
                      </pic:pic>
                    </a:graphicData>
                  </a:graphic>
                </wp:anchor>
              </w:drawing>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ascii="Open Sans" w:hAnsi="Open Sans" w:cs="Open Sans"/>
                <w:b/>
                <w:b/>
                <w:bCs/>
                <w:sz w:val="20"/>
                <w:szCs w:val="20"/>
              </w:rPr>
            </w:pPr>
            <w:r>
              <w:rPr>
                <w:rFonts w:eastAsia="Calibri" w:cs="" w:ascii="Open Sans" w:hAnsi="Open Sans"/>
                <w:b/>
                <w:bCs/>
                <w:kern w:val="0"/>
                <w:sz w:val="20"/>
                <w:szCs w:val="20"/>
                <w:lang w:val="de-CH" w:eastAsia="en-US" w:bidi="ar-SA"/>
              </w:rPr>
              <w:t>Prinzip der Leibrente (auch Immobilienrente genannt):</w:t>
            </w:r>
          </w:p>
          <w:p>
            <w:pPr>
              <w:pStyle w:val="Normal"/>
              <w:widowControl w:val="false"/>
              <w:suppressAutoHyphens w:val="true"/>
              <w:spacing w:lineRule="auto" w:line="240" w:before="0" w:after="0"/>
              <w:jc w:val="left"/>
              <w:rPr>
                <w:rFonts w:ascii="Open Sans" w:hAnsi="Open Sans" w:cs="Open Sans"/>
                <w:b/>
                <w:b/>
                <w:bCs/>
                <w:sz w:val="20"/>
                <w:szCs w:val="20"/>
              </w:rPr>
            </w:pPr>
            <w:r>
              <w:rPr>
                <w:rFonts w:cs="Open Sans" w:ascii="Open Sans" w:hAnsi="Open Sans"/>
                <w:b/>
                <w:bC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Ein Eigentümer bietet seine Immobilie zum Verkauf an. Der Verkaufspreis wird wie folgt aufgeteilt:</w:t>
            </w:r>
          </w:p>
          <w:p>
            <w:pPr>
              <w:pStyle w:val="Normal"/>
              <w:widowControl w:val="false"/>
              <w:numPr>
                <w:ilvl w:val="0"/>
                <w:numId w:val="2"/>
              </w:numPr>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Abschlagszahlung (Anfangskapital)</w:t>
            </w:r>
          </w:p>
          <w:p>
            <w:pPr>
              <w:pStyle w:val="Normal"/>
              <w:widowControl w:val="false"/>
              <w:numPr>
                <w:ilvl w:val="0"/>
                <w:numId w:val="2"/>
              </w:numPr>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Zahlung einer Leibrente</w:t>
            </w:r>
          </w:p>
          <w:p>
            <w:pPr>
              <w:pStyle w:val="Normal"/>
              <w:widowControl w:val="false"/>
              <w:numPr>
                <w:ilvl w:val="0"/>
                <w:numId w:val="2"/>
              </w:numPr>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 xml:space="preserve">Bestellung einer Nutzniessung (inkl. Wohnrecht) </w:t>
            </w:r>
          </w:p>
          <w:p>
            <w:pPr>
              <w:pStyle w:val="Normal"/>
              <w:widowControl w:val="false"/>
              <w:suppressAutoHyphens w:val="true"/>
              <w:spacing w:lineRule="auto" w:line="240" w:before="0" w:after="0"/>
              <w:jc w:val="left"/>
              <w:rPr>
                <w:rFonts w:ascii="Open Sans" w:hAnsi="Open Sans"/>
                <w:sz w:val="20"/>
                <w:szCs w:val="20"/>
              </w:rPr>
            </w:pPr>
            <w:r>
              <w:rPr>
                <w:rFonts w:eastAsia="Calibri" w:cs="" w:ascii="Open Sans" w:hAnsi="Open Sans"/>
                <w:kern w:val="0"/>
                <w:sz w:val="20"/>
                <w:szCs w:val="20"/>
                <w:lang w:val="de-CH" w:eastAsia="en-US" w:bidi="ar-SA"/>
              </w:rPr>
              <w:br/>
              <w:t>Die Immobilie wird durch einen von der FINMA zugelassenen Immobilienexperten geschätzt.</w:t>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 xml:space="preserve">Die Leibrente und das Wohnrecht erlöschen mit dem Tod des Eigentümers und des in der Verkaufsurkunde aufgeführten Ehepartners </w:t>
            </w:r>
          </w:p>
          <w:p>
            <w:pPr>
              <w:pStyle w:val="Normal"/>
              <w:widowControl w:val="false"/>
              <w:suppressAutoHyphens w:val="true"/>
              <w:spacing w:lineRule="auto" w:line="240" w:before="0" w:after="0"/>
              <w:jc w:val="left"/>
              <w:rPr>
                <w:rFonts w:ascii="Open Sans" w:hAnsi="Open Sans" w:cs="Open Sans"/>
                <w:b/>
                <w:b/>
                <w:bCs/>
                <w:sz w:val="20"/>
                <w:szCs w:val="20"/>
              </w:rPr>
            </w:pPr>
            <w:r>
              <w:rPr>
                <w:rFonts w:cs="Open Sans" w:ascii="Open Sans" w:hAnsi="Open Sans"/>
                <w:b/>
                <w:bCs/>
                <w:sz w:val="20"/>
                <w:szCs w:val="20"/>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
                <w:bCs/>
                <w:sz w:val="20"/>
                <w:szCs w:val="20"/>
              </w:rPr>
            </w:pPr>
            <w:r>
              <w:rPr>
                <w:rFonts w:eastAsia="Calibri" w:cs="" w:ascii="Open Sans" w:hAnsi="Open Sans"/>
                <w:b/>
                <w:bCs/>
                <w:kern w:val="0"/>
                <w:sz w:val="20"/>
                <w:szCs w:val="20"/>
                <w:lang w:val="de-CH" w:eastAsia="en-US" w:bidi="ar-SA"/>
              </w:rPr>
              <w:t>Unterschied zu einem Verkauf ohne Leibrente:</w:t>
            </w:r>
          </w:p>
          <w:p>
            <w:pPr>
              <w:pStyle w:val="ListParagraph"/>
              <w:widowControl w:val="false"/>
              <w:suppressAutoHyphens w:val="true"/>
              <w:spacing w:lineRule="auto" w:line="240" w:before="0" w:after="0"/>
              <w:contextualSpacing/>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Der Verkaufspreis entspricht dem Verkehrswert.</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Zahlungsweise: Inkasso des gesamten Verkehrswerts</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Kein Wohnrecht, Umzug unvermeidlich</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Keine wiederkehrenden Einkünfte aus der Immobilie (keine Rente)</w:t>
            </w:r>
          </w:p>
          <w:p>
            <w:pPr>
              <w:pStyle w:val="Normal"/>
              <w:widowControl w:val="false"/>
              <w:suppressAutoHyphens w:val="true"/>
              <w:spacing w:lineRule="auto" w:line="240" w:before="0" w:after="0"/>
              <w:jc w:val="left"/>
              <w:rPr>
                <w:rFonts w:ascii="Open Sans" w:hAnsi="Open Sans" w:cs="Open Sans"/>
                <w:b/>
                <w:b/>
                <w:bCs/>
                <w:sz w:val="20"/>
                <w:szCs w:val="20"/>
              </w:rPr>
            </w:pPr>
            <w:r>
              <w:rPr>
                <w:rFonts w:cs="Open Sans" w:ascii="Open Sans" w:hAnsi="Open Sans"/>
                <w:b/>
                <w:bCs/>
                <w:sz w:val="20"/>
                <w:szCs w:val="20"/>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
                <w:bCs/>
                <w:sz w:val="20"/>
                <w:szCs w:val="20"/>
              </w:rPr>
            </w:pPr>
            <w:r>
              <w:rPr>
                <w:rFonts w:eastAsia="Calibri" w:cs="" w:ascii="Open Sans" w:hAnsi="Open Sans"/>
                <w:b/>
                <w:bCs/>
                <w:kern w:val="0"/>
                <w:sz w:val="20"/>
                <w:szCs w:val="20"/>
                <w:lang w:val="de-CH" w:eastAsia="en-US" w:bidi="ar-SA"/>
              </w:rPr>
              <w:t>Verkauf auf Leibrentenbasis:</w:t>
            </w:r>
          </w:p>
          <w:p>
            <w:pPr>
              <w:pStyle w:val="ListParagraph"/>
              <w:widowControl w:val="false"/>
              <w:suppressAutoHyphens w:val="true"/>
              <w:spacing w:lineRule="auto" w:line="240" w:before="0" w:after="0"/>
              <w:contextualSpacing/>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Verkaufspreis: Verkehrswert</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Zahlungsweise: Abschlagzahlung (Cash, ca. 1/3 des Verkaufspreises + jährliche Rente bis zum Tod)</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Wohnrecht bis zum Tod oder befristet</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Wohnrecht nicht auf Erben übertragbar</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Verfügbarer Saldo nach Rückzahlung der Hypotheken und Steuern, kann als Kapital (Abschlagzahlung) und/oder als Rente ausgezahlt werden</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Rente: zusätzliches Einkommen, das von einer Versicherungsgesellschaft lebenslang garantiert wird</w:t>
            </w:r>
          </w:p>
          <w:p>
            <w:pPr>
              <w:pStyle w:val="ListParagraph"/>
              <w:widowControl w:val="false"/>
              <w:suppressAutoHyphens w:val="true"/>
              <w:spacing w:lineRule="auto" w:line="240" w:before="0" w:after="0"/>
              <w:contextualSpacing/>
              <w:jc w:val="left"/>
              <w:rPr>
                <w:rFonts w:ascii="Open Sans" w:hAnsi="Open Sans" w:cs="Open Sans"/>
                <w:sz w:val="20"/>
                <w:szCs w:val="20"/>
              </w:rPr>
            </w:pPr>
            <w:r>
              <w:rPr>
                <w:rFonts w:cs="Open Sans" w:ascii="Open Sans" w:hAnsi="Open Sans"/>
                <w:sz w:val="20"/>
                <w:szCs w:val="20"/>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
                <w:bCs/>
                <w:sz w:val="20"/>
                <w:szCs w:val="20"/>
              </w:rPr>
            </w:pPr>
            <w:r>
              <w:rPr>
                <w:rFonts w:eastAsia="Calibri" w:cs="" w:ascii="Open Sans" w:hAnsi="Open Sans"/>
                <w:b/>
                <w:bCs/>
                <w:kern w:val="0"/>
                <w:sz w:val="20"/>
                <w:szCs w:val="20"/>
                <w:lang w:val="de-CH" w:eastAsia="en-US" w:bidi="ar-SA"/>
              </w:rPr>
              <w:t>Vorteile für den Nutzniesser:</w:t>
            </w:r>
          </w:p>
          <w:p>
            <w:pPr>
              <w:pStyle w:val="Normal"/>
              <w:widowControl w:val="false"/>
              <w:suppressAutoHyphens w:val="true"/>
              <w:spacing w:lineRule="auto" w:line="240" w:before="0" w:after="0"/>
              <w:jc w:val="left"/>
              <w:rPr>
                <w:rFonts w:ascii="Open Sans" w:hAnsi="Open Sans" w:cs="Open Sans"/>
                <w:b/>
                <w:b/>
                <w:bCs/>
                <w:sz w:val="20"/>
                <w:szCs w:val="20"/>
              </w:rPr>
            </w:pPr>
            <w:r>
              <w:rPr>
                <w:rFonts w:cs="Open Sans" w:ascii="Open Sans" w:hAnsi="Open Sans"/>
                <w:b/>
                <w:bCs/>
                <w:sz w:val="20"/>
                <w:szCs w:val="20"/>
              </w:rPr>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 w:ascii="Open Sans" w:hAnsi="Open Sans"/>
                <w:kern w:val="0"/>
                <w:sz w:val="20"/>
                <w:szCs w:val="20"/>
                <w:lang w:val="de-CH" w:eastAsia="en-US" w:bidi="ar-SA"/>
              </w:rPr>
              <w:t>Mit der</w:t>
            </w:r>
            <w:r>
              <w:rPr>
                <w:rFonts w:eastAsia="Calibri" w:cs="" w:ascii="Open Sans" w:hAnsi="Open Sans"/>
                <w:b/>
                <w:kern w:val="0"/>
                <w:sz w:val="20"/>
                <w:szCs w:val="20"/>
                <w:lang w:val="de-CH" w:eastAsia="en-US" w:bidi="ar-SA"/>
              </w:rPr>
              <w:t xml:space="preserve"> Abschlagzahlung</w:t>
            </w:r>
            <w:r>
              <w:rPr>
                <w:rFonts w:eastAsia="Calibri" w:cs="" w:ascii="Open Sans" w:hAnsi="Open Sans"/>
                <w:kern w:val="0"/>
                <w:sz w:val="20"/>
                <w:szCs w:val="20"/>
                <w:lang w:val="de-CH" w:eastAsia="en-US" w:bidi="ar-SA"/>
              </w:rPr>
              <w:t xml:space="preserve"> werden die Hypothekarzinsen bezahlt, was die Kaufkraft verbessert. Über den restlichen Betrag kann der Verkäufer frei verfügen. Er kann ihn sich als Kapital oder als Zusatzrente auszahlen lassen.</w:t>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 w:ascii="Open Sans" w:hAnsi="Open Sans"/>
                <w:kern w:val="0"/>
                <w:sz w:val="20"/>
                <w:szCs w:val="20"/>
                <w:lang w:val="de-CH" w:eastAsia="en-US" w:bidi="ar-SA"/>
              </w:rPr>
              <w:t xml:space="preserve">Das zusätzliche, in </w:t>
            </w:r>
            <w:r>
              <w:rPr>
                <w:rFonts w:eastAsia="Calibri" w:cs="" w:ascii="Open Sans" w:hAnsi="Open Sans"/>
                <w:b/>
                <w:bCs/>
                <w:kern w:val="0"/>
                <w:sz w:val="20"/>
                <w:szCs w:val="20"/>
                <w:lang w:val="de-CH" w:eastAsia="en-US" w:bidi="ar-SA"/>
              </w:rPr>
              <w:t>Rente</w:t>
            </w:r>
            <w:r>
              <w:rPr>
                <w:rFonts w:eastAsia="Calibri" w:cs="" w:ascii="Open Sans" w:hAnsi="Open Sans"/>
                <w:kern w:val="0"/>
                <w:sz w:val="20"/>
                <w:szCs w:val="20"/>
                <w:lang w:val="de-CH" w:eastAsia="en-US" w:bidi="ar-SA"/>
              </w:rPr>
              <w:t>nform ausbezahlte Einkommen wird durch eine unabhängige Versicherung (Einmalprämie) sichergestellt.</w:t>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 w:ascii="Open Sans" w:hAnsi="Open Sans"/>
                <w:kern w:val="0"/>
                <w:sz w:val="20"/>
                <w:szCs w:val="20"/>
                <w:lang w:val="de-CH" w:eastAsia="en-US" w:bidi="ar-SA"/>
              </w:rPr>
              <w:t xml:space="preserve">Das </w:t>
            </w:r>
            <w:r>
              <w:rPr>
                <w:rFonts w:eastAsia="Calibri" w:cs="" w:ascii="Open Sans" w:hAnsi="Open Sans"/>
                <w:b/>
                <w:bCs/>
                <w:kern w:val="0"/>
                <w:sz w:val="20"/>
                <w:szCs w:val="20"/>
                <w:lang w:val="de-CH" w:eastAsia="en-US" w:bidi="ar-SA"/>
              </w:rPr>
              <w:t>Wohnrecht</w:t>
            </w:r>
            <w:r>
              <w:rPr>
                <w:rFonts w:eastAsia="Calibri" w:cs="" w:ascii="Open Sans" w:hAnsi="Open Sans"/>
                <w:kern w:val="0"/>
                <w:sz w:val="20"/>
                <w:szCs w:val="20"/>
                <w:lang w:val="de-CH" w:eastAsia="en-US" w:bidi="ar-SA"/>
              </w:rPr>
              <w:t xml:space="preserve"> bietet die Garantie, so lange in der Wohnung leben zu können, wie es die Gesundheit des letzten Ehepartners zulässt (Eintrag im Grundbuch).</w:t>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 w:ascii="Open Sans" w:hAnsi="Open Sans"/>
                <w:kern w:val="0"/>
                <w:sz w:val="20"/>
                <w:szCs w:val="20"/>
                <w:lang w:val="de-CH" w:eastAsia="en-US" w:bidi="ar-SA"/>
              </w:rPr>
              <w:t xml:space="preserve">Der Fonds führt eine jährliche Kontrolle durch (siehe Lastenverteilung unter Punkt 7). </w:t>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 w:ascii="Open Sans" w:hAnsi="Open Sans"/>
                <w:b/>
                <w:bCs/>
                <w:kern w:val="0"/>
                <w:sz w:val="20"/>
                <w:szCs w:val="20"/>
                <w:lang w:val="de-CH" w:eastAsia="en-US" w:bidi="ar-SA"/>
              </w:rPr>
              <w:t>Nachlassregelung</w:t>
            </w:r>
            <w:r>
              <w:rPr>
                <w:rFonts w:eastAsia="Calibri" w:cs="" w:ascii="Open Sans" w:hAnsi="Open Sans"/>
                <w:kern w:val="0"/>
                <w:sz w:val="20"/>
                <w:szCs w:val="20"/>
                <w:lang w:val="de-CH" w:eastAsia="en-US" w:bidi="ar-SA"/>
              </w:rPr>
              <w:t xml:space="preserve"> für die Immobilie</w:t>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 w:ascii="Open Sans" w:hAnsi="Open Sans"/>
                <w:b/>
                <w:kern w:val="0"/>
                <w:sz w:val="20"/>
                <w:szCs w:val="20"/>
                <w:lang w:val="de-CH" w:eastAsia="en-US" w:bidi="ar-SA"/>
              </w:rPr>
              <w:t>Schenkung</w:t>
            </w:r>
            <w:r>
              <w:rPr>
                <w:rFonts w:eastAsia="Calibri" w:cs="" w:ascii="Open Sans" w:hAnsi="Open Sans"/>
                <w:kern w:val="0"/>
                <w:sz w:val="20"/>
                <w:szCs w:val="20"/>
                <w:lang w:val="de-CH" w:eastAsia="en-US" w:bidi="ar-SA"/>
              </w:rPr>
              <w:t xml:space="preserve"> an die Erben zu Lebzeiten</w:t>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righ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ind w:left="360" w:hanging="0"/>
              <w:jc w:val="left"/>
              <w:rPr>
                <w:rFonts w:ascii="Open Sans" w:hAnsi="Open Sans" w:cs="Open Sans"/>
                <w:sz w:val="20"/>
                <w:szCs w:val="20"/>
              </w:rPr>
            </w:pPr>
            <w:r>
              <w:rPr>
                <w:rFonts w:cs="Open Sans" w:ascii="Open Sans" w:hAnsi="Open Sans"/>
                <w:sz w:val="20"/>
                <w:szCs w:val="20"/>
              </w:rPr>
            </w:r>
          </w:p>
          <w:p>
            <w:pPr>
              <w:pStyle w:val="Rfrence"/>
              <w:widowControl w:val="false"/>
              <w:numPr>
                <w:ilvl w:val="0"/>
                <w:numId w:val="3"/>
              </w:numPr>
              <w:suppressAutoHyphens w:val="true"/>
              <w:ind w:left="720" w:right="-2" w:hanging="360"/>
              <w:jc w:val="left"/>
              <w:rPr>
                <w:rFonts w:ascii="Open Sans" w:hAnsi="Open Sans" w:cs="Open Sans"/>
                <w:b/>
                <w:b/>
                <w:bCs/>
              </w:rPr>
            </w:pPr>
            <w:r>
              <w:rPr>
                <w:rFonts w:ascii="Open Sans" w:hAnsi="Open Sans"/>
                <w:b/>
                <w:bCs/>
                <w:kern w:val="0"/>
                <w:lang w:val="de-CH" w:eastAsia="en-US" w:bidi="ar-SA"/>
              </w:rPr>
              <w:t xml:space="preserve">Präambel: </w:t>
            </w:r>
          </w:p>
          <w:p>
            <w:pPr>
              <w:pStyle w:val="Rfrence"/>
              <w:widowControl w:val="false"/>
              <w:suppressAutoHyphens w:val="true"/>
              <w:jc w:val="left"/>
              <w:rPr>
                <w:rFonts w:ascii="Open Sans" w:hAnsi="Open Sans" w:cs="Open Sans"/>
              </w:rPr>
            </w:pPr>
            <w:r>
              <w:rPr>
                <w:rFonts w:ascii="Open Sans" w:hAnsi="Open Sans"/>
                <w:kern w:val="0"/>
                <w:lang w:val="de-CH" w:eastAsia="en-US" w:bidi="ar-SA"/>
              </w:rPr>
              <w:t>Art. 764 ZGB – Lasten</w:t>
            </w:r>
          </w:p>
          <w:p>
            <w:pPr>
              <w:pStyle w:val="Lois"/>
              <w:widowControl w:val="false"/>
              <w:suppressAutoHyphens w:val="true"/>
              <w:spacing w:before="0" w:after="240"/>
              <w:rPr>
                <w:rFonts w:ascii="Open Sans" w:hAnsi="Open Sans" w:cs="Open Sans"/>
              </w:rPr>
            </w:pPr>
            <w:r>
              <w:rPr>
                <w:rFonts w:ascii="Open Sans" w:hAnsi="Open Sans"/>
                <w:kern w:val="0"/>
                <w:lang w:val="de-CH" w:eastAsia="en-US" w:bidi="ar-SA"/>
              </w:rPr>
              <w:t xml:space="preserve">1 </w:t>
              <w:tab/>
              <w:t>Der Nutzniesser hat den Gegenstand in seinem Bestande zu erhalten und Ausbesserungen und Erneuerungen, die zum gewöhnlichen Unterhalte gehören, von sich aus vorzunehmen.</w:t>
            </w:r>
          </w:p>
          <w:p>
            <w:pPr>
              <w:pStyle w:val="Lois"/>
              <w:widowControl w:val="false"/>
              <w:suppressAutoHyphens w:val="true"/>
              <w:spacing w:before="0" w:after="240"/>
              <w:rPr>
                <w:rFonts w:ascii="Open Sans" w:hAnsi="Open Sans" w:cs="Open Sans"/>
              </w:rPr>
            </w:pPr>
            <w:r>
              <w:rPr>
                <w:rFonts w:ascii="Open Sans" w:hAnsi="Open Sans"/>
                <w:kern w:val="0"/>
                <w:lang w:val="de-CH" w:eastAsia="en-US" w:bidi="ar-SA"/>
              </w:rPr>
              <w:t xml:space="preserve">2 </w:t>
              <w:tab/>
              <w:t>Werden wichtigere Arbeiten oder Vorkehrungen zum Schutze des Gegenstandes nötig, so hat der Nutzniesser den Eigentümer davon zu benachrichtigen und ihre Vornahme zu gestatten.</w:t>
            </w:r>
          </w:p>
          <w:p>
            <w:pPr>
              <w:pStyle w:val="Rfrence"/>
              <w:widowControl w:val="false"/>
              <w:suppressAutoHyphens w:val="true"/>
              <w:jc w:val="left"/>
              <w:rPr>
                <w:rFonts w:ascii="Open Sans" w:hAnsi="Open Sans" w:cs="Open Sans"/>
              </w:rPr>
            </w:pPr>
            <w:r>
              <w:rPr>
                <w:rFonts w:ascii="Open Sans" w:hAnsi="Open Sans"/>
                <w:kern w:val="0"/>
                <w:lang w:val="de-CH" w:eastAsia="en-US" w:bidi="ar-SA"/>
              </w:rPr>
              <w:t>Art. 769 ZGB – Wirtschaftliche Bestimmung</w:t>
            </w:r>
          </w:p>
          <w:p>
            <w:pPr>
              <w:pStyle w:val="Lois"/>
              <w:widowControl w:val="false"/>
              <w:suppressAutoHyphens w:val="true"/>
              <w:spacing w:before="0" w:after="240"/>
              <w:rPr>
                <w:rFonts w:ascii="Open Sans" w:hAnsi="Open Sans" w:cs="Open Sans"/>
              </w:rPr>
            </w:pPr>
            <w:r>
              <w:rPr>
                <w:rFonts w:ascii="Open Sans" w:hAnsi="Open Sans"/>
                <w:kern w:val="0"/>
                <w:lang w:val="de-CH" w:eastAsia="en-US" w:bidi="ar-SA"/>
              </w:rPr>
              <w:t xml:space="preserve">1 </w:t>
              <w:tab/>
              <w:t>Der Nutzniesser darf an der wirtschaftlichen Bestimmung des Grundstückes keine Veränderungen vornehmen, die für den Eigentümer von erheblichem Nachteil sind.</w:t>
            </w:r>
          </w:p>
          <w:p>
            <w:pPr>
              <w:pStyle w:val="Lois"/>
              <w:widowControl w:val="false"/>
              <w:suppressAutoHyphens w:val="true"/>
              <w:spacing w:before="0" w:after="240"/>
              <w:rPr>
                <w:rFonts w:ascii="Open Sans" w:hAnsi="Open Sans" w:cs="Open Sans"/>
              </w:rPr>
            </w:pPr>
            <w:r>
              <w:rPr>
                <w:rFonts w:ascii="Open Sans" w:hAnsi="Open Sans"/>
                <w:kern w:val="0"/>
                <w:lang w:val="de-CH" w:eastAsia="en-US" w:bidi="ar-SA"/>
              </w:rPr>
              <w:t xml:space="preserve">2 </w:t>
              <w:tab/>
              <w:t>Die Sache selbst darf er weder umgestalten noch wesentlich verändern.</w:t>
            </w:r>
          </w:p>
          <w:p>
            <w:pPr>
              <w:pStyle w:val="Normal"/>
              <w:widowControl w:val="false"/>
              <w:suppressAutoHyphens w:val="true"/>
              <w:spacing w:lineRule="auto" w:line="240" w:before="0" w:after="0"/>
              <w:ind w:left="851" w:hanging="0"/>
              <w:jc w:val="left"/>
              <w:rPr>
                <w:rFonts w:ascii="Open Sans" w:hAnsi="Open Sans" w:cs="Open Sans"/>
                <w:sz w:val="20"/>
                <w:szCs w:val="20"/>
              </w:rPr>
            </w:pPr>
            <w:r>
              <w:rPr>
                <w:rFonts w:eastAsia="Calibri" w:cs="" w:ascii="Open Sans" w:hAnsi="Open Sans"/>
                <w:kern w:val="0"/>
                <w:sz w:val="20"/>
                <w:szCs w:val="20"/>
                <w:lang w:val="de-CH" w:eastAsia="en-US" w:bidi="ar-SA"/>
              </w:rPr>
              <w:t xml:space="preserve">Bei Stockwerkeigentum: </w:t>
            </w:r>
          </w:p>
          <w:p>
            <w:pPr>
              <w:pStyle w:val="Normal"/>
              <w:widowControl w:val="false"/>
              <w:suppressAutoHyphens w:val="true"/>
              <w:spacing w:lineRule="auto" w:line="240" w:before="0" w:after="0"/>
              <w:ind w:left="851" w:hanging="0"/>
              <w:jc w:val="left"/>
              <w:rPr>
                <w:rFonts w:ascii="Open Sans" w:hAnsi="Open Sans" w:cs="Open Sans"/>
                <w:sz w:val="20"/>
                <w:szCs w:val="20"/>
              </w:rPr>
            </w:pPr>
            <w:r>
              <w:rPr>
                <w:rFonts w:eastAsia="Calibri" w:cs="" w:ascii="Open Sans" w:hAnsi="Open Sans"/>
                <w:kern w:val="0"/>
                <w:sz w:val="20"/>
                <w:szCs w:val="20"/>
                <w:lang w:val="de-CH" w:eastAsia="en-US" w:bidi="ar-SA"/>
              </w:rPr>
              <w:t>Sämtliche Lasten im Zusammenhang mit dem Stockwerkeigentum trägt der Nutzniesser.</w:t>
            </w:r>
          </w:p>
          <w:p>
            <w:pPr>
              <w:pStyle w:val="Normal"/>
              <w:widowControl w:val="false"/>
              <w:suppressAutoHyphens w:val="true"/>
              <w:spacing w:lineRule="auto" w:line="240" w:before="0" w:after="0"/>
              <w:ind w:left="851" w:hanging="0"/>
              <w:jc w:val="left"/>
              <w:rPr>
                <w:rFonts w:ascii="Open Sans" w:hAnsi="Open Sans" w:cs="Open Sans"/>
                <w:sz w:val="20"/>
                <w:szCs w:val="20"/>
              </w:rPr>
            </w:pPr>
            <w:r>
              <w:rPr>
                <w:rFonts w:eastAsia="Calibri" w:cs="" w:ascii="Open Sans" w:hAnsi="Open Sans"/>
                <w:kern w:val="0"/>
                <w:sz w:val="20"/>
                <w:szCs w:val="20"/>
                <w:lang w:val="de-CH" w:eastAsia="en-US" w:bidi="ar-SA"/>
              </w:rPr>
              <w:t>Der Beitrag zum Erneuerungsfonds, der im Budget für die Lasten des Stockwerkeigentums enthalten ist, ist ebenfalls vom Nutzniesser zu erbringen.</w:t>
            </w:r>
          </w:p>
          <w:p>
            <w:pPr>
              <w:pStyle w:val="Normal"/>
              <w:widowControl w:val="false"/>
              <w:suppressAutoHyphens w:val="true"/>
              <w:spacing w:lineRule="auto" w:line="240" w:before="0" w:after="0"/>
              <w:ind w:left="851" w:hanging="0"/>
              <w:jc w:val="left"/>
              <w:rPr>
                <w:rFonts w:ascii="Open Sans" w:hAnsi="Open Sans" w:cs="Open Sans"/>
                <w:sz w:val="20"/>
                <w:szCs w:val="20"/>
              </w:rPr>
            </w:pPr>
            <w:r>
              <w:rPr>
                <w:rFonts w:eastAsia="Calibri" w:cs="" w:ascii="Open Sans" w:hAnsi="Open Sans"/>
                <w:kern w:val="0"/>
                <w:sz w:val="20"/>
                <w:szCs w:val="20"/>
                <w:lang w:val="de-CH" w:eastAsia="en-US" w:bidi="ar-SA"/>
              </w:rPr>
              <w:t xml:space="preserve">Umfangreicher Renovations- oder Unterhaltsarbeiten hat der Eigentümer zu übernehmen. </w:t>
            </w:r>
          </w:p>
          <w:p>
            <w:pPr>
              <w:pStyle w:val="Normal"/>
              <w:widowControl w:val="false"/>
              <w:suppressAutoHyphens w:val="true"/>
              <w:spacing w:lineRule="auto" w:line="240" w:before="0" w:after="0"/>
              <w:ind w:left="851" w:hanging="0"/>
              <w:jc w:val="left"/>
              <w:rPr>
                <w:rFonts w:ascii="Open Sans" w:hAnsi="Open Sans" w:cs="Open Sans"/>
                <w:sz w:val="20"/>
                <w:szCs w:val="20"/>
              </w:rPr>
            </w:pPr>
            <w:r>
              <w:rPr>
                <w:rFonts w:eastAsia="Calibri" w:cs="" w:ascii="Open Sans" w:hAnsi="Open Sans"/>
                <w:kern w:val="0"/>
                <w:sz w:val="20"/>
                <w:szCs w:val="20"/>
                <w:lang w:val="de-CH" w:eastAsia="en-US" w:bidi="ar-SA"/>
              </w:rPr>
              <w:t>Sind die folgenden Lasten nicht in den vom Stockwerkeigentum bezahlten Lasten enthalten, werden sie wie folgt aufgeteilt:</w:t>
            </w:r>
          </w:p>
          <w:p>
            <w:pPr>
              <w:pStyle w:val="Normal"/>
              <w:widowControl w:val="false"/>
              <w:suppressAutoHyphens w:val="true"/>
              <w:spacing w:lineRule="auto" w:line="240" w:before="0" w:after="0"/>
              <w:ind w:left="851" w:hanging="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ind w:left="851" w:hanging="0"/>
              <w:jc w:val="left"/>
              <w:rPr>
                <w:rFonts w:ascii="Open Sans" w:hAnsi="Open Sans" w:cs="Open Sans"/>
                <w:sz w:val="20"/>
                <w:szCs w:val="20"/>
              </w:rPr>
            </w:pPr>
            <w:r>
              <w:rPr>
                <w:rFonts w:eastAsia="Calibri" w:cs="" w:ascii="Open Sans" w:hAnsi="Open Sans"/>
                <w:kern w:val="0"/>
                <w:sz w:val="20"/>
                <w:szCs w:val="20"/>
                <w:lang w:val="de-CH" w:eastAsia="en-US" w:bidi="ar-SA"/>
              </w:rPr>
              <w:t xml:space="preserve">Einfamilienhäuser: </w:t>
            </w:r>
          </w:p>
          <w:p>
            <w:pPr>
              <w:pStyle w:val="Normal"/>
              <w:widowControl w:val="false"/>
              <w:suppressAutoHyphens w:val="true"/>
              <w:spacing w:lineRule="auto" w:line="240" w:before="0" w:after="0"/>
              <w:ind w:left="851" w:hanging="0"/>
              <w:jc w:val="left"/>
              <w:rPr>
                <w:rFonts w:ascii="Open Sans" w:hAnsi="Open Sans" w:cs="Open Sans"/>
                <w:sz w:val="20"/>
                <w:szCs w:val="20"/>
              </w:rPr>
            </w:pPr>
            <w:bookmarkStart w:id="0" w:name="_Hlk112924289"/>
            <w:bookmarkEnd w:id="0"/>
            <w:r>
              <w:rPr>
                <w:rFonts w:eastAsia="Calibri" w:cs="" w:ascii="Open Sans" w:hAnsi="Open Sans"/>
                <w:kern w:val="0"/>
                <w:sz w:val="20"/>
                <w:szCs w:val="20"/>
                <w:lang w:val="de-CH" w:eastAsia="en-US" w:bidi="ar-SA"/>
              </w:rPr>
              <w:t>Angesichts der obigen Ausführungen werden die mit dem Gebäude verbundenen Lasten wie folgt aufgeteilt:</w:t>
            </w:r>
          </w:p>
          <w:p>
            <w:pPr>
              <w:pStyle w:val="Normal"/>
              <w:widowControl w:val="false"/>
              <w:suppressAutoHyphens w:val="true"/>
              <w:spacing w:lineRule="auto" w:line="240" w:before="0" w:after="0"/>
              <w:ind w:left="851" w:hanging="0"/>
              <w:jc w:val="left"/>
              <w:rPr>
                <w:rFonts w:ascii="Open Sans" w:hAnsi="Open Sans" w:cs="Open Sans"/>
                <w:sz w:val="20"/>
                <w:szCs w:val="20"/>
              </w:rPr>
            </w:pPr>
            <w:r>
              <w:rPr>
                <w:rFonts w:cs="Open Sans" w:ascii="Open Sans" w:hAnsi="Open Sans"/>
                <w:sz w:val="20"/>
                <w:szCs w:val="20"/>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
                <w:bCs/>
                <w:sz w:val="20"/>
                <w:szCs w:val="20"/>
              </w:rPr>
            </w:pPr>
            <w:bookmarkStart w:id="1" w:name="_Toc112937768"/>
            <w:bookmarkStart w:id="2" w:name="_Toc112924596"/>
            <w:bookmarkStart w:id="3" w:name="_Toc112924645"/>
            <w:bookmarkStart w:id="4" w:name="_Toc112924892"/>
            <w:bookmarkStart w:id="5" w:name="_Toc112925147"/>
            <w:bookmarkStart w:id="6" w:name="_Toc112925566"/>
            <w:bookmarkStart w:id="7" w:name="_Toc112935478"/>
            <w:bookmarkStart w:id="8" w:name="_Toc112925682"/>
            <w:bookmarkStart w:id="9" w:name="_Toc112924407"/>
            <w:r>
              <w:rPr>
                <w:rFonts w:eastAsia="Calibri" w:cs="" w:ascii="Open Sans" w:hAnsi="Open Sans"/>
                <w:b/>
                <w:bCs/>
                <w:kern w:val="0"/>
                <w:sz w:val="20"/>
                <w:szCs w:val="20"/>
                <w:lang w:val="de-CH" w:eastAsia="en-US" w:bidi="ar-SA"/>
              </w:rPr>
              <w:t>Privatversicherungen:</w:t>
            </w:r>
            <w:bookmarkEnd w:id="1"/>
            <w:bookmarkEnd w:id="2"/>
            <w:bookmarkEnd w:id="3"/>
            <w:bookmarkEnd w:id="4"/>
            <w:bookmarkEnd w:id="5"/>
            <w:bookmarkEnd w:id="6"/>
            <w:bookmarkEnd w:id="7"/>
            <w:bookmarkEnd w:id="8"/>
            <w:bookmarkEnd w:id="9"/>
          </w:p>
          <w:p>
            <w:pPr>
              <w:pStyle w:val="ListParagraph"/>
              <w:widowControl w:val="false"/>
              <w:suppressAutoHyphens w:val="true"/>
              <w:spacing w:lineRule="auto" w:line="240" w:before="0" w:after="0"/>
              <w:contextualSpacing/>
              <w:jc w:val="left"/>
              <w:rPr>
                <w:rFonts w:ascii="Open Sans" w:hAnsi="Open Sans" w:cs="Open Sans"/>
                <w:b/>
                <w:b/>
                <w:bCs/>
                <w:sz w:val="20"/>
                <w:szCs w:val="20"/>
              </w:rPr>
            </w:pPr>
            <w:r>
              <w:rPr>
                <w:rFonts w:cs="Open Sans" w:ascii="Open Sans" w:hAnsi="Open Sans"/>
                <w:b/>
                <w:bCs/>
                <w:sz w:val="20"/>
                <w:szCs w:val="20"/>
              </w:rPr>
            </w:r>
            <w:bookmarkStart w:id="10" w:name="_Hlk1129242891"/>
            <w:bookmarkStart w:id="11" w:name="_Hlk1129242891"/>
            <w:bookmarkEnd w:id="11"/>
          </w:p>
          <w:p>
            <w:pPr>
              <w:pStyle w:val="Heading2"/>
              <w:widowControl w:val="false"/>
              <w:numPr>
                <w:ilvl w:val="1"/>
                <w:numId w:val="3"/>
              </w:numPr>
              <w:suppressAutoHyphens w:val="true"/>
              <w:spacing w:before="0" w:after="200"/>
              <w:rPr>
                <w:rFonts w:ascii="Open Sans" w:hAnsi="Open Sans" w:cs="Open Sans"/>
                <w:szCs w:val="20"/>
              </w:rPr>
            </w:pPr>
            <w:r>
              <w:rPr>
                <w:rFonts w:ascii="Open Sans" w:hAnsi="Open Sans"/>
                <w:kern w:val="0"/>
                <w:szCs w:val="20"/>
                <w:lang w:val="de-CH" w:bidi="ar-SA"/>
              </w:rPr>
              <w:t>Der Nutzniesser hat den Gegenstand zugunsten des Eigentümers mit folgenden Versicherungen zu decken:</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Feuer- und Elementarschadenversicherung</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Haftpflichtversicherung</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Glasbruch </w:t>
            </w:r>
          </w:p>
          <w:p>
            <w:pPr>
              <w:pStyle w:val="Puces"/>
              <w:widowControl w:val="false"/>
              <w:numPr>
                <w:ilvl w:val="0"/>
                <w:numId w:val="0"/>
              </w:numPr>
              <w:suppressAutoHyphens w:val="true"/>
              <w:spacing w:before="0" w:after="200"/>
              <w:ind w:left="0" w:hanging="0"/>
              <w:contextualSpacing/>
              <w:rPr>
                <w:rFonts w:ascii="Open Sans" w:hAnsi="Open Sans" w:cs="Open Sans"/>
              </w:rPr>
            </w:pPr>
            <w:r>
              <w:rPr>
                <w:rFonts w:cs="Open Sans" w:ascii="Open Sans" w:hAnsi="Open Sans"/>
              </w:rPr>
            </w:r>
          </w:p>
          <w:p>
            <w:pPr>
              <w:pStyle w:val="Puces"/>
              <w:widowControl w:val="false"/>
              <w:numPr>
                <w:ilvl w:val="0"/>
                <w:numId w:val="0"/>
              </w:numPr>
              <w:suppressAutoHyphens w:val="true"/>
              <w:spacing w:before="0" w:after="200"/>
              <w:ind w:left="0" w:hanging="0"/>
              <w:contextualSpacing/>
              <w:rPr>
                <w:rFonts w:ascii="Open Sans" w:hAnsi="Open Sans" w:cs="Open Sans"/>
              </w:rPr>
            </w:pPr>
            <w:r>
              <w:rPr>
                <w:rFonts w:cs="Open Sans" w:ascii="Open Sans" w:hAnsi="Open Sans"/>
              </w:rPr>
            </w:r>
          </w:p>
          <w:p>
            <w:pPr>
              <w:pStyle w:val="Puces"/>
              <w:widowControl w:val="false"/>
              <w:numPr>
                <w:ilvl w:val="0"/>
                <w:numId w:val="0"/>
              </w:numPr>
              <w:suppressAutoHyphens w:val="true"/>
              <w:spacing w:before="0" w:after="200"/>
              <w:ind w:left="0" w:hanging="0"/>
              <w:contextualSpacing/>
              <w:rPr>
                <w:rFonts w:ascii="Open Sans" w:hAnsi="Open Sans" w:cs="Open Sans"/>
              </w:rPr>
            </w:pPr>
            <w:r>
              <w:rPr>
                <w:rFonts w:cs="Open Sans" w:ascii="Open Sans" w:hAnsi="Open Sans"/>
              </w:rPr>
            </w:r>
          </w:p>
          <w:p>
            <w:pPr>
              <w:pStyle w:val="Puces"/>
              <w:widowControl w:val="false"/>
              <w:numPr>
                <w:ilvl w:val="0"/>
                <w:numId w:val="0"/>
              </w:numPr>
              <w:suppressAutoHyphens w:val="true"/>
              <w:spacing w:before="0" w:after="200"/>
              <w:ind w:left="0" w:hanging="0"/>
              <w:contextualSpacing/>
              <w:rPr>
                <w:rFonts w:ascii="Open Sans" w:hAnsi="Open Sans" w:cs="Open Sans"/>
              </w:rPr>
            </w:pPr>
            <w:r>
              <w:rPr>
                <w:rFonts w:cs="Open Sans" w:ascii="Open Sans" w:hAnsi="Open Sans"/>
              </w:rPr>
            </w:r>
          </w:p>
          <w:p>
            <w:pPr>
              <w:pStyle w:val="Puces"/>
              <w:widowControl w:val="false"/>
              <w:numPr>
                <w:ilvl w:val="0"/>
                <w:numId w:val="0"/>
              </w:numPr>
              <w:suppressAutoHyphens w:val="true"/>
              <w:spacing w:before="0" w:after="200"/>
              <w:ind w:left="0" w:hanging="0"/>
              <w:contextualSpacing/>
              <w:rPr>
                <w:rFonts w:ascii="Open Sans" w:hAnsi="Open Sans" w:cs="Open Sans"/>
              </w:rPr>
            </w:pPr>
            <w:r>
              <w:rPr>
                <w:rFonts w:cs="Open Sans" w:ascii="Open Sans" w:hAnsi="Open Sans"/>
              </w:rPr>
            </w:r>
          </w:p>
          <w:p>
            <w:pPr>
              <w:pStyle w:val="Puces"/>
              <w:widowControl w:val="false"/>
              <w:numPr>
                <w:ilvl w:val="0"/>
                <w:numId w:val="0"/>
              </w:numPr>
              <w:suppressAutoHyphens w:val="true"/>
              <w:spacing w:before="0" w:after="200"/>
              <w:ind w:left="0" w:hanging="0"/>
              <w:contextualSpacing/>
              <w:rPr>
                <w:rFonts w:ascii="Open Sans" w:hAnsi="Open Sans" w:cs="Open Sans"/>
              </w:rPr>
            </w:pPr>
            <w:r>
              <w:rPr>
                <w:rFonts w:cs="Open Sans" w:ascii="Open Sans" w:hAnsi="Open Sans"/>
              </w:rPr>
            </w:r>
          </w:p>
          <w:p>
            <w:pPr>
              <w:pStyle w:val="Puces"/>
              <w:widowControl w:val="false"/>
              <w:numPr>
                <w:ilvl w:val="0"/>
                <w:numId w:val="0"/>
              </w:numPr>
              <w:suppressAutoHyphens w:val="true"/>
              <w:spacing w:before="0" w:after="200"/>
              <w:ind w:left="0" w:hanging="0"/>
              <w:contextualSpacing/>
              <w:rPr>
                <w:rFonts w:ascii="Open Sans" w:hAnsi="Open Sans" w:cs="Open Sans"/>
              </w:rPr>
            </w:pPr>
            <w:r>
              <w:rPr>
                <w:rFonts w:cs="Open Sans" w:ascii="Open Sans" w:hAnsi="Open Sans"/>
              </w:rPr>
            </w:r>
          </w:p>
          <w:p>
            <w:pPr>
              <w:pStyle w:val="Puces"/>
              <w:widowControl w:val="false"/>
              <w:numPr>
                <w:ilvl w:val="0"/>
                <w:numId w:val="0"/>
              </w:numPr>
              <w:suppressAutoHyphens w:val="true"/>
              <w:spacing w:before="0" w:after="200"/>
              <w:ind w:left="0" w:hanging="0"/>
              <w:contextualSpacing/>
              <w:rPr>
                <w:rFonts w:ascii="Open Sans" w:hAnsi="Open Sans" w:cs="Open Sans"/>
              </w:rPr>
            </w:pPr>
            <w:r>
              <w:rPr>
                <w:rFonts w:cs="Open Sans" w:ascii="Open Sans" w:hAnsi="Open Sans"/>
              </w:rPr>
            </w:r>
          </w:p>
          <w:p>
            <w:pPr>
              <w:pStyle w:val="Puces"/>
              <w:widowControl w:val="false"/>
              <w:numPr>
                <w:ilvl w:val="0"/>
                <w:numId w:val="0"/>
              </w:numPr>
              <w:suppressAutoHyphens w:val="true"/>
              <w:spacing w:before="0" w:after="200"/>
              <w:ind w:left="0" w:hanging="0"/>
              <w:contextualSpacing/>
              <w:rPr>
                <w:rFonts w:ascii="Open Sans" w:hAnsi="Open Sans" w:cs="Open Sans"/>
              </w:rPr>
            </w:pPr>
            <w:r>
              <w:rPr>
                <w:rFonts w:cs="Open Sans" w:ascii="Open Sans" w:hAnsi="Open Sans"/>
              </w:rPr>
            </w:r>
          </w:p>
          <w:p>
            <w:pPr>
              <w:pStyle w:val="Puces"/>
              <w:widowControl w:val="false"/>
              <w:numPr>
                <w:ilvl w:val="0"/>
                <w:numId w:val="0"/>
              </w:numPr>
              <w:suppressAutoHyphens w:val="true"/>
              <w:spacing w:before="0" w:after="200"/>
              <w:ind w:left="0" w:hanging="0"/>
              <w:contextualSpacing/>
              <w:rPr>
                <w:rFonts w:ascii="Open Sans" w:hAnsi="Open Sans" w:cs="Open Sans"/>
              </w:rPr>
            </w:pPr>
            <w:r>
              <w:rPr>
                <w:rFonts w:cs="Open Sans" w:ascii="Open Sans" w:hAnsi="Open Sans"/>
              </w:rPr>
            </w:r>
          </w:p>
          <w:p>
            <w:pPr>
              <w:pStyle w:val="Puces"/>
              <w:widowControl w:val="false"/>
              <w:numPr>
                <w:ilvl w:val="0"/>
                <w:numId w:val="3"/>
              </w:numPr>
              <w:suppressAutoHyphens w:val="true"/>
              <w:spacing w:before="0" w:after="200"/>
              <w:contextualSpacing/>
              <w:rPr>
                <w:rFonts w:ascii="Open Sans" w:hAnsi="Open Sans" w:cs="Open Sans"/>
                <w:b/>
                <w:b/>
                <w:bCs/>
              </w:rPr>
            </w:pPr>
            <w:r>
              <w:rPr>
                <w:rFonts w:ascii="Open Sans" w:hAnsi="Open Sans"/>
                <w:b/>
                <w:bCs/>
                <w:kern w:val="0"/>
                <w:lang w:val="de-CH" w:eastAsia="en-US" w:bidi="ar-SA"/>
              </w:rPr>
              <w:t xml:space="preserve">Pflichten des Nutzniessers – Erhaltung der Sache: </w:t>
            </w:r>
            <w:bookmarkStart w:id="12" w:name="_Hlk112924697"/>
            <w:bookmarkEnd w:id="12"/>
          </w:p>
          <w:p>
            <w:pPr>
              <w:pStyle w:val="Heading2"/>
              <w:widowControl w:val="false"/>
              <w:numPr>
                <w:ilvl w:val="1"/>
                <w:numId w:val="3"/>
              </w:numPr>
              <w:suppressAutoHyphens w:val="true"/>
              <w:spacing w:before="0" w:after="200"/>
              <w:rPr>
                <w:rFonts w:ascii="Open Sans" w:hAnsi="Open Sans" w:cs="Open Sans"/>
                <w:szCs w:val="20"/>
              </w:rPr>
            </w:pPr>
            <w:r>
              <w:rPr>
                <w:rFonts w:ascii="Open Sans" w:hAnsi="Open Sans"/>
                <w:kern w:val="0"/>
                <w:szCs w:val="20"/>
                <w:lang w:val="de-CH" w:bidi="ar-SA"/>
              </w:rPr>
              <w:t>Der Nutzniesser hat den Gegenstand in seinem Bestand zu erhalten und Ausbesserungen, die zum gewöhnlichen Unterhalt gehören, von sich aus vorzunehmen. Vorbehalten bleibt die normale Abnutzung. Der Nutzniesser muss daher keine Veränderung an der Wohnungsgestaltung dulden. Folgende Pflichten obliegen dem Nutzniesser:</w:t>
            </w:r>
          </w:p>
          <w:p>
            <w:pPr>
              <w:pStyle w:val="Puces"/>
              <w:widowControl w:val="false"/>
              <w:numPr>
                <w:ilvl w:val="0"/>
                <w:numId w:val="29"/>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Instandhaltung der Immobilie durch laufende Reparaturen und die übliche Reinigung</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Einsetzen und Entfernen von Doppelfenstern</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Ersetzen von zerbrochenen oder beschädigten Scheiben</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Pflege von Böden und Holzverkleidungen</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Austausch beschädigter Steckdosen</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Austausch abgenutzter Gurte an Rollläden und Jalousien</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Schmieren von Schlössern, Angeln und Fugen von Türen, Fenstern, Fensterläden, Zeltgestängen u.a.m.</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Pflege von Sanitäranlagen, Haushaltsgeräte, elektrische Stecker, Kabel u.a.m.</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Entstopfen von Abflüssen bis zur Hauptleitung, Reinigen und Entstopfen von Abflüssen auf Balkonen und Terrassen</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 xml:space="preserve">Regelmässiges Reinigen lassen von Kaminen im Wohnzimmer und ihren Rauchkanälen (gesetzliche Pflicht) </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Regelmässiges Lüften der gemieteten Räume</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Regelmässiges Entkalken der Individuellen Boiler</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Ersatz von Strahlreglern, Schläuchen und Sicherungen</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Ersatz von abgenutzten Dichtungen an Wasserhähnen</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Ersatz von austauschbaren Lüftungsfiltern</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Anfertigen und Anbringen von Adressschildern für Klingeln und Briefkästen</w:t>
            </w:r>
          </w:p>
          <w:p>
            <w:pPr>
              <w:pStyle w:val="Puces"/>
              <w:widowControl w:val="false"/>
              <w:numPr>
                <w:ilvl w:val="0"/>
                <w:numId w:val="0"/>
              </w:numPr>
              <w:suppressAutoHyphens w:val="true"/>
              <w:spacing w:before="0" w:after="200"/>
              <w:ind w:left="1418" w:hanging="567"/>
              <w:contextualSpacing/>
              <w:rPr>
                <w:rFonts w:ascii="Open Sans" w:hAnsi="Open Sans" w:cs="Open Sans"/>
              </w:rPr>
            </w:pPr>
            <w:r>
              <w:rPr>
                <w:rFonts w:cs="Open Sans" w:ascii="Open Sans" w:hAnsi="Open Sans"/>
              </w:rPr>
            </w:r>
          </w:p>
          <w:p>
            <w:pPr>
              <w:pStyle w:val="Puces"/>
              <w:widowControl w:val="false"/>
              <w:numPr>
                <w:ilvl w:val="0"/>
                <w:numId w:val="3"/>
              </w:numPr>
              <w:suppressAutoHyphens w:val="true"/>
              <w:spacing w:before="0" w:after="200"/>
              <w:contextualSpacing/>
              <w:rPr>
                <w:rFonts w:ascii="Open Sans" w:hAnsi="Open Sans" w:cs="Open Sans"/>
                <w:b/>
                <w:b/>
                <w:bCs/>
              </w:rPr>
            </w:pPr>
            <w:r>
              <w:rPr>
                <w:rFonts w:ascii="Open Sans" w:hAnsi="Open Sans"/>
                <w:b/>
                <w:bCs/>
                <w:kern w:val="0"/>
                <w:lang w:val="de-CH" w:eastAsia="en-US" w:bidi="ar-SA"/>
              </w:rPr>
              <w:t xml:space="preserve">Gebühren und andere Lasten: </w:t>
            </w:r>
          </w:p>
          <w:p>
            <w:pPr>
              <w:pStyle w:val="Heading2"/>
              <w:widowControl w:val="false"/>
              <w:numPr>
                <w:ilvl w:val="1"/>
                <w:numId w:val="3"/>
              </w:numPr>
              <w:suppressAutoHyphens w:val="true"/>
              <w:spacing w:before="0" w:after="200"/>
              <w:ind w:left="851" w:hanging="851"/>
              <w:rPr>
                <w:rFonts w:ascii="Open Sans" w:hAnsi="Open Sans" w:cs="Open Sans"/>
                <w:szCs w:val="20"/>
              </w:rPr>
            </w:pPr>
            <w:r>
              <w:rPr>
                <w:rFonts w:ascii="Open Sans" w:hAnsi="Open Sans"/>
                <w:kern w:val="0"/>
                <w:szCs w:val="20"/>
                <w:lang w:val="de-CH" w:bidi="ar-SA"/>
              </w:rPr>
              <w:t>Der Nutzniesser hat das Recht auf den Besitz, den Gebrauch und die Nutzung der Sache. Er besorgt deren Verwaltung und verfährt bei der Ausübung dieses Rechts nach den Regeln einer sorgfältigen Wirtschaft.</w:t>
            </w:r>
          </w:p>
          <w:p>
            <w:pPr>
              <w:pStyle w:val="Heading2"/>
              <w:widowControl w:val="false"/>
              <w:numPr>
                <w:ilvl w:val="1"/>
                <w:numId w:val="3"/>
              </w:numPr>
              <w:suppressAutoHyphens w:val="true"/>
              <w:spacing w:before="0" w:after="200"/>
              <w:ind w:left="851" w:hanging="851"/>
              <w:rPr>
                <w:rFonts w:ascii="Open Sans" w:hAnsi="Open Sans" w:cs="Open Sans"/>
                <w:szCs w:val="20"/>
              </w:rPr>
            </w:pPr>
            <w:r>
              <w:rPr>
                <w:rFonts w:ascii="Open Sans" w:hAnsi="Open Sans"/>
                <w:kern w:val="0"/>
                <w:szCs w:val="20"/>
                <w:lang w:val="de-CH" w:bidi="ar-SA"/>
              </w:rPr>
              <w:t>Stockwerkeigentum: Die Gebühren und anderen Lasten, die in den Lasten des Stockwerkeigentums enthalten sind, trägt der Nutzniesser zu dem Anteil, der seiner Wohnung in der Miteigentümerschaft zugewiesen wurde (sofern relevant):</w:t>
            </w:r>
          </w:p>
          <w:p>
            <w:pPr>
              <w:pStyle w:val="Heading2"/>
              <w:widowControl w:val="false"/>
              <w:numPr>
                <w:ilvl w:val="0"/>
                <w:numId w:val="0"/>
              </w:numPr>
              <w:suppressAutoHyphens w:val="true"/>
              <w:spacing w:before="0" w:after="200"/>
              <w:ind w:left="851" w:hanging="0"/>
              <w:rPr>
                <w:rFonts w:ascii="Open Sans" w:hAnsi="Open Sans" w:cs="Open Sans"/>
                <w:szCs w:val="20"/>
              </w:rPr>
            </w:pPr>
            <w:r>
              <w:rPr>
                <w:rFonts w:ascii="Open Sans" w:hAnsi="Open Sans"/>
                <w:kern w:val="0"/>
                <w:szCs w:val="20"/>
                <w:lang w:val="de-CH" w:bidi="ar-SA"/>
              </w:rPr>
              <w:t>Einfamilienhäuser: Die Gebühren und anderen Lasten trägt der Nutzniesser (sofern relevant):</w:t>
            </w:r>
          </w:p>
          <w:p>
            <w:pPr>
              <w:pStyle w:val="Puces"/>
              <w:widowControl w:val="false"/>
              <w:numPr>
                <w:ilvl w:val="0"/>
                <w:numId w:val="30"/>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ARA- und Kanalisationsgebühr (Unterhaltung und Nutzung)</w:t>
            </w:r>
          </w:p>
          <w:p>
            <w:pPr>
              <w:pStyle w:val="Puces"/>
              <w:widowControl w:val="false"/>
              <w:numPr>
                <w:ilvl w:val="0"/>
                <w:numId w:val="31"/>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Jährliche Verbrauchsgebühr Schmutzwasser</w:t>
            </w:r>
          </w:p>
          <w:p>
            <w:pPr>
              <w:pStyle w:val="Puces"/>
              <w:widowControl w:val="false"/>
              <w:numPr>
                <w:ilvl w:val="0"/>
                <w:numId w:val="32"/>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Abwassergebühr</w:t>
            </w:r>
          </w:p>
          <w:p>
            <w:pPr>
              <w:pStyle w:val="Puces"/>
              <w:widowControl w:val="false"/>
              <w:numPr>
                <w:ilvl w:val="0"/>
                <w:numId w:val="33"/>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Abfallgebühr (Abfalltrennung, -entsorgung und -verwertung)</w:t>
            </w:r>
          </w:p>
          <w:p>
            <w:pPr>
              <w:pStyle w:val="Puces"/>
              <w:widowControl w:val="false"/>
              <w:numPr>
                <w:ilvl w:val="0"/>
                <w:numId w:val="34"/>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CO</w:t>
            </w:r>
            <w:r>
              <w:rPr>
                <w:rFonts w:ascii="Open Sans" w:hAnsi="Open Sans"/>
                <w:kern w:val="0"/>
                <w:vertAlign w:val="subscript"/>
                <w:lang w:val="de-CH" w:eastAsia="en-US" w:bidi="ar-SA"/>
              </w:rPr>
              <w:t>2</w:t>
            </w:r>
            <w:r>
              <w:rPr>
                <w:rFonts w:ascii="Open Sans" w:hAnsi="Open Sans"/>
                <w:kern w:val="0"/>
                <w:lang w:val="de-CH" w:eastAsia="en-US" w:bidi="ar-SA"/>
              </w:rPr>
              <w:t>-Abgabe</w:t>
            </w:r>
          </w:p>
          <w:p>
            <w:pPr>
              <w:pStyle w:val="Puces"/>
              <w:widowControl w:val="false"/>
              <w:numPr>
                <w:ilvl w:val="0"/>
                <w:numId w:val="35"/>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Stromverbrauch</w:t>
            </w:r>
          </w:p>
          <w:p>
            <w:pPr>
              <w:pStyle w:val="Puces"/>
              <w:widowControl w:val="false"/>
              <w:numPr>
                <w:ilvl w:val="0"/>
                <w:numId w:val="36"/>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Wartung und Fernablesung aller Energiezähler</w:t>
            </w:r>
          </w:p>
          <w:p>
            <w:pPr>
              <w:pStyle w:val="Puces"/>
              <w:widowControl w:val="false"/>
              <w:numPr>
                <w:ilvl w:val="0"/>
                <w:numId w:val="37"/>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Wartungsvertrag und Produkte zur Wasseraufbereitung</w:t>
            </w:r>
          </w:p>
          <w:p>
            <w:pPr>
              <w:pStyle w:val="Puces"/>
              <w:widowControl w:val="false"/>
              <w:numPr>
                <w:ilvl w:val="0"/>
                <w:numId w:val="38"/>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Belüftung der Tiefgarage</w:t>
            </w:r>
          </w:p>
          <w:p>
            <w:pPr>
              <w:pStyle w:val="Puces"/>
              <w:widowControl w:val="false"/>
              <w:numPr>
                <w:ilvl w:val="0"/>
                <w:numId w:val="39"/>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Automatisches Garagentor</w:t>
            </w:r>
          </w:p>
          <w:p>
            <w:pPr>
              <w:pStyle w:val="Puces"/>
              <w:widowControl w:val="false"/>
              <w:numPr>
                <w:ilvl w:val="0"/>
                <w:numId w:val="40"/>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Bezahlung allfälliger Hilfskräfte (Gärtner, Sicherheitspersonal usw.)</w:t>
            </w:r>
          </w:p>
          <w:p>
            <w:pPr>
              <w:pStyle w:val="Puces"/>
              <w:widowControl w:val="false"/>
              <w:numPr>
                <w:ilvl w:val="0"/>
                <w:numId w:val="41"/>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Kosten für den Erwerb von Werkzeugen (Rasenmäher oder Mobiliar)</w:t>
            </w:r>
          </w:p>
          <w:p>
            <w:pPr>
              <w:pStyle w:val="Puces"/>
              <w:widowControl w:val="false"/>
              <w:numPr>
                <w:ilvl w:val="0"/>
                <w:numId w:val="42"/>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Hausmeisterdienste</w:t>
            </w:r>
          </w:p>
          <w:p>
            <w:pPr>
              <w:pStyle w:val="Puces"/>
              <w:widowControl w:val="false"/>
              <w:numPr>
                <w:ilvl w:val="0"/>
                <w:numId w:val="43"/>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Abonnement für Telefone in den Liften</w:t>
            </w:r>
          </w:p>
          <w:p>
            <w:pPr>
              <w:pStyle w:val="Puces"/>
              <w:widowControl w:val="false"/>
              <w:numPr>
                <w:ilvl w:val="0"/>
                <w:numId w:val="44"/>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Liftabonnement</w:t>
            </w:r>
          </w:p>
          <w:p>
            <w:pPr>
              <w:pStyle w:val="Puces"/>
              <w:widowControl w:val="false"/>
              <w:numPr>
                <w:ilvl w:val="0"/>
                <w:numId w:val="45"/>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Revision und Wartung von Feuerlöschern</w:t>
            </w:r>
          </w:p>
          <w:p>
            <w:pPr>
              <w:pStyle w:val="Puces"/>
              <w:widowControl w:val="false"/>
              <w:numPr>
                <w:ilvl w:val="0"/>
                <w:numId w:val="46"/>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Notbeleuchtungen</w:t>
            </w:r>
          </w:p>
          <w:p>
            <w:pPr>
              <w:pStyle w:val="Puces"/>
              <w:widowControl w:val="false"/>
              <w:numPr>
                <w:ilvl w:val="0"/>
                <w:numId w:val="47"/>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Rauchabzug</w:t>
            </w:r>
          </w:p>
          <w:p>
            <w:pPr>
              <w:pStyle w:val="Puces"/>
              <w:widowControl w:val="false"/>
              <w:numPr>
                <w:ilvl w:val="0"/>
                <w:numId w:val="0"/>
              </w:numPr>
              <w:suppressAutoHyphens w:val="true"/>
              <w:spacing w:before="0" w:after="200"/>
              <w:ind w:left="1418" w:hanging="567"/>
              <w:contextualSpacing/>
              <w:rPr>
                <w:rFonts w:ascii="Open Sans" w:hAnsi="Open Sans" w:cs="Open Sans"/>
                <w:lang w:val="fr-FR"/>
              </w:rPr>
            </w:pPr>
            <w:r>
              <w:rPr>
                <w:rFonts w:cs="Open Sans" w:ascii="Open Sans" w:hAnsi="Open Sans"/>
                <w:lang w:val="fr-FR"/>
              </w:rPr>
            </w:r>
          </w:p>
          <w:p>
            <w:pPr>
              <w:pStyle w:val="Puces"/>
              <w:widowControl w:val="false"/>
              <w:numPr>
                <w:ilvl w:val="0"/>
                <w:numId w:val="3"/>
              </w:numPr>
              <w:suppressAutoHyphens w:val="true"/>
              <w:spacing w:before="0" w:after="200"/>
              <w:contextualSpacing/>
              <w:rPr>
                <w:rFonts w:ascii="Open Sans" w:hAnsi="Open Sans" w:cs="Open Sans"/>
                <w:b/>
                <w:b/>
                <w:bCs/>
              </w:rPr>
            </w:pPr>
            <w:r>
              <w:rPr>
                <w:rFonts w:ascii="Open Sans" w:hAnsi="Open Sans"/>
                <w:b/>
                <w:bCs/>
                <w:kern w:val="0"/>
                <w:lang w:val="de-CH" w:eastAsia="en-US" w:bidi="ar-SA"/>
              </w:rPr>
              <w:t>Steuern</w:t>
            </w:r>
          </w:p>
          <w:p>
            <w:pPr>
              <w:pStyle w:val="Heading2"/>
              <w:widowControl w:val="false"/>
              <w:numPr>
                <w:ilvl w:val="1"/>
                <w:numId w:val="3"/>
              </w:numPr>
              <w:suppressAutoHyphens w:val="true"/>
              <w:spacing w:before="0" w:after="200"/>
              <w:ind w:left="851" w:hanging="851"/>
              <w:rPr>
                <w:rFonts w:ascii="Open Sans" w:hAnsi="Open Sans" w:cs="Open Sans"/>
                <w:szCs w:val="20"/>
              </w:rPr>
            </w:pPr>
            <w:r>
              <w:rPr>
                <w:rFonts w:ascii="Open Sans" w:hAnsi="Open Sans"/>
                <w:kern w:val="0"/>
                <w:szCs w:val="20"/>
                <w:lang w:val="de-CH" w:bidi="ar-SA"/>
              </w:rPr>
              <w:t>Die Liegenschaftssteuer trägt der Nutzniesser.</w:t>
            </w:r>
          </w:p>
          <w:p>
            <w:pPr>
              <w:pStyle w:val="Sparation"/>
              <w:widowControl w:val="false"/>
              <w:suppressAutoHyphens w:val="true"/>
              <w:spacing w:before="0" w:after="200"/>
              <w:ind w:left="851" w:hanging="0"/>
              <w:rPr>
                <w:rFonts w:ascii="Open Sans" w:hAnsi="Open Sans" w:cs="Open Sans"/>
                <w:color w:val="70AD47" w:themeColor="accent6"/>
                <w:szCs w:val="20"/>
              </w:rPr>
            </w:pPr>
            <w:r>
              <w:rPr>
                <w:rFonts w:ascii="Open Sans" w:hAnsi="Open Sans"/>
                <w:color w:val="70AD47" w:themeColor="accent6"/>
                <w:kern w:val="0"/>
                <w:szCs w:val="20"/>
                <w:lang w:val="de-CH" w:bidi="ar-SA"/>
              </w:rPr>
              <w:t>Steuern beim Verkauf</w:t>
            </w:r>
          </w:p>
          <w:p>
            <w:pPr>
              <w:pStyle w:val="Heading2"/>
              <w:widowControl w:val="false"/>
              <w:numPr>
                <w:ilvl w:val="1"/>
                <w:numId w:val="3"/>
              </w:numPr>
              <w:suppressAutoHyphens w:val="true"/>
              <w:spacing w:before="0" w:after="200"/>
              <w:ind w:left="851" w:hanging="851"/>
              <w:rPr>
                <w:rFonts w:ascii="Open Sans" w:hAnsi="Open Sans" w:cs="Open Sans"/>
                <w:szCs w:val="20"/>
              </w:rPr>
            </w:pPr>
            <w:r>
              <w:rPr>
                <w:rFonts w:ascii="Open Sans" w:hAnsi="Open Sans"/>
                <w:kern w:val="0"/>
                <w:szCs w:val="20"/>
                <w:lang w:val="de-CH" w:bidi="ar-SA"/>
              </w:rPr>
              <w:t>Grundstückgewinnsteuer – GGSt (ausschliesslich kantonal und kommunal)</w:t>
            </w:r>
          </w:p>
          <w:p>
            <w:pPr>
              <w:pStyle w:val="Puces"/>
              <w:widowControl w:val="false"/>
              <w:numPr>
                <w:ilvl w:val="0"/>
                <w:numId w:val="48"/>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Besteuerung zum Zeitpunkt der Eigentumsübertragung</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GGSt-pflichtig ist die Differenz zwischen dem erzielten Erlös und den eigenen Kosten für die Liegenschaft (eigener Erwerbspreis und seitherige wertvermehrende Aufwendungen).</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Der erzielte Erlös setzt sich aus folgenden Elementen zusammen:</w:t>
            </w:r>
          </w:p>
          <w:p>
            <w:pPr>
              <w:pStyle w:val="Puces"/>
              <w:widowControl w:val="false"/>
              <w:numPr>
                <w:ilvl w:val="1"/>
                <w:numId w:val="4"/>
              </w:numPr>
              <w:suppressAutoHyphens w:val="true"/>
              <w:spacing w:before="0" w:after="200"/>
              <w:contextualSpacing/>
              <w:rPr>
                <w:rFonts w:ascii="Open Sans" w:hAnsi="Open Sans" w:cs="Open Sans"/>
              </w:rPr>
            </w:pPr>
            <w:r>
              <w:rPr>
                <w:rFonts w:ascii="Open Sans" w:hAnsi="Open Sans"/>
                <w:kern w:val="0"/>
                <w:lang w:val="de-CH" w:eastAsia="en-US" w:bidi="ar-SA"/>
              </w:rPr>
              <w:t>Anfangskapital (Abschlagszahlung)</w:t>
            </w:r>
          </w:p>
          <w:p>
            <w:pPr>
              <w:pStyle w:val="Puces"/>
              <w:widowControl w:val="false"/>
              <w:numPr>
                <w:ilvl w:val="1"/>
                <w:numId w:val="4"/>
              </w:numPr>
              <w:suppressAutoHyphens w:val="true"/>
              <w:spacing w:before="0" w:after="200"/>
              <w:contextualSpacing/>
              <w:rPr>
                <w:rFonts w:ascii="Open Sans" w:hAnsi="Open Sans" w:cs="Open Sans"/>
              </w:rPr>
            </w:pPr>
            <w:r>
              <w:rPr>
                <w:rFonts w:ascii="Open Sans" w:hAnsi="Open Sans"/>
                <w:kern w:val="0"/>
                <w:lang w:val="de-CH" w:eastAsia="en-US" w:bidi="ar-SA"/>
              </w:rPr>
              <w:t>Kapitalisierte Leibrente</w:t>
            </w:r>
          </w:p>
          <w:p>
            <w:pPr>
              <w:pStyle w:val="Puces"/>
              <w:widowControl w:val="false"/>
              <w:numPr>
                <w:ilvl w:val="1"/>
                <w:numId w:val="4"/>
              </w:numPr>
              <w:suppressAutoHyphens w:val="true"/>
              <w:spacing w:before="0" w:after="200"/>
              <w:contextualSpacing/>
              <w:rPr>
                <w:rFonts w:ascii="Open Sans" w:hAnsi="Open Sans" w:cs="Open Sans"/>
              </w:rPr>
            </w:pPr>
            <w:r>
              <w:rPr>
                <w:rFonts w:ascii="Open Sans" w:hAnsi="Open Sans"/>
                <w:kern w:val="0"/>
                <w:lang w:val="de-CH" w:eastAsia="en-US" w:bidi="ar-SA"/>
              </w:rPr>
              <w:t>Kapitalisierter Wert der Nutzniessung (besetzte Leibrente)</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Der Steuersatz hängt vom Standort der Immobilie ab.</w:t>
            </w:r>
          </w:p>
          <w:p>
            <w:pPr>
              <w:pStyle w:val="Puces"/>
              <w:widowControl w:val="false"/>
              <w:numPr>
                <w:ilvl w:val="1"/>
                <w:numId w:val="4"/>
              </w:numPr>
              <w:suppressAutoHyphens w:val="true"/>
              <w:spacing w:before="0" w:after="200"/>
              <w:contextualSpacing/>
              <w:rPr>
                <w:rFonts w:ascii="Open Sans" w:hAnsi="Open Sans" w:cs="Open Sans"/>
              </w:rPr>
            </w:pPr>
            <w:r>
              <w:rPr>
                <w:rFonts w:ascii="Open Sans" w:hAnsi="Open Sans"/>
                <w:kern w:val="0"/>
                <w:lang w:val="de-CH" w:eastAsia="en-US" w:bidi="ar-SA"/>
              </w:rPr>
              <w:t xml:space="preserve">Beispiel Kanton Waadt: 30% (bis zu 1 Jahr) bis 7% (ab 24 Jahren) je nach Besitzdauer </w:t>
            </w:r>
          </w:p>
          <w:p>
            <w:pPr>
              <w:pStyle w:val="Puces"/>
              <w:widowControl w:val="false"/>
              <w:numPr>
                <w:ilvl w:val="1"/>
                <w:numId w:val="4"/>
              </w:numPr>
              <w:suppressAutoHyphens w:val="true"/>
              <w:spacing w:before="0" w:after="200"/>
              <w:contextualSpacing/>
              <w:rPr>
                <w:rFonts w:ascii="Open Sans" w:hAnsi="Open Sans" w:cs="Open Sans"/>
              </w:rPr>
            </w:pPr>
            <w:r>
              <w:rPr>
                <w:rFonts w:ascii="Open Sans" w:hAnsi="Open Sans"/>
                <w:kern w:val="0"/>
                <w:lang w:val="de-CH" w:eastAsia="en-US" w:bidi="ar-SA"/>
              </w:rPr>
              <w:t>Beispiel Kanton Genf: 50% bis 0% (ab 26 Jahren) je nach Besitzdauer</w:t>
            </w:r>
          </w:p>
          <w:p>
            <w:pPr>
              <w:pStyle w:val="Sparation"/>
              <w:widowControl w:val="false"/>
              <w:suppressAutoHyphens w:val="true"/>
              <w:spacing w:before="0" w:after="200"/>
              <w:ind w:left="851" w:hanging="0"/>
              <w:rPr>
                <w:rFonts w:ascii="Open Sans" w:hAnsi="Open Sans" w:cs="Open Sans"/>
                <w:color w:val="70AD47" w:themeColor="accent6"/>
                <w:szCs w:val="20"/>
              </w:rPr>
            </w:pPr>
            <w:r>
              <w:rPr>
                <w:rFonts w:ascii="Open Sans" w:hAnsi="Open Sans"/>
                <w:color w:val="70AD47" w:themeColor="accent6"/>
                <w:kern w:val="0"/>
                <w:szCs w:val="20"/>
                <w:lang w:val="de-CH" w:bidi="ar-SA"/>
              </w:rPr>
              <w:t>Steuern während der Leibrente</w:t>
            </w:r>
          </w:p>
          <w:p>
            <w:pPr>
              <w:pStyle w:val="Heading2"/>
              <w:widowControl w:val="false"/>
              <w:numPr>
                <w:ilvl w:val="1"/>
                <w:numId w:val="3"/>
              </w:numPr>
              <w:suppressAutoHyphens w:val="true"/>
              <w:spacing w:before="0" w:after="200"/>
              <w:ind w:left="851" w:hanging="851"/>
              <w:rPr>
                <w:rFonts w:ascii="Open Sans" w:hAnsi="Open Sans" w:cs="Open Sans"/>
                <w:szCs w:val="20"/>
              </w:rPr>
            </w:pPr>
            <w:r>
              <w:rPr>
                <w:rFonts w:ascii="Open Sans" w:hAnsi="Open Sans"/>
                <w:kern w:val="0"/>
                <w:szCs w:val="20"/>
                <w:lang w:val="de-CH" w:bidi="ar-SA"/>
              </w:rPr>
              <w:t>Einkommenssteuer</w:t>
            </w:r>
          </w:p>
          <w:p>
            <w:pPr>
              <w:pStyle w:val="Puces"/>
              <w:widowControl w:val="false"/>
              <w:numPr>
                <w:ilvl w:val="0"/>
                <w:numId w:val="49"/>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Leibrente: Besteuerung zu 40% (Besteuerung des Zinsanteils)</w:t>
            </w:r>
          </w:p>
          <w:p>
            <w:pPr>
              <w:pStyle w:val="Puces"/>
              <w:widowControl w:val="false"/>
              <w:numPr>
                <w:ilvl w:val="0"/>
                <w:numId w:val="50"/>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Nutzniessung: Besteuerung des Eigenmietwerts / der vom Nutzniesser ggf. eingenommenen Miete</w:t>
            </w:r>
          </w:p>
          <w:p>
            <w:pPr>
              <w:pStyle w:val="Puces"/>
              <w:widowControl w:val="false"/>
              <w:numPr>
                <w:ilvl w:val="0"/>
                <w:numId w:val="51"/>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Hypothekarzinsen &amp; abzugsfähige Kosten für den Unterhalt der Immobilie (gewöhnliche Unterhaltskosten, Steuern und Abgaben, Versicherungsprämien)</w:t>
            </w:r>
          </w:p>
          <w:p>
            <w:pPr>
              <w:pStyle w:val="Heading2"/>
              <w:widowControl w:val="false"/>
              <w:numPr>
                <w:ilvl w:val="1"/>
                <w:numId w:val="3"/>
              </w:numPr>
              <w:suppressAutoHyphens w:val="true"/>
              <w:spacing w:before="0" w:after="200"/>
              <w:ind w:left="851" w:hanging="851"/>
              <w:rPr>
                <w:rFonts w:ascii="Open Sans" w:hAnsi="Open Sans" w:cs="Open Sans"/>
                <w:szCs w:val="20"/>
              </w:rPr>
            </w:pPr>
            <w:r>
              <w:rPr>
                <w:rFonts w:ascii="Open Sans" w:hAnsi="Open Sans"/>
                <w:kern w:val="0"/>
                <w:szCs w:val="20"/>
                <w:lang w:val="de-CH" w:bidi="ar-SA"/>
              </w:rPr>
              <w:t>Vermögenssteuer</w:t>
            </w:r>
          </w:p>
          <w:p>
            <w:pPr>
              <w:pStyle w:val="Puces"/>
              <w:widowControl w:val="false"/>
              <w:numPr>
                <w:ilvl w:val="0"/>
                <w:numId w:val="52"/>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Bewegliches Vermögen (Wertpapiere und Forderungen): Saldo der Abschlagszahlung (Anfangskapital) am 31. Dezember</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Nutzniessung: Der steuerlicher Schätzwert unterliegt der Vermögenssteuer. Die damit verbundenen Hypothekarschulden sind steuerlich abzugsfähig.</w:t>
            </w:r>
          </w:p>
          <w:p>
            <w:pPr>
              <w:pStyle w:val="Sparation"/>
              <w:widowControl w:val="false"/>
              <w:suppressAutoHyphens w:val="true"/>
              <w:spacing w:before="0" w:after="200"/>
              <w:ind w:left="0" w:hanging="0"/>
              <w:rPr>
                <w:rFonts w:ascii="Open Sans" w:hAnsi="Open Sans" w:cs="Open Sans"/>
                <w:szCs w:val="20"/>
              </w:rPr>
            </w:pPr>
            <w:r>
              <w:rPr>
                <w:rFonts w:cs="Open Sans" w:ascii="Open Sans" w:hAnsi="Open Sans"/>
                <w:szCs w:val="20"/>
              </w:rPr>
            </w:r>
          </w:p>
          <w:p>
            <w:pPr>
              <w:pStyle w:val="Sparation"/>
              <w:widowControl w:val="false"/>
              <w:suppressAutoHyphens w:val="true"/>
              <w:spacing w:before="0" w:after="200"/>
              <w:ind w:left="851" w:hanging="0"/>
              <w:rPr>
                <w:rFonts w:ascii="Open Sans" w:hAnsi="Open Sans" w:cs="Open Sans"/>
                <w:color w:val="70AD47" w:themeColor="accent6"/>
                <w:szCs w:val="20"/>
              </w:rPr>
            </w:pPr>
            <w:r>
              <w:rPr>
                <w:rFonts w:ascii="Open Sans" w:hAnsi="Open Sans"/>
                <w:color w:val="70AD47" w:themeColor="accent6"/>
                <w:kern w:val="0"/>
                <w:szCs w:val="20"/>
                <w:lang w:val="de-CH" w:bidi="ar-SA"/>
              </w:rPr>
              <w:t>Steuern im Falle des Todes des Nutzniessers (Leistungsempfänger)</w:t>
            </w:r>
          </w:p>
          <w:p>
            <w:pPr>
              <w:pStyle w:val="Heading2"/>
              <w:widowControl w:val="false"/>
              <w:numPr>
                <w:ilvl w:val="1"/>
                <w:numId w:val="3"/>
              </w:numPr>
              <w:suppressAutoHyphens w:val="true"/>
              <w:spacing w:before="0" w:after="200"/>
              <w:ind w:left="851" w:hanging="851"/>
              <w:rPr>
                <w:rFonts w:ascii="Open Sans" w:hAnsi="Open Sans" w:cs="Open Sans"/>
                <w:szCs w:val="20"/>
              </w:rPr>
            </w:pPr>
            <w:r>
              <w:rPr>
                <w:rFonts w:ascii="Open Sans" w:hAnsi="Open Sans"/>
                <w:kern w:val="0"/>
                <w:szCs w:val="20"/>
                <w:lang w:val="de-CH" w:bidi="ar-SA"/>
              </w:rPr>
              <w:t>Einkommensteuer: Ende der Steuerpflicht</w:t>
            </w:r>
          </w:p>
          <w:p>
            <w:pPr>
              <w:pStyle w:val="Heading2"/>
              <w:widowControl w:val="false"/>
              <w:numPr>
                <w:ilvl w:val="1"/>
                <w:numId w:val="3"/>
              </w:numPr>
              <w:suppressAutoHyphens w:val="true"/>
              <w:spacing w:before="0" w:after="200"/>
              <w:ind w:left="851" w:hanging="851"/>
              <w:rPr>
                <w:rFonts w:ascii="Open Sans" w:hAnsi="Open Sans" w:cs="Open Sans"/>
                <w:szCs w:val="20"/>
              </w:rPr>
            </w:pPr>
            <w:r>
              <w:rPr>
                <w:rFonts w:ascii="Open Sans" w:hAnsi="Open Sans"/>
                <w:kern w:val="0"/>
                <w:szCs w:val="20"/>
                <w:lang w:val="de-CH" w:bidi="ar-SA"/>
              </w:rPr>
              <w:t>Vermögenssteuer: Ende der Steuerpflicht</w:t>
            </w:r>
          </w:p>
          <w:p>
            <w:pPr>
              <w:pStyle w:val="Heading2"/>
              <w:widowControl w:val="false"/>
              <w:numPr>
                <w:ilvl w:val="1"/>
                <w:numId w:val="3"/>
              </w:numPr>
              <w:suppressAutoHyphens w:val="true"/>
              <w:spacing w:before="0" w:after="200"/>
              <w:ind w:left="851" w:hanging="851"/>
              <w:rPr>
                <w:rFonts w:ascii="Open Sans" w:hAnsi="Open Sans" w:cs="Open Sans"/>
                <w:szCs w:val="20"/>
              </w:rPr>
            </w:pPr>
            <w:r>
              <w:rPr>
                <w:rFonts w:ascii="Open Sans" w:hAnsi="Open Sans"/>
                <w:kern w:val="0"/>
                <w:szCs w:val="20"/>
                <w:lang w:val="de-CH" w:bidi="ar-SA"/>
              </w:rPr>
              <w:t>Erbschaftssteuer: Das Erlöschen der Nutzniessung unterliegt nicht der Erbschaftssteuer.</w:t>
            </w:r>
          </w:p>
          <w:p>
            <w:pPr>
              <w:pStyle w:val="ListParagraph"/>
              <w:widowControl w:val="false"/>
              <w:numPr>
                <w:ilvl w:val="0"/>
                <w:numId w:val="3"/>
              </w:numPr>
              <w:suppressAutoHyphens w:val="true"/>
              <w:spacing w:lineRule="auto" w:line="240" w:before="0" w:after="0"/>
              <w:contextualSpacing/>
              <w:jc w:val="left"/>
              <w:rPr>
                <w:rFonts w:ascii="Open Sans" w:hAnsi="Open Sans" w:cs="Open Sans"/>
                <w:b/>
                <w:b/>
                <w:bCs/>
                <w:sz w:val="20"/>
                <w:szCs w:val="20"/>
              </w:rPr>
            </w:pPr>
            <w:r>
              <w:rPr>
                <w:rFonts w:eastAsia="Calibri" w:cs="" w:ascii="Open Sans" w:hAnsi="Open Sans"/>
                <w:b/>
                <w:bCs/>
                <w:kern w:val="0"/>
                <w:sz w:val="20"/>
                <w:szCs w:val="20"/>
                <w:lang w:val="de-CH" w:eastAsia="en-US" w:bidi="ar-SA"/>
              </w:rPr>
              <w:t>Erbrecht:</w:t>
            </w:r>
          </w:p>
          <w:p>
            <w:pPr>
              <w:pStyle w:val="ListParagraph"/>
              <w:widowControl w:val="false"/>
              <w:suppressAutoHyphens w:val="true"/>
              <w:spacing w:lineRule="auto" w:line="240" w:before="0" w:after="0"/>
              <w:contextualSpacing/>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Die Nutzniessung geht nicht auf die Erben über und erlischt mit dem Tod des Nutzniessers oder seines Ehepartners.</w:t>
            </w:r>
          </w:p>
          <w:p>
            <w:pPr>
              <w:pStyle w:val="Normal"/>
              <w:widowControl w:val="false"/>
              <w:suppressAutoHyphens w:val="true"/>
              <w:spacing w:lineRule="auto" w:line="240" w:before="0" w:after="0"/>
              <w:jc w:val="left"/>
              <w:rPr>
                <w:rFonts w:ascii="Open Sans" w:hAnsi="Open Sans" w:eastAsia="Calibri" w:cs="Open Sans"/>
                <w:sz w:val="20"/>
                <w:szCs w:val="20"/>
              </w:rPr>
            </w:pPr>
            <w:r>
              <w:rPr>
                <w:rFonts w:eastAsia="Calibri" w:cs="" w:ascii="Open Sans" w:hAnsi="Open Sans"/>
                <w:kern w:val="0"/>
                <w:sz w:val="20"/>
                <w:szCs w:val="20"/>
                <w:lang w:val="de-CH" w:eastAsia="en-US" w:bidi="ar-SA"/>
              </w:rPr>
              <w:t>Die verkaufte Immobilie fällt nicht unter den Nachlass und die Erben haben in der Regel keinen Anspruch darauf. Sie sollten daher vorher darüber informiert werden.</w:t>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
                <w:bCs/>
                <w:sz w:val="20"/>
                <w:szCs w:val="20"/>
              </w:rPr>
            </w:pPr>
            <w:r>
              <w:rPr>
                <w:rFonts w:eastAsia="Calibri" w:cs="" w:ascii="Open Sans" w:hAnsi="Open Sans"/>
                <w:b/>
                <w:bCs/>
                <w:kern w:val="0"/>
                <w:sz w:val="20"/>
                <w:szCs w:val="20"/>
                <w:lang w:val="de-CH" w:eastAsia="en-US" w:bidi="ar-SA"/>
              </w:rPr>
              <w:t>Gerichtstand:</w:t>
            </w:r>
          </w:p>
          <w:p>
            <w:pPr>
              <w:pStyle w:val="ListParagraph"/>
              <w:widowControl w:val="false"/>
              <w:suppressAutoHyphens w:val="true"/>
              <w:spacing w:lineRule="auto" w:line="240" w:before="0" w:after="0"/>
              <w:contextualSpacing/>
              <w:jc w:val="left"/>
              <w:rPr>
                <w:rFonts w:ascii="Open Sans" w:hAnsi="Open Sans" w:cs="Open Sans"/>
                <w:b/>
                <w:b/>
                <w:bCs/>
                <w:sz w:val="20"/>
                <w:szCs w:val="20"/>
              </w:rPr>
            </w:pPr>
            <w:r>
              <w:rPr>
                <w:rFonts w:cs="Open Sans" w:ascii="Open Sans" w:hAnsi="Open Sans"/>
                <w:b/>
                <w:bCs/>
                <w:sz w:val="20"/>
                <w:szCs w:val="20"/>
              </w:rPr>
            </w:r>
          </w:p>
          <w:p>
            <w:pPr>
              <w:pStyle w:val="Heading2"/>
              <w:widowControl w:val="false"/>
              <w:numPr>
                <w:ilvl w:val="1"/>
                <w:numId w:val="3"/>
              </w:numPr>
              <w:suppressAutoHyphens w:val="true"/>
              <w:spacing w:before="0" w:after="200"/>
              <w:ind w:left="851" w:hanging="851"/>
              <w:rPr>
                <w:rFonts w:ascii="Open Sans" w:hAnsi="Open Sans" w:cs="Open Sans"/>
                <w:szCs w:val="20"/>
              </w:rPr>
            </w:pPr>
            <w:r>
              <w:rPr>
                <w:rFonts w:ascii="Open Sans" w:hAnsi="Open Sans"/>
                <w:kern w:val="0"/>
                <w:szCs w:val="20"/>
                <w:lang w:val="de-CH" w:bidi="ar-SA"/>
              </w:rPr>
              <w:t>Gerichtsstand ist Lausanne.</w:t>
            </w:r>
          </w:p>
          <w:p>
            <w:pPr>
              <w:pStyle w:val="Heading2"/>
              <w:widowControl w:val="false"/>
              <w:numPr>
                <w:ilvl w:val="1"/>
                <w:numId w:val="3"/>
              </w:numPr>
              <w:suppressAutoHyphens w:val="true"/>
              <w:spacing w:before="0" w:after="200"/>
              <w:ind w:left="851" w:hanging="851"/>
              <w:rPr>
                <w:rFonts w:ascii="Open Sans" w:hAnsi="Open Sans" w:cs="Open Sans"/>
                <w:szCs w:val="20"/>
              </w:rPr>
            </w:pPr>
            <w:r>
              <w:rPr>
                <w:rFonts w:ascii="Open Sans" w:hAnsi="Open Sans"/>
                <w:kern w:val="0"/>
                <w:szCs w:val="20"/>
                <w:lang w:val="de-CH" w:bidi="ar-SA"/>
              </w:rPr>
              <w:t>Jede Änderung der oben genannten Klauseln muss in einer neuen Vereinbarung schriftlich festgehalten und von den Parteien akzeptiert werden.</w:t>
            </w:r>
          </w:p>
          <w:p>
            <w:pPr>
              <w:pStyle w:val="Normal"/>
              <w:widowControl w:val="false"/>
              <w:suppressAutoHyphens w:val="true"/>
              <w:spacing w:lineRule="auto" w:line="240" w:before="0" w:after="0"/>
              <w:jc w:val="left"/>
              <w:rPr>
                <w:lang w:eastAsia="fr-FR"/>
              </w:rPr>
            </w:pPr>
            <w:r>
              <w:rPr>
                <w:lang w:eastAsia="fr-FR"/>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
                <w:bCs/>
                <w:sz w:val="20"/>
                <w:szCs w:val="20"/>
              </w:rPr>
            </w:pPr>
            <w:r>
              <w:rPr>
                <w:rFonts w:eastAsia="Calibri" w:cs="" w:ascii="Open Sans" w:hAnsi="Open Sans"/>
                <w:b/>
                <w:bCs/>
                <w:kern w:val="0"/>
                <w:sz w:val="20"/>
                <w:szCs w:val="20"/>
                <w:lang w:val="de-CH" w:eastAsia="en-US" w:bidi="ar-SA"/>
              </w:rPr>
              <w:t>Verwendung der erfassten Daten</w:t>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both"/>
              <w:rPr>
                <w:rFonts w:ascii="Open Sans" w:hAnsi="Open Sans" w:cs="Open Sans"/>
                <w:sz w:val="20"/>
                <w:szCs w:val="20"/>
              </w:rPr>
            </w:pPr>
            <w:r>
              <w:rPr>
                <w:rFonts w:eastAsia="Calibri" w:cs="" w:ascii="Open Sans" w:hAnsi="Open Sans"/>
                <w:kern w:val="0"/>
                <w:sz w:val="20"/>
                <w:szCs w:val="20"/>
                <w:lang w:val="de-CH" w:eastAsia="en-US" w:bidi="ar-SA"/>
              </w:rPr>
              <w:t>Mit der Anforderung einer Simulation und/oder eines Angebot von Viager Suisse &amp; Cie SCmPC oder von Unternehmen, die mit Viager Suisse &amp; Cie SCmPC zusammenarbeiten, insbesondere Viage SA, Genf, erklären Sie sich damit einverstanden, dass die im Rahmen eines potenziellen Verkaufs als Immobilienrente erhobenen Daten (einschliesslich Personendaten, Finanzdaten, Höhe der Renten aus AHV, 2. Säule und 3. Säule, Steuererklärungen und Ausweiskopie) durch (i) Viager Suisse &amp; Cie SCmPC, (ii) Viage SA, (iii) GefiSwiss SA, (iv) die Revisionsstelle von Viager Suisse &amp; Cie SCmPC sowie (v) die Finanzmarktaufsicht (FINMA) verwendet werden dürfen.</w:t>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center"/>
              <w:rPr>
                <w:rFonts w:ascii="Open Sans" w:hAnsi="Open Sans" w:cs="Open Sans"/>
                <w:sz w:val="20"/>
                <w:szCs w:val="20"/>
              </w:rPr>
            </w:pPr>
            <w:r>
              <w:rPr>
                <w:rFonts w:eastAsia="Calibri" w:cs="" w:ascii="Open Sans" w:hAnsi="Open Sans"/>
                <w:kern w:val="0"/>
                <w:sz w:val="20"/>
                <w:szCs w:val="20"/>
                <w:lang w:val="de-CH" w:eastAsia="en-US" w:bidi="ar-SA"/>
              </w:rPr>
              <w:t>----------------------------------------</w:t>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rPr>
            </w:pPr>
            <w:r>
              <w:rPr>
                <w:rFonts w:eastAsia="Calibri" w:cs="" w:ascii="Open Sans" w:hAnsi="Open Sans"/>
                <w:kern w:val="0"/>
                <w:sz w:val="20"/>
                <w:szCs w:val="20"/>
                <w:lang w:val="de-CH" w:eastAsia="en-US" w:bidi="ar-SA"/>
              </w:rPr>
              <w:t>Erstellung eines Testaments und eines Erbvertrags:   JA / NEIN</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Anmerkungen:</w:t>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cs="Calibri" w:cstheme="minorHAnsi"/>
                <w:sz w:val="20"/>
                <w:szCs w:val="20"/>
              </w:rPr>
            </w:pPr>
            <w:r>
              <w:rPr>
                <w:rFonts w:eastAsia="Calibri" w:cs=""/>
                <w:kern w:val="0"/>
                <w:sz w:val="20"/>
                <w:szCs w:val="20"/>
                <w:lang w:val="de-CH" w:eastAsia="en-US" w:bidi="ar-SA"/>
              </w:rPr>
              <w:t>Ausgestellt in, am:</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center"/>
              <w:rPr>
                <w:rFonts w:cs="Calibri" w:cstheme="minorHAnsi"/>
                <w:sz w:val="20"/>
                <w:szCs w:val="20"/>
              </w:rPr>
            </w:pPr>
            <w:r>
              <w:rPr>
                <w:rFonts w:eastAsia="Calibri" w:cs=""/>
                <w:kern w:val="0"/>
                <w:sz w:val="20"/>
                <w:szCs w:val="20"/>
                <w:lang w:val="de-CH" w:eastAsia="en-US" w:bidi="ar-SA"/>
              </w:rPr>
              <w:t>Unterschrift des Kunden, der Kundin bzw. der Kund/innen</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lang w:val="fr-CH"/>
              </w:rPr>
            </w:pPr>
            <w:r>
              <w:rPr>
                <w:rFonts w:eastAsia="Calibri" w:cs=""/>
                <w:kern w:val="0"/>
                <w:sz w:val="22"/>
                <w:szCs w:val="22"/>
                <w:lang w:val="fr-CH" w:eastAsia="en-US" w:bidi="ar-SA"/>
              </w:rPr>
              <w:t>VIAGE SA</w:t>
            </w:r>
          </w:p>
          <w:p>
            <w:pPr>
              <w:pStyle w:val="Normal"/>
              <w:widowControl w:val="false"/>
              <w:suppressAutoHyphens w:val="true"/>
              <w:spacing w:lineRule="auto" w:line="240" w:before="0" w:after="0"/>
              <w:jc w:val="left"/>
              <w:rPr>
                <w:rFonts w:cs="Calibri" w:cstheme="minorHAnsi"/>
                <w:lang w:val="fr-CH"/>
              </w:rPr>
            </w:pPr>
            <w:r>
              <w:rPr>
                <w:rFonts w:eastAsia="Calibri" w:cs=""/>
                <w:kern w:val="0"/>
                <w:sz w:val="22"/>
                <w:szCs w:val="22"/>
                <w:lang w:val="fr-CH" w:eastAsia="en-US" w:bidi="ar-SA"/>
              </w:rPr>
              <w:t>Rue des Pierres du Niton 17</w:t>
            </w:r>
          </w:p>
          <w:p>
            <w:pPr>
              <w:pStyle w:val="Normal"/>
              <w:widowControl w:val="false"/>
              <w:suppressAutoHyphens w:val="true"/>
              <w:spacing w:lineRule="auto" w:line="240" w:before="0" w:after="0"/>
              <w:jc w:val="left"/>
              <w:rPr>
                <w:rFonts w:cs="Calibri" w:cstheme="minorHAnsi"/>
              </w:rPr>
            </w:pPr>
            <w:r>
              <w:rPr>
                <w:rFonts w:eastAsia="Calibri" w:cs=""/>
                <w:kern w:val="0"/>
                <w:sz w:val="22"/>
                <w:szCs w:val="22"/>
                <w:lang w:val="de-CH" w:eastAsia="en-US" w:bidi="ar-SA"/>
              </w:rPr>
              <w:t>1207 Genève</w:t>
            </w:r>
          </w:p>
          <w:p>
            <w:pPr>
              <w:pStyle w:val="Normal"/>
              <w:widowControl w:val="false"/>
              <w:suppressAutoHyphens w:val="true"/>
              <w:spacing w:lineRule="auto" w:line="240" w:before="0" w:after="0"/>
              <w:jc w:val="left"/>
              <w:rPr>
                <w:rFonts w:cs="Calibri" w:cstheme="minorHAnsi"/>
                <w:sz w:val="20"/>
                <w:szCs w:val="20"/>
              </w:rPr>
            </w:pPr>
            <w:r>
              <w:rPr>
                <w:rFonts w:eastAsia="Calibri" w:cs=""/>
                <w:kern w:val="0"/>
                <w:sz w:val="22"/>
                <w:szCs w:val="22"/>
                <w:lang w:val="de-CH" w:eastAsia="en-US" w:bidi="ar-SA"/>
              </w:rPr>
              <w:t>T+ 41 22 314 53 33</w:t>
            </w:r>
          </w:p>
        </w:tc>
        <w:tc>
          <w:tcPr>
            <w:tcW w:w="263" w:type="dxa"/>
            <w:tcBorders>
              <w:top w:val="nil"/>
              <w:left w:val="nil"/>
              <w:bottom w:val="nil"/>
              <w:right w:val="nil"/>
            </w:tcBorders>
          </w:tcPr>
          <w:p>
            <w:pPr>
              <w:pStyle w:val="Normal"/>
              <w:widowControl w:val="false"/>
              <w:suppressAutoHyphens w:val="true"/>
              <w:spacing w:lineRule="auto" w:line="240" w:before="120" w:after="12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120" w:after="12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120" w:after="12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120" w:after="120"/>
              <w:jc w:val="left"/>
              <w:rPr>
                <w:rFonts w:cs="Calibri" w:cstheme="minorHAnsi"/>
                <w:sz w:val="20"/>
                <w:szCs w:val="20"/>
              </w:rPr>
            </w:pPr>
            <w:r>
              <w:rPr>
                <w:rFonts w:cs="Calibri" w:cstheme="minorHAnsi"/>
                <w:sz w:val="20"/>
                <w:szCs w:val="20"/>
              </w:rPr>
            </w:r>
          </w:p>
        </w:tc>
      </w:tr>
      <w:tr>
        <w:trPr/>
        <w:tc>
          <w:tcPr>
            <w:tcW w:w="9198" w:type="dxa"/>
            <w:tcBorders>
              <w:top w:val="nil"/>
              <w:left w:val="nil"/>
              <w:bottom w:val="nil"/>
              <w:right w:val="nil"/>
            </w:tcBorders>
          </w:tcPr>
          <w:p>
            <w:pPr>
              <w:pStyle w:val="Normal"/>
              <w:widowControl w:val="false"/>
              <w:suppressAutoHyphens w:val="true"/>
              <w:spacing w:lineRule="auto" w:line="240" w:before="120" w:after="120"/>
              <w:jc w:val="left"/>
              <w:rPr>
                <w:rFonts w:cs="Calibri" w:cstheme="minorHAnsi"/>
                <w:sz w:val="20"/>
                <w:szCs w:val="20"/>
              </w:rPr>
            </w:pPr>
            <w:r>
              <w:rPr>
                <w:rFonts w:cs="Calibri" w:cstheme="minorHAnsi"/>
                <w:sz w:val="20"/>
                <w:szCs w:val="20"/>
              </w:rPr>
            </w:r>
          </w:p>
        </w:tc>
        <w:tc>
          <w:tcPr>
            <w:tcW w:w="26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rPr>
            </w:pPr>
            <w:r>
              <w:rPr>
                <w:rFonts w:eastAsia="Calibri"/>
              </w:rPr>
            </w:r>
          </w:p>
        </w:tc>
      </w:tr>
      <w:tr>
        <w:trPr/>
        <w:tc>
          <w:tcPr>
            <w:tcW w:w="9198" w:type="dxa"/>
            <w:tcBorders>
              <w:top w:val="nil"/>
              <w:left w:val="nil"/>
              <w:bottom w:val="nil"/>
              <w:right w:val="nil"/>
            </w:tcBorders>
          </w:tcPr>
          <w:p>
            <w:pPr>
              <w:pStyle w:val="Normal"/>
              <w:widowControl w:val="false"/>
              <w:suppressAutoHyphens w:val="true"/>
              <w:spacing w:lineRule="auto" w:line="240" w:before="120" w:after="120"/>
              <w:jc w:val="left"/>
              <w:rPr>
                <w:rFonts w:cs="Calibri" w:cstheme="minorHAnsi"/>
                <w:sz w:val="20"/>
                <w:szCs w:val="20"/>
              </w:rPr>
            </w:pPr>
            <w:r>
              <w:rPr>
                <w:rFonts w:cs="Calibri" w:cstheme="minorHAnsi"/>
                <w:sz w:val="20"/>
                <w:szCs w:val="20"/>
              </w:rPr>
            </w:r>
          </w:p>
        </w:tc>
        <w:tc>
          <w:tcPr>
            <w:tcW w:w="26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rPr>
            </w:pPr>
            <w:r>
              <w:rPr>
                <w:rFonts w:eastAsia="Calibri"/>
              </w:rPr>
            </w:r>
          </w:p>
        </w:tc>
      </w:tr>
      <w:tr>
        <w:trPr/>
        <w:tc>
          <w:tcPr>
            <w:tcW w:w="9198" w:type="dxa"/>
            <w:tcBorders>
              <w:top w:val="nil"/>
              <w:left w:val="nil"/>
              <w:bottom w:val="nil"/>
              <w:right w:val="nil"/>
            </w:tcBorders>
          </w:tcPr>
          <w:p>
            <w:pPr>
              <w:pStyle w:val="Normal"/>
              <w:widowControl w:val="false"/>
              <w:suppressAutoHyphens w:val="true"/>
              <w:spacing w:lineRule="auto" w:line="240" w:before="120" w:after="120"/>
              <w:jc w:val="right"/>
              <w:rPr>
                <w:rFonts w:cs="Calibri" w:cstheme="minorHAnsi"/>
              </w:rPr>
            </w:pPr>
            <w:r>
              <w:rPr>
                <w:rFonts w:eastAsia="Calibri" w:cs=""/>
                <w:kern w:val="0"/>
                <w:sz w:val="22"/>
                <w:szCs w:val="22"/>
                <w:lang w:val="de-CH" w:eastAsia="en-US" w:bidi="ar-SA"/>
              </w:rPr>
              <w:t>11.10.2022</w:t>
            </w:r>
          </w:p>
        </w:tc>
        <w:tc>
          <w:tcPr>
            <w:tcW w:w="263" w:type="dxa"/>
            <w:tcBorders>
              <w:top w:val="nil"/>
              <w:left w:val="nil"/>
              <w:bottom w:val="nil"/>
              <w:right w:val="nil"/>
            </w:tcBorders>
          </w:tcPr>
          <w:p>
            <w:pPr>
              <w:pStyle w:val="Normal"/>
              <w:widowControl w:val="false"/>
              <w:suppressAutoHyphens w:val="true"/>
              <w:spacing w:lineRule="auto" w:line="240" w:before="120" w:after="120"/>
              <w:jc w:val="left"/>
              <w:rPr>
                <w:rFonts w:cs="Calibri" w:cstheme="minorHAnsi"/>
              </w:rPr>
            </w:pPr>
            <w:r>
              <w:rPr>
                <w:rFonts w:cs="Calibri" w:cstheme="minorHAnsi"/>
              </w:rPr>
            </w:r>
          </w:p>
        </w:tc>
      </w:tr>
      <w:tr>
        <w:trPr/>
        <w:tc>
          <w:tcPr>
            <w:tcW w:w="9198" w:type="dxa"/>
            <w:tcBorders>
              <w:top w:val="nil"/>
              <w:left w:val="nil"/>
              <w:bottom w:val="nil"/>
              <w:right w:val="nil"/>
            </w:tcBorders>
          </w:tcPr>
          <w:p>
            <w:pPr>
              <w:pStyle w:val="Normal"/>
              <w:widowControl w:val="false"/>
              <w:suppressAutoHyphens w:val="true"/>
              <w:spacing w:lineRule="auto" w:line="240" w:before="120" w:after="120"/>
              <w:jc w:val="center"/>
              <w:rPr>
                <w:rFonts w:cs="Calibri" w:cstheme="minorHAnsi"/>
                <w:b/>
                <w:b/>
                <w:bCs/>
                <w:sz w:val="28"/>
                <w:szCs w:val="28"/>
              </w:rPr>
            </w:pPr>
            <w:r>
              <w:rPr>
                <w:rFonts w:eastAsia="Calibri" w:cs=""/>
                <w:b/>
                <w:bCs/>
                <w:kern w:val="0"/>
                <w:sz w:val="28"/>
                <w:szCs w:val="28"/>
                <w:lang w:val="de-CH" w:eastAsia="en-US" w:bidi="ar-SA"/>
              </w:rPr>
              <w:t>Berechnung des Wohnrechts</w:t>
            </w:r>
          </w:p>
        </w:tc>
        <w:tc>
          <w:tcPr>
            <w:tcW w:w="26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rPr>
            </w:pPr>
            <w:r>
              <w:rPr>
                <w:rFonts w:eastAsia="Calibri"/>
              </w:rPr>
            </w:r>
          </w:p>
        </w:tc>
      </w:tr>
    </w:tbl>
    <w:p>
      <w:pPr>
        <w:pStyle w:val="Normal"/>
        <w:jc w:val="both"/>
        <w:rPr>
          <w:rFonts w:cs="Calibri" w:cstheme="minorHAnsi"/>
        </w:rPr>
      </w:pPr>
      <w:r>
        <w:rPr/>
        <w:t>Sehr geehrte Damen und Herren</w:t>
      </w:r>
    </w:p>
    <w:p>
      <w:pPr>
        <w:pStyle w:val="Normal"/>
        <w:jc w:val="both"/>
        <w:rPr>
          <w:rFonts w:cs="Calibri" w:cstheme="minorHAnsi"/>
        </w:rPr>
      </w:pPr>
      <w:r>
        <w:rPr/>
        <w:t xml:space="preserve">Untenstehend finden Sie die Berechnung des Wohnrechts für Ihre Immobilie. </w:t>
      </w:r>
    </w:p>
    <w:p>
      <w:pPr>
        <w:pStyle w:val="Normal"/>
        <w:ind w:firstLine="708"/>
        <w:jc w:val="both"/>
        <w:rPr>
          <w:rFonts w:cs="Calibri" w:cstheme="minorHAnsi"/>
        </w:rPr>
      </w:pPr>
      <w:r>
        <w:rPr/>
        <w:t>Geschätztes Transaktionsdatum 15.01.2023</w:t>
      </w:r>
    </w:p>
    <w:p>
      <w:pPr>
        <w:pStyle w:val="Normal"/>
        <w:ind w:firstLine="708"/>
        <w:jc w:val="both"/>
        <w:rPr>
          <w:rFonts w:cs="Calibri" w:cstheme="minorHAnsi"/>
        </w:rPr>
      </w:pPr>
      <w:r>
        <w:rPr/>
        <w:t>Partner/in 1: … ………………………………………………………</w:t>
        <w:tab/>
      </w:r>
    </w:p>
    <w:p>
      <w:pPr>
        <w:pStyle w:val="Normal"/>
        <w:ind w:firstLine="708"/>
        <w:jc w:val="both"/>
        <w:rPr>
          <w:rFonts w:cs="Calibri" w:cstheme="minorHAnsi"/>
        </w:rPr>
      </w:pPr>
      <w:r>
        <w:rPr/>
        <w:t>Partner/in 2: … ………………………………………………………</w:t>
        <w:tab/>
      </w:r>
    </w:p>
    <w:p>
      <w:pPr>
        <w:pStyle w:val="Normal"/>
        <w:ind w:firstLine="708"/>
        <w:jc w:val="both"/>
        <w:rPr>
          <w:rFonts w:cs="Calibri" w:cstheme="minorHAnsi"/>
        </w:rPr>
      </w:pPr>
      <w:r>
        <w:rPr/>
        <w:t>Adresse: …………………………………………………………………………………………….</w:t>
      </w:r>
    </w:p>
    <w:p>
      <w:pPr>
        <w:pStyle w:val="Normal"/>
        <w:ind w:firstLine="708"/>
        <w:jc w:val="both"/>
        <w:rPr>
          <w:rFonts w:cs="Calibri" w:cstheme="minorHAnsi"/>
        </w:rPr>
      </w:pPr>
      <w:r>
        <w:rPr/>
        <w:t>PLZ/Ort: ………………………………………………………………………………………….</w:t>
      </w:r>
    </w:p>
    <w:p>
      <w:pPr>
        <w:pStyle w:val="Normal"/>
        <w:ind w:firstLine="708"/>
        <w:jc w:val="both"/>
        <w:rPr>
          <w:rFonts w:cs="Calibri" w:cstheme="minorHAnsi"/>
        </w:rPr>
      </w:pPr>
      <w:r>
        <w:rPr/>
        <w:t>Quelle der Schätzung: ……………………………………………………………………..</w:t>
      </w:r>
    </w:p>
    <w:p>
      <w:pPr>
        <w:pStyle w:val="Normal"/>
        <w:ind w:firstLine="708"/>
        <w:jc w:val="both"/>
        <w:rPr>
          <w:rFonts w:cs="Calibri" w:cstheme="minorHAnsi"/>
        </w:rPr>
      </w:pPr>
      <w:r>
        <w:rPr/>
        <w:t xml:space="preserve">Geschätzter Wert der Liegenschaft: </w:t>
        <w:tab/>
        <w:tab/>
        <w:tab/>
        <w:t xml:space="preserve">  </w:t>
      </w:r>
    </w:p>
    <w:p>
      <w:pPr>
        <w:pStyle w:val="Normal"/>
        <w:ind w:firstLine="708"/>
        <w:jc w:val="both"/>
        <w:rPr>
          <w:rFonts w:cs="Calibri" w:cstheme="minorHAnsi"/>
        </w:rPr>
      </w:pPr>
      <w:r>
        <w:rPr/>
        <w:t xml:space="preserve">Wohnrecht: </w:t>
        <w:tab/>
        <w:tab/>
        <w:tab/>
        <w:tab/>
        <w:tab/>
        <w:tab/>
      </w:r>
    </w:p>
    <w:p>
      <w:pPr>
        <w:pStyle w:val="Normal"/>
        <w:ind w:firstLine="708"/>
        <w:jc w:val="both"/>
        <w:rPr>
          <w:rFonts w:cs="Calibri" w:cstheme="minorHAnsi"/>
        </w:rPr>
      </w:pPr>
      <w:r>
        <w:rPr/>
        <w:t xml:space="preserve">Abschlagzahlung: </w:t>
        <w:tab/>
        <w:tab/>
        <w:tab/>
        <w:tab/>
        <w:tab/>
      </w:r>
    </w:p>
    <w:p>
      <w:pPr>
        <w:pStyle w:val="Normal"/>
        <w:ind w:firstLine="708"/>
        <w:jc w:val="both"/>
        <w:rPr>
          <w:rFonts w:cs="Calibri" w:cstheme="minorHAnsi"/>
        </w:rPr>
      </w:pPr>
      <w:r>
        <w:rPr/>
        <w:t>Maklergebühren 3% (zzgl. MWST)</w:t>
      </w:r>
    </w:p>
    <w:p>
      <w:pPr>
        <w:pStyle w:val="Normal"/>
        <w:ind w:firstLine="708"/>
        <w:jc w:val="both"/>
        <w:rPr>
          <w:rFonts w:cs="Calibri" w:cstheme="minorHAnsi"/>
        </w:rPr>
      </w:pPr>
      <w:r>
        <w:rPr/>
        <w:t>Es wird eine Mindestrente gemäss den FINMA-Normen eingerichtet.</w:t>
      </w:r>
    </w:p>
    <w:p>
      <w:pPr>
        <w:pStyle w:val="Normal"/>
        <w:ind w:firstLine="708"/>
        <w:jc w:val="both"/>
        <w:rPr>
          <w:rFonts w:cs="Calibri" w:cstheme="minorHAnsi"/>
        </w:rPr>
      </w:pPr>
      <w:r>
        <w:rPr/>
        <w:t>Die Mutationskosten gehen zulasten des Käufers.</w:t>
      </w:r>
    </w:p>
    <w:p>
      <w:pPr>
        <w:pStyle w:val="Normal"/>
        <w:ind w:firstLine="708"/>
        <w:jc w:val="both"/>
        <w:rPr>
          <w:rFonts w:cs="Calibri" w:cstheme="minorHAnsi"/>
        </w:rPr>
      </w:pPr>
      <w:r>
        <w:rPr>
          <w:rFonts w:cs="Calibri" w:cstheme="minorHAnsi"/>
        </w:rPr>
      </w:r>
    </w:p>
    <w:p>
      <w:pPr>
        <w:pStyle w:val="Normal"/>
        <w:jc w:val="both"/>
        <w:rPr>
          <w:rFonts w:cs="Calibri" w:cstheme="minorHAnsi"/>
        </w:rPr>
      </w:pPr>
      <w:r>
        <w:rPr/>
        <w:t>Freundliche Grüsse</w:t>
      </w:r>
    </w:p>
    <w:p>
      <w:pPr>
        <w:pStyle w:val="Normal"/>
        <w:rPr>
          <w:rFonts w:cs="Calibri" w:cstheme="minorHAnsi"/>
        </w:rPr>
      </w:pPr>
      <w:r>
        <w:rPr/>
        <w:t xml:space="preserve">Viage SA         </w:t>
        <w:tab/>
        <w:tab/>
        <w:tab/>
        <w:tab/>
        <w:tab/>
        <w:t>Ausgestellt in, am:</w:t>
      </w:r>
    </w:p>
    <w:p>
      <w:pPr>
        <w:pStyle w:val="Normal"/>
        <w:rPr>
          <w:rFonts w:cs="Calibri" w:cstheme="minorHAnsi"/>
        </w:rPr>
      </w:pPr>
      <w:r>
        <w:rPr/>
        <w:t>(Mitteilung ohne Unterschrift)</w:t>
        <w:tab/>
        <w:tab/>
        <w:tab/>
        <w:t>Unterschrift des Kunden / der Kundin</w:t>
      </w:r>
    </w:p>
    <w:p>
      <w:pPr>
        <w:pStyle w:val="Normal"/>
        <w:rPr>
          <w:rFonts w:cs="Calibri" w:cstheme="minorHAnsi"/>
        </w:rPr>
      </w:pPr>
      <w:r>
        <w:rPr>
          <w:rFonts w:cs="Calibri" w:cstheme="minorHAnsi"/>
        </w:rPr>
      </w:r>
    </w:p>
    <w:p>
      <w:pPr>
        <w:pStyle w:val="Normal"/>
        <w:spacing w:lineRule="auto" w:line="240" w:before="0" w:after="160"/>
        <w:jc w:val="both"/>
        <w:rPr>
          <w:rFonts w:cs="Calibri" w:cstheme="minorHAnsi"/>
          <w:sz w:val="20"/>
          <w:szCs w:val="20"/>
        </w:rPr>
      </w:pPr>
      <w:r>
        <w:rPr>
          <w:sz w:val="16"/>
          <w:szCs w:val="16"/>
        </w:rPr>
        <w:t>*Diese Schätzung ist vertraglich nicht bindend. Sie steht unter dem Vorbehalt einer offiziellen Schätzung der Immobilie und der Annahme durch den Verwaltungsrat von Viager Swiss SA, unbeschränkt haftende Gesellschafterin von Viager Swiss &amp; Cie SCmPC.</w:t>
      </w:r>
    </w:p>
    <w:sectPr>
      <w:headerReference w:type="default" r:id="rId4"/>
      <w:footerReference w:type="default" r:id="rId5"/>
      <w:footerReference w:type="first" r:id="rId6"/>
      <w:type w:val="nextPage"/>
      <w:pgSz w:w="11906" w:h="16838"/>
      <w:pgMar w:left="1418" w:right="1134" w:gutter="0" w:header="709" w:top="1418" w:footer="709" w:bottom="1418"/>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ato">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Open Sans">
    <w:charset w:val="01"/>
    <w:family w:val="roman"/>
    <w:pitch w:val="variable"/>
  </w:font>
  <w:font w:name="Branding Pro">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90857822"/>
    </w:sdtPr>
    <w:sdtContent>
      <w:p>
        <w:pPr>
          <w:pStyle w:val="Footer"/>
          <w:jc w:val="right"/>
          <w:rPr>
            <w:lang w:val="fr-CH"/>
          </w:rPr>
        </w:pPr>
        <w:r>
          <w:rPr/>
          <w:fldChar w:fldCharType="begin"/>
        </w:r>
        <w:r>
          <w:rPr/>
          <w:instrText xml:space="preserve"> PAGE </w:instrText>
        </w:r>
        <w:r>
          <w:rPr/>
          <w:fldChar w:fldCharType="separate"/>
        </w:r>
        <w:r>
          <w:rPr/>
          <w:t>8</w:t>
        </w:r>
        <w:r>
          <w:rPr/>
          <w:fldChar w:fldCharType="end"/>
        </w:r>
      </w:p>
    </w:sdtContent>
  </w:sdt>
  <w:p>
    <w:pPr>
      <w:pStyle w:val="Footer"/>
      <w:rPr>
        <w:rFonts w:ascii="Branding Pro" w:hAnsi="Branding Pro" w:cs="Calibri"/>
        <w:color w:val="808080" w:themeColor="background1" w:themeShade="80"/>
        <w:sz w:val="18"/>
        <w:szCs w:val="18"/>
        <w:lang w:val="fr-CH"/>
      </w:rPr>
    </w:pPr>
    <w:r>
      <w:rPr>
        <w:rFonts w:ascii="Branding Pro" w:hAnsi="Branding Pro"/>
        <w:color w:val="808080" w:themeColor="background1" w:themeShade="80"/>
        <w:sz w:val="18"/>
        <w:szCs w:val="18"/>
        <w:lang w:val="fr-CH"/>
      </w:rPr>
      <w:t xml:space="preserve">Viage SA I Rue des Pierres-du-Niton 17 I CH-1207 Genève I T +41 22 314 53 33 I </w:t>
    </w:r>
    <w:hyperlink r:id="rId1">
      <w:r>
        <w:rPr>
          <w:rStyle w:val="InternetLink"/>
          <w:rFonts w:ascii="Branding Pro" w:hAnsi="Branding Pro"/>
          <w:color w:val="808080" w:themeColor="background1" w:themeShade="80"/>
          <w:sz w:val="18"/>
          <w:szCs w:val="18"/>
          <w:lang w:val="fr-CH"/>
        </w:rPr>
        <w:t>info@viage.ch</w:t>
      </w:r>
    </w:hyperlink>
    <w:r>
      <w:rPr>
        <w:rFonts w:ascii="Branding Pro" w:hAnsi="Branding Pro"/>
        <w:color w:val="808080" w:themeColor="background1" w:themeShade="80"/>
        <w:sz w:val="18"/>
        <w:szCs w:val="18"/>
        <w:lang w:val="fr-CH"/>
      </w:rPr>
      <w:t xml:space="preserve"> I www.viage.ch</w:t>
    </w:r>
  </w:p>
  <w:p>
    <w:pPr>
      <w:pStyle w:val="Footer"/>
      <w:rPr>
        <w:rFonts w:ascii="Branding Pro" w:hAnsi="Branding Pro" w:cs="Calibri"/>
        <w:color w:val="808080" w:themeColor="background1" w:themeShade="80"/>
        <w:sz w:val="18"/>
        <w:szCs w:val="18"/>
        <w:lang w:val="fr-CH"/>
      </w:rPr>
    </w:pPr>
    <w:r>
      <w:rPr>
        <w:rFonts w:cs="Calibri" w:ascii="Branding Pro" w:hAnsi="Branding Pro"/>
        <w:color w:val="808080" w:themeColor="background1" w:themeShade="80"/>
        <w:sz w:val="18"/>
        <w:szCs w:val="18"/>
        <w:lang w:val="fr-CH"/>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Branding Pro" w:hAnsi="Branding Pro" w:cs="Calibri"/>
        <w:color w:val="808080" w:themeColor="background1" w:themeShade="80"/>
        <w:sz w:val="18"/>
        <w:szCs w:val="18"/>
        <w:lang w:val="fr-CH"/>
      </w:rPr>
    </w:pPr>
    <w:r>
      <w:rPr>
        <w:rFonts w:ascii="Branding Pro" w:hAnsi="Branding Pro"/>
        <w:color w:val="808080" w:themeColor="background1" w:themeShade="80"/>
        <w:sz w:val="18"/>
        <w:szCs w:val="18"/>
        <w:lang w:val="fr-CH"/>
      </w:rPr>
      <w:t xml:space="preserve">Viage SA I Rue des Pierres-du-Niton 17 I CH-1207 Genève I T +41 22 314 53 33 I </w:t>
    </w:r>
    <w:hyperlink r:id="rId1">
      <w:r>
        <w:rPr>
          <w:rStyle w:val="InternetLink"/>
          <w:rFonts w:ascii="Branding Pro" w:hAnsi="Branding Pro"/>
          <w:color w:val="808080" w:themeColor="background1" w:themeShade="80"/>
          <w:sz w:val="18"/>
          <w:szCs w:val="18"/>
          <w:lang w:val="fr-CH"/>
        </w:rPr>
        <w:t>info@viage.ch</w:t>
      </w:r>
    </w:hyperlink>
    <w:r>
      <w:rPr>
        <w:rFonts w:ascii="Branding Pro" w:hAnsi="Branding Pro"/>
        <w:color w:val="808080" w:themeColor="background1" w:themeShade="80"/>
        <w:sz w:val="18"/>
        <w:szCs w:val="18"/>
        <w:lang w:val="fr-CH"/>
      </w:rPr>
      <w:t xml:space="preserve"> I www.viage.ch</w:t>
    </w:r>
  </w:p>
  <w:p>
    <w:pPr>
      <w:pStyle w:val="Footer"/>
      <w:rPr>
        <w:lang w:val="fr-CH"/>
      </w:rPr>
    </w:pPr>
    <w:r>
      <w:rPr>
        <w:lang w:val="fr-CH"/>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1686560" cy="1028700"/>
          <wp:effectExtent l="0" t="0" r="0" b="0"/>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1"/>
                  <a:stretch>
                    <a:fillRect/>
                  </a:stretch>
                </pic:blipFill>
                <pic:spPr bwMode="auto">
                  <a:xfrm>
                    <a:off x="0" y="0"/>
                    <a:ext cx="1686560" cy="1028700"/>
                  </a:xfrm>
                  <a:prstGeom prst="rect">
                    <a:avLst/>
                  </a:prstGeom>
                </pic:spPr>
              </pic:pic>
            </a:graphicData>
          </a:graphic>
        </wp:inline>
      </w:drawing>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rFonts w:ascii="Lato" w:hAnsi="Lato"/>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3">
    <w:lvl w:ilvl="0">
      <w:start w:val="1"/>
      <w:numFmt w:val="decimal"/>
      <w:lvlText w:val="%1."/>
      <w:lvlJc w:val="left"/>
      <w:pPr>
        <w:tabs>
          <w:tab w:val="num" w:pos="0"/>
        </w:tabs>
        <w:ind w:left="72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4">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5">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6">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7">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8">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9">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0">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1">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2">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3">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4">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5">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6">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7">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8">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9">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0">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1">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2">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3">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4">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5">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6">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7">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8">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4"/>
    <w:lvlOverride w:ilvl="0">
      <w:startOverride w:val="1"/>
    </w:lvlOverride>
  </w:num>
  <w:num w:numId="30">
    <w:abstractNumId w:val="4"/>
    <w:lvlOverride w:ilvl="0">
      <w:startOverride w:val="1"/>
    </w:lvlOverride>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4"/>
  </w:num>
  <w:num w:numId="43">
    <w:abstractNumId w:val="4"/>
  </w:num>
  <w:num w:numId="44">
    <w:abstractNumId w:val="4"/>
  </w:num>
  <w:num w:numId="45">
    <w:abstractNumId w:val="4"/>
  </w:num>
  <w:num w:numId="46">
    <w:abstractNumId w:val="4"/>
  </w:num>
  <w:num w:numId="47">
    <w:abstractNumId w:val="4"/>
  </w:num>
  <w:num w:numId="48">
    <w:abstractNumId w:val="4"/>
    <w:lvlOverride w:ilvl="0">
      <w:startOverride w:val="1"/>
    </w:lvlOverride>
  </w:num>
  <w:num w:numId="49">
    <w:abstractNumId w:val="4"/>
    <w:lvlOverride w:ilvl="0">
      <w:startOverride w:val="1"/>
    </w:lvlOverride>
  </w:num>
  <w:num w:numId="50">
    <w:abstractNumId w:val="4"/>
  </w:num>
  <w:num w:numId="51">
    <w:abstractNumId w:val="4"/>
  </w:num>
  <w:num w:numId="52">
    <w:abstractNumId w:val="4"/>
    <w:lvlOverride w:ilvl="0">
      <w:startOverride w:val="1"/>
    </w:lvlOverride>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CH" w:eastAsia="en-US" w:bidi="ar-SA"/>
    </w:rPr>
  </w:style>
  <w:style w:type="paragraph" w:styleId="Heading1">
    <w:name w:val="Heading 1"/>
    <w:basedOn w:val="Normal"/>
    <w:next w:val="Normal"/>
    <w:link w:val="Titre1Car"/>
    <w:qFormat/>
    <w:rsid w:val="00e21230"/>
    <w:pPr>
      <w:keepNext w:val="true"/>
      <w:keepLines/>
      <w:numPr>
        <w:ilvl w:val="0"/>
        <w:numId w:val="1"/>
      </w:numPr>
      <w:tabs>
        <w:tab w:val="clear" w:pos="708"/>
        <w:tab w:val="left" w:pos="851" w:leader="none"/>
      </w:tabs>
      <w:spacing w:lineRule="auto" w:line="240" w:before="480" w:after="240"/>
      <w:ind w:left="851" w:hanging="851"/>
      <w:outlineLvl w:val="0"/>
    </w:pPr>
    <w:rPr>
      <w:rFonts w:ascii="Lato" w:hAnsi="Lato" w:eastAsia="Times New Roman" w:cs="Times New Roman"/>
      <w:bCs/>
      <w:caps/>
      <w:color w:val="006888"/>
      <w:kern w:val="2"/>
      <w:sz w:val="24"/>
      <w:szCs w:val="20"/>
    </w:rPr>
  </w:style>
  <w:style w:type="paragraph" w:styleId="Heading2">
    <w:name w:val="Heading 2"/>
    <w:basedOn w:val="Normal"/>
    <w:next w:val="Normal"/>
    <w:link w:val="Titre2Car"/>
    <w:qFormat/>
    <w:rsid w:val="00e21230"/>
    <w:pPr>
      <w:numPr>
        <w:ilvl w:val="1"/>
        <w:numId w:val="1"/>
      </w:numPr>
      <w:tabs>
        <w:tab w:val="clear" w:pos="708"/>
        <w:tab w:val="left" w:pos="851" w:leader="none"/>
      </w:tabs>
      <w:spacing w:lineRule="auto" w:line="240" w:before="0" w:after="200"/>
      <w:ind w:left="851" w:hanging="851"/>
      <w:jc w:val="both"/>
      <w:outlineLvl w:val="1"/>
    </w:pPr>
    <w:rPr>
      <w:rFonts w:ascii="Lato" w:hAnsi="Lato" w:eastAsia="Times New Roman" w:cs="Arial"/>
      <w:bCs/>
      <w:sz w:val="20"/>
      <w:szCs w:val="24"/>
      <w:lang w:eastAsia="fr-FR"/>
    </w:rPr>
  </w:style>
  <w:style w:type="paragraph" w:styleId="Heading3">
    <w:name w:val="Heading 3"/>
    <w:basedOn w:val="Normal"/>
    <w:next w:val="Normal"/>
    <w:link w:val="Titre3Car"/>
    <w:qFormat/>
    <w:rsid w:val="00e21230"/>
    <w:pPr>
      <w:keepNext w:val="true"/>
      <w:numPr>
        <w:ilvl w:val="2"/>
        <w:numId w:val="1"/>
      </w:numPr>
      <w:spacing w:lineRule="auto" w:line="240" w:before="0" w:after="0"/>
      <w:jc w:val="both"/>
      <w:outlineLvl w:val="2"/>
    </w:pPr>
    <w:rPr>
      <w:rFonts w:ascii="Arial" w:hAnsi="Arial" w:eastAsia="Times New Roman" w:cs="Arial"/>
      <w:sz w:val="20"/>
      <w:szCs w:val="24"/>
      <w:u w:val="single"/>
      <w:lang w:eastAsia="fr-FR"/>
    </w:rPr>
  </w:style>
  <w:style w:type="paragraph" w:styleId="Heading4">
    <w:name w:val="Heading 4"/>
    <w:basedOn w:val="Normal"/>
    <w:next w:val="Normal"/>
    <w:link w:val="Titre4Car"/>
    <w:qFormat/>
    <w:rsid w:val="00e21230"/>
    <w:pPr>
      <w:keepNext w:val="true"/>
      <w:numPr>
        <w:ilvl w:val="3"/>
        <w:numId w:val="1"/>
      </w:numPr>
      <w:tabs>
        <w:tab w:val="clear" w:pos="708"/>
        <w:tab w:val="left" w:pos="5103" w:leader="none"/>
        <w:tab w:val="left" w:pos="5580" w:leader="none"/>
      </w:tabs>
      <w:spacing w:lineRule="auto" w:line="240" w:before="0" w:after="0"/>
      <w:jc w:val="both"/>
      <w:outlineLvl w:val="3"/>
    </w:pPr>
    <w:rPr>
      <w:rFonts w:ascii="Arial" w:hAnsi="Arial" w:eastAsia="Times New Roman" w:cs="Arial"/>
      <w:b/>
      <w:bCs/>
      <w:sz w:val="20"/>
      <w:szCs w:val="24"/>
      <w:lang w:eastAsia="fr-FR"/>
    </w:rPr>
  </w:style>
  <w:style w:type="paragraph" w:styleId="Heading5">
    <w:name w:val="Heading 5"/>
    <w:basedOn w:val="Normal"/>
    <w:next w:val="Normal"/>
    <w:link w:val="Titre5Car"/>
    <w:uiPriority w:val="9"/>
    <w:qFormat/>
    <w:rsid w:val="00e21230"/>
    <w:pPr>
      <w:numPr>
        <w:ilvl w:val="4"/>
        <w:numId w:val="1"/>
      </w:numPr>
      <w:spacing w:lineRule="auto" w:line="240" w:before="240" w:after="60"/>
      <w:jc w:val="both"/>
      <w:outlineLvl w:val="4"/>
    </w:pPr>
    <w:rPr>
      <w:rFonts w:ascii="Cambria" w:hAnsi="Cambria" w:eastAsia="Times New Roman" w:cs="Times New Roman"/>
      <w:b/>
      <w:bCs/>
      <w:i/>
      <w:iCs/>
      <w:sz w:val="26"/>
      <w:szCs w:val="26"/>
      <w:lang w:eastAsia="fr-FR"/>
    </w:rPr>
  </w:style>
  <w:style w:type="paragraph" w:styleId="Heading6">
    <w:name w:val="Heading 6"/>
    <w:basedOn w:val="Normal"/>
    <w:next w:val="Normal"/>
    <w:link w:val="Titre6Car"/>
    <w:uiPriority w:val="9"/>
    <w:semiHidden/>
    <w:unhideWhenUsed/>
    <w:qFormat/>
    <w:rsid w:val="00e21230"/>
    <w:pPr>
      <w:keepNext w:val="true"/>
      <w:keepLines/>
      <w:numPr>
        <w:ilvl w:val="5"/>
        <w:numId w:val="1"/>
      </w:numPr>
      <w:spacing w:lineRule="auto" w:line="240" w:before="200" w:after="0"/>
      <w:jc w:val="both"/>
      <w:outlineLvl w:val="5"/>
    </w:pPr>
    <w:rPr>
      <w:rFonts w:ascii="Cambria" w:hAnsi="Cambria" w:eastAsia="Times New Roman" w:cs="Times New Roman"/>
      <w:i/>
      <w:iCs/>
      <w:color w:val="243F60"/>
      <w:sz w:val="20"/>
      <w:szCs w:val="24"/>
      <w:lang w:eastAsia="fr-FR"/>
    </w:rPr>
  </w:style>
  <w:style w:type="paragraph" w:styleId="Heading7">
    <w:name w:val="Heading 7"/>
    <w:basedOn w:val="Normal"/>
    <w:next w:val="Normal"/>
    <w:link w:val="Titre7Car"/>
    <w:uiPriority w:val="9"/>
    <w:semiHidden/>
    <w:unhideWhenUsed/>
    <w:qFormat/>
    <w:rsid w:val="00e21230"/>
    <w:pPr>
      <w:keepNext w:val="true"/>
      <w:keepLines/>
      <w:numPr>
        <w:ilvl w:val="6"/>
        <w:numId w:val="1"/>
      </w:numPr>
      <w:spacing w:lineRule="auto" w:line="240" w:before="200" w:after="0"/>
      <w:jc w:val="both"/>
      <w:outlineLvl w:val="6"/>
    </w:pPr>
    <w:rPr>
      <w:rFonts w:ascii="Cambria" w:hAnsi="Cambria" w:eastAsia="Times New Roman" w:cs="Times New Roman"/>
      <w:i/>
      <w:iCs/>
      <w:color w:val="404040"/>
      <w:sz w:val="20"/>
      <w:szCs w:val="24"/>
      <w:lang w:eastAsia="fr-FR"/>
    </w:rPr>
  </w:style>
  <w:style w:type="paragraph" w:styleId="Heading8">
    <w:name w:val="Heading 8"/>
    <w:basedOn w:val="Normal"/>
    <w:next w:val="Normal"/>
    <w:link w:val="Titre8Car"/>
    <w:uiPriority w:val="9"/>
    <w:semiHidden/>
    <w:unhideWhenUsed/>
    <w:qFormat/>
    <w:rsid w:val="00e21230"/>
    <w:pPr>
      <w:keepNext w:val="true"/>
      <w:keepLines/>
      <w:numPr>
        <w:ilvl w:val="7"/>
        <w:numId w:val="1"/>
      </w:numPr>
      <w:spacing w:lineRule="auto" w:line="240" w:before="200" w:after="0"/>
      <w:jc w:val="both"/>
      <w:outlineLvl w:val="7"/>
    </w:pPr>
    <w:rPr>
      <w:rFonts w:ascii="Cambria" w:hAnsi="Cambria" w:eastAsia="Times New Roman" w:cs="Times New Roman"/>
      <w:color w:val="404040"/>
      <w:sz w:val="20"/>
      <w:szCs w:val="20"/>
      <w:lang w:eastAsia="fr-FR"/>
    </w:rPr>
  </w:style>
  <w:style w:type="paragraph" w:styleId="Heading9">
    <w:name w:val="Heading 9"/>
    <w:basedOn w:val="Normal"/>
    <w:next w:val="Normal"/>
    <w:link w:val="Titre9Car"/>
    <w:uiPriority w:val="9"/>
    <w:semiHidden/>
    <w:unhideWhenUsed/>
    <w:qFormat/>
    <w:rsid w:val="00e21230"/>
    <w:pPr>
      <w:keepNext w:val="true"/>
      <w:keepLines/>
      <w:numPr>
        <w:ilvl w:val="8"/>
        <w:numId w:val="1"/>
      </w:numPr>
      <w:spacing w:lineRule="auto" w:line="240" w:before="200" w:after="0"/>
      <w:jc w:val="both"/>
      <w:outlineLvl w:val="8"/>
    </w:pPr>
    <w:rPr>
      <w:rFonts w:ascii="Cambria" w:hAnsi="Cambria" w:eastAsia="Times New Roman" w:cs="Times New Roman"/>
      <w:i/>
      <w:iCs/>
      <w:color w:val="404040"/>
      <w:sz w:val="20"/>
      <w:szCs w:val="20"/>
      <w:lang w:eastAsia="fr-FR"/>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Header"/>
    <w:uiPriority w:val="99"/>
    <w:qFormat/>
    <w:rsid w:val="00046575"/>
    <w:rPr/>
  </w:style>
  <w:style w:type="character" w:styleId="PieddepageCar" w:customStyle="1">
    <w:name w:val="Pied de page Car"/>
    <w:basedOn w:val="DefaultParagraphFont"/>
    <w:link w:val="Footer"/>
    <w:uiPriority w:val="99"/>
    <w:qFormat/>
    <w:rsid w:val="00046575"/>
    <w:rPr/>
  </w:style>
  <w:style w:type="character" w:styleId="InternetLink">
    <w:name w:val="Hyperlink"/>
    <w:basedOn w:val="DefaultParagraphFont"/>
    <w:uiPriority w:val="99"/>
    <w:unhideWhenUsed/>
    <w:rsid w:val="000d7418"/>
    <w:rPr>
      <w:color w:val="0563C1" w:themeColor="hyperlink"/>
      <w:u w:val="single"/>
    </w:rPr>
  </w:style>
  <w:style w:type="character" w:styleId="Titre1Car" w:customStyle="1">
    <w:name w:val="Titre 1 Car"/>
    <w:basedOn w:val="DefaultParagraphFont"/>
    <w:link w:val="Heading1"/>
    <w:qFormat/>
    <w:rsid w:val="00e21230"/>
    <w:rPr>
      <w:rFonts w:ascii="Lato" w:hAnsi="Lato" w:eastAsia="Times New Roman" w:cs="Times New Roman"/>
      <w:bCs/>
      <w:caps/>
      <w:color w:val="006888"/>
      <w:kern w:val="2"/>
      <w:sz w:val="24"/>
      <w:szCs w:val="20"/>
      <w:lang w:val="de-CH"/>
    </w:rPr>
  </w:style>
  <w:style w:type="character" w:styleId="Titre2Car" w:customStyle="1">
    <w:name w:val="Titre 2 Car"/>
    <w:basedOn w:val="DefaultParagraphFont"/>
    <w:link w:val="Heading2"/>
    <w:qFormat/>
    <w:rsid w:val="00e21230"/>
    <w:rPr>
      <w:rFonts w:ascii="Lato" w:hAnsi="Lato" w:eastAsia="Times New Roman" w:cs="Arial"/>
      <w:bCs/>
      <w:sz w:val="20"/>
      <w:szCs w:val="24"/>
      <w:lang w:val="de-CH" w:eastAsia="fr-FR"/>
    </w:rPr>
  </w:style>
  <w:style w:type="character" w:styleId="Titre3Car" w:customStyle="1">
    <w:name w:val="Titre 3 Car"/>
    <w:basedOn w:val="DefaultParagraphFont"/>
    <w:link w:val="Heading3"/>
    <w:qFormat/>
    <w:rsid w:val="00e21230"/>
    <w:rPr>
      <w:rFonts w:ascii="Arial" w:hAnsi="Arial" w:eastAsia="Times New Roman" w:cs="Arial"/>
      <w:sz w:val="20"/>
      <w:szCs w:val="24"/>
      <w:u w:val="single"/>
      <w:lang w:val="de-CH" w:eastAsia="fr-FR"/>
    </w:rPr>
  </w:style>
  <w:style w:type="character" w:styleId="Titre4Car" w:customStyle="1">
    <w:name w:val="Titre 4 Car"/>
    <w:basedOn w:val="DefaultParagraphFont"/>
    <w:link w:val="Heading4"/>
    <w:qFormat/>
    <w:rsid w:val="00e21230"/>
    <w:rPr>
      <w:rFonts w:ascii="Arial" w:hAnsi="Arial" w:eastAsia="Times New Roman" w:cs="Arial"/>
      <w:b/>
      <w:bCs/>
      <w:sz w:val="20"/>
      <w:szCs w:val="24"/>
      <w:lang w:val="de-CH" w:eastAsia="fr-FR"/>
    </w:rPr>
  </w:style>
  <w:style w:type="character" w:styleId="Titre5Car" w:customStyle="1">
    <w:name w:val="Titre 5 Car"/>
    <w:basedOn w:val="DefaultParagraphFont"/>
    <w:link w:val="Heading5"/>
    <w:uiPriority w:val="9"/>
    <w:qFormat/>
    <w:rsid w:val="00e21230"/>
    <w:rPr>
      <w:rFonts w:ascii="Cambria" w:hAnsi="Cambria" w:eastAsia="Times New Roman" w:cs="Times New Roman"/>
      <w:b/>
      <w:bCs/>
      <w:i/>
      <w:iCs/>
      <w:sz w:val="26"/>
      <w:szCs w:val="26"/>
      <w:lang w:val="de-CH" w:eastAsia="fr-FR"/>
    </w:rPr>
  </w:style>
  <w:style w:type="character" w:styleId="Titre6Car" w:customStyle="1">
    <w:name w:val="Titre 6 Car"/>
    <w:basedOn w:val="DefaultParagraphFont"/>
    <w:link w:val="Heading6"/>
    <w:uiPriority w:val="9"/>
    <w:semiHidden/>
    <w:qFormat/>
    <w:rsid w:val="00e21230"/>
    <w:rPr>
      <w:rFonts w:ascii="Cambria" w:hAnsi="Cambria" w:eastAsia="Times New Roman" w:cs="Times New Roman"/>
      <w:i/>
      <w:iCs/>
      <w:color w:val="243F60"/>
      <w:sz w:val="20"/>
      <w:szCs w:val="24"/>
      <w:lang w:val="de-CH" w:eastAsia="fr-FR"/>
    </w:rPr>
  </w:style>
  <w:style w:type="character" w:styleId="Titre7Car" w:customStyle="1">
    <w:name w:val="Titre 7 Car"/>
    <w:basedOn w:val="DefaultParagraphFont"/>
    <w:link w:val="Heading7"/>
    <w:uiPriority w:val="9"/>
    <w:semiHidden/>
    <w:qFormat/>
    <w:rsid w:val="00e21230"/>
    <w:rPr>
      <w:rFonts w:ascii="Cambria" w:hAnsi="Cambria" w:eastAsia="Times New Roman" w:cs="Times New Roman"/>
      <w:i/>
      <w:iCs/>
      <w:color w:val="404040"/>
      <w:sz w:val="20"/>
      <w:szCs w:val="24"/>
      <w:lang w:val="de-CH" w:eastAsia="fr-FR"/>
    </w:rPr>
  </w:style>
  <w:style w:type="character" w:styleId="Titre8Car" w:customStyle="1">
    <w:name w:val="Titre 8 Car"/>
    <w:basedOn w:val="DefaultParagraphFont"/>
    <w:link w:val="Heading8"/>
    <w:uiPriority w:val="9"/>
    <w:semiHidden/>
    <w:qFormat/>
    <w:rsid w:val="00e21230"/>
    <w:rPr>
      <w:rFonts w:ascii="Cambria" w:hAnsi="Cambria" w:eastAsia="Times New Roman" w:cs="Times New Roman"/>
      <w:color w:val="404040"/>
      <w:sz w:val="20"/>
      <w:szCs w:val="20"/>
      <w:lang w:val="de-CH" w:eastAsia="fr-FR"/>
    </w:rPr>
  </w:style>
  <w:style w:type="character" w:styleId="Titre9Car" w:customStyle="1">
    <w:name w:val="Titre 9 Car"/>
    <w:basedOn w:val="DefaultParagraphFont"/>
    <w:link w:val="Heading9"/>
    <w:uiPriority w:val="9"/>
    <w:semiHidden/>
    <w:qFormat/>
    <w:rsid w:val="00e21230"/>
    <w:rPr>
      <w:rFonts w:ascii="Cambria" w:hAnsi="Cambria" w:eastAsia="Times New Roman" w:cs="Times New Roman"/>
      <w:i/>
      <w:iCs/>
      <w:color w:val="404040"/>
      <w:sz w:val="20"/>
      <w:szCs w:val="20"/>
      <w:lang w:val="de-CH" w:eastAsia="fr-FR"/>
    </w:rPr>
  </w:style>
  <w:style w:type="character" w:styleId="Annotationreference">
    <w:name w:val="annotation reference"/>
    <w:uiPriority w:val="99"/>
    <w:semiHidden/>
    <w:unhideWhenUsed/>
    <w:qFormat/>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andFooter" w:customStyle="1">
    <w:name w:val="Header and Footer"/>
    <w:basedOn w:val="Normal"/>
    <w:qFormat/>
    <w:pPr/>
    <w:rPr/>
  </w:style>
  <w:style w:type="paragraph" w:styleId="Header">
    <w:name w:val="Header"/>
    <w:basedOn w:val="Normal"/>
    <w:link w:val="EntteCar"/>
    <w:uiPriority w:val="99"/>
    <w:unhideWhenUsed/>
    <w:rsid w:val="00046575"/>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046575"/>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b45643"/>
    <w:pPr>
      <w:spacing w:before="0" w:after="160"/>
      <w:ind w:left="720" w:hanging="0"/>
      <w:contextualSpacing/>
    </w:pPr>
    <w:rPr/>
  </w:style>
  <w:style w:type="paragraph" w:styleId="Rfrence" w:customStyle="1">
    <w:name w:val="Référence"/>
    <w:basedOn w:val="Normal"/>
    <w:qFormat/>
    <w:rsid w:val="00e21230"/>
    <w:pPr>
      <w:spacing w:lineRule="auto" w:line="276" w:before="120" w:after="240"/>
      <w:ind w:left="851" w:right="-2" w:hanging="0"/>
    </w:pPr>
    <w:rPr>
      <w:rFonts w:ascii="Lato" w:hAnsi="Lato" w:eastAsia="Calibri" w:cs="Times New Roman"/>
      <w:sz w:val="20"/>
      <w:szCs w:val="20"/>
    </w:rPr>
  </w:style>
  <w:style w:type="paragraph" w:styleId="Lois" w:customStyle="1">
    <w:name w:val="Lois"/>
    <w:basedOn w:val="Normal"/>
    <w:qFormat/>
    <w:rsid w:val="00e21230"/>
    <w:pPr>
      <w:tabs>
        <w:tab w:val="clear" w:pos="708"/>
        <w:tab w:val="left" w:pos="1418" w:leader="none"/>
      </w:tabs>
      <w:spacing w:lineRule="auto" w:line="276" w:before="0" w:after="240"/>
      <w:ind w:left="1418" w:right="-2" w:hanging="567"/>
      <w:jc w:val="both"/>
    </w:pPr>
    <w:rPr>
      <w:rFonts w:ascii="Lato" w:hAnsi="Lato" w:eastAsia="Calibri" w:cs="Times New Roman"/>
      <w:color w:val="000000" w:themeColor="text1"/>
      <w:sz w:val="20"/>
      <w:szCs w:val="20"/>
    </w:rPr>
  </w:style>
  <w:style w:type="paragraph" w:styleId="Puces" w:customStyle="1">
    <w:name w:val="Puces"/>
    <w:basedOn w:val="Normal"/>
    <w:qFormat/>
    <w:rsid w:val="00e21230"/>
    <w:pPr>
      <w:numPr>
        <w:ilvl w:val="0"/>
        <w:numId w:val="4"/>
      </w:numPr>
      <w:tabs>
        <w:tab w:val="clear" w:pos="708"/>
        <w:tab w:val="left" w:pos="1418" w:leader="none"/>
      </w:tabs>
      <w:spacing w:lineRule="auto" w:line="240" w:before="0" w:after="200"/>
      <w:ind w:left="1418" w:hanging="567"/>
      <w:contextualSpacing/>
      <w:jc w:val="both"/>
    </w:pPr>
    <w:rPr>
      <w:rFonts w:ascii="Lato" w:hAnsi="Lato" w:eastAsia="Calibri" w:cs="Times New Roman"/>
      <w:sz w:val="20"/>
      <w:szCs w:val="20"/>
    </w:rPr>
  </w:style>
  <w:style w:type="paragraph" w:styleId="Sparation" w:customStyle="1">
    <w:name w:val="Séparation"/>
    <w:basedOn w:val="Heading2"/>
    <w:qFormat/>
    <w:rsid w:val="00e21230"/>
    <w:pPr>
      <w:numPr>
        <w:ilvl w:val="0"/>
        <w:numId w:val="0"/>
      </w:numPr>
      <w:ind w:left="851" w:hanging="851"/>
    </w:pPr>
    <w:rPr>
      <w:i/>
      <w:iCs/>
      <w:color w:val="006888"/>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Annotationtext">
    <w:name w:val="annotation text"/>
    <w:uiPriority w:val="99"/>
    <w:semiHidden/>
    <w:unhideWhenUsed/>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0"/>
      <w:szCs w:val="20"/>
      <w:lang w:val="de-CH" w:eastAsia="en-US" w:bidi="ar-SA"/>
    </w:rPr>
  </w:style>
  <w:style w:type="paragraph" w:styleId="Revision">
    <w:name w:val="Revision"/>
    <w:uiPriority w:val="99"/>
    <w:semiHidden/>
    <w:qFormat/>
    <w:rsid w:val="007b5d44"/>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de-CH" w:eastAsia="en-US"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04657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mailto:info@viage.ch" TargetMode="External"/>
</Relationships>
</file>

<file path=word/_rels/footer2.xml.rels><?xml version="1.0" encoding="UTF-8"?>
<Relationships xmlns="http://schemas.openxmlformats.org/package/2006/relationships"><Relationship Id="rId1" Type="http://schemas.openxmlformats.org/officeDocument/2006/relationships/hyperlink" Target="mailto:info@viage.ch" TargetMode="Externa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A73C8-65BA-4B2F-AB80-98437002B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LibreOffice/7.4.7.2$Linux_X86_64 LibreOffice_project/40$Build-2</Application>
  <AppVersion>15.0000</AppVersion>
  <DocSecurity>4</DocSecurity>
  <Pages>8</Pages>
  <Words>1353</Words>
  <Characters>8964</Characters>
  <CharactersWithSpaces>10143</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2023-06-05T13:58:00Z</dcterms:created>
  <dc:creator>Laurent Pittet</dc:creator>
  <dc:description/>
  <dc:language>en-US</dc:language>
  <cp:lastModifiedBy/>
  <cp:lastPrinted>2023-06-05T13:53:00Z</cp:lastPrinted>
  <dcterms:modified xsi:type="dcterms:W3CDTF">2023-06-10T12:40:28Z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