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4955540" cy="301942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pPr w:bottomFromText="0" w:horzAnchor="margin" w:leftFromText="141" w:rightFromText="141" w:tblpX="0" w:tblpY="358" w:topFromText="0" w:vertAnchor="text"/>
        <w:tblW w:w="101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15"/>
        <w:gridCol w:w="973"/>
      </w:tblGrid>
      <w:tr>
        <w:trPr/>
        <w:tc>
          <w:tcPr>
            <w:tcW w:w="9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40"/>
                <w:szCs w:val="40"/>
                <w:lang w:val="fr-CH" w:eastAsia="en-US" w:bidi="ar-SA"/>
              </w:rPr>
              <w:t>Calcul droit d’habitation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5715000" cy="2381250"/>
                  <wp:effectExtent l="0" t="0" r="0" b="0"/>
                  <wp:docPr id="2" name="Imag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Le viager : principe 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Un propriétaire met en vente son bien. Le prix de vente est divisé en trois parties 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Le paiement d’un bouquet (montant)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Le paiement d’une rente viagère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La constitution d’un usufruit (y compris un droit d’habitation).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br/>
              <w:t>Estimation du bien par un expert immobilier agréé FINMA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La rente viagère et le droit d’habitation s’éteignent par le décès du propriétaire et du conjoint mentionné dans l’acte de vente.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Différence avec une vente sans viager :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Le prix de vente est égal à la valeur vénale en vertu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Mode de paiement : encaissement de la valeur vénale totale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Pas de droit d’habiter, obligation de se reloger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Pas de revenus récurrents provenant du bien immobilier (pas de rente)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Vente en viager :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Prix de vente : valeur vénale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Mode de paiement : un bouquet (versement cash, env. 1/3 du prix de vente + une rente annuelle jusqu’au décès).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Droit d’habitation jusqu’au décès ou à durée limitée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Droit d’habitation non transmissible aux héritiers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Solde disponible après remboursement des prêts hypothécaires et impôts, peut être versé sous forme de capital (bouquet) et/ou sous forme de rente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Rente : revenu complémentaire garantit à vie par une compagnie d’assurance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Avantages pour le crédirentier 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Le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>bouquet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 doit permettre le remboursement des prêts hypothécaires, améliorant son pouvoir d’achat. Le solde représente un capital ou rentes supplémentaires à disposition du vendeur.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La possibilité d’un revenu complémentaire versé sous forme de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rente 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>est garantie par une solution d’assurance indépendante (prime unique).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Le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droit d’habitation 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>offre la garantie de pouvoir vivre dans le logement aussi longtemps que la santé du dernier conjoint le permet (inscription au registre foncier).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La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>responsabilité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 des travaux d’entretien incombe au fonds qui effectue un suivi annuel.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Règlement de la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>succession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 pour le bien immobilier.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Pouvoir faire une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>donation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 de son vivant aux héritiers.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Frais à charge de 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L’usufruitier (crédirentier) 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Frais résultant de l’entretien ordinaire. Par exemple : 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highlight w:val="yellow"/>
                <w:lang w:val="fr-CH" w:eastAsia="en-US" w:bidi="ar-SA"/>
              </w:rPr>
              <w:t>[…]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Frais liés à la jouissance : les frais découlant de l’utilisation de la chose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Les primes d’assurance (assurance incendie et d’autres risques)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=&gt; L’usufruitier doit utiliser le bien avec soin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Du nu propriétaire (le fonds) :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Les charges telles que…  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highlight w:val="yellow"/>
                <w:lang w:val="fr-CH" w:eastAsia="en-US" w:bidi="ar-SA"/>
              </w:rPr>
              <w:t>[…]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 xml:space="preserve">Fiscalité 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La plus-value immobilière est imposée selon le barème cantonal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Le droit d’habitation n’est pas imposé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Le bouquet rentre dans la fortune du crédirentier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La rente est imposée à hauteur de 40% de cette dernière, en revenu</w:t>
              <w:br/>
              <w:t>(10’000.-frs de rente = 4’000.-frs imposables en revenus)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Pas de fortune immobilière à la charge du vendeur / usufruitier / crédirentier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L’usufruitier supporte les autres redevances relatives au rendement économique de l’immeuble (impôt sur la rente viagère annuelle, impôt sur la valeur locative du bien)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Le nu-propriétaire prend à sa charge le droit de mutation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L’usufruitier peut déduire 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Les frais d’entretien ordinaires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Primes d’assurance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Succession :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L’usufruit ne passe pas aux héritiers et s’éteint au décès de l’usufruitier ou de son conjoint.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Le bien immobilier vendu n’entre pas dans la succession et les héritiers n’ont en principe pas de droit à cet égard. Ainsi, il est important de les en informer au préalable.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 xml:space="preserve">Utilisation des données récoltées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En sollicitant une simulation et/ou offre de la part de Viager Suisse &amp; Cie SCmPC ou de la part de sociétés collaborant avec Viager Suisse &amp; Cie SCmPC, notamment Viage SA, Genève, vous donnez votre accord à l’utilisation des données récoltées dans le cadre d’une potentielle vente en mode viager (y compris données personnelles, données financières, montant des rentes AVS / 2ème pilier / 3ème pilier, déclarations d’impôts et copie de carte d’identité) par (i) Viager Suisse &amp; Cie SCmPC, (ii) Viage SA, (iii) GefiSwiss SA, (iv) l’auditeur de Viager Suisse &amp; Cie SCmPC ainsi que (v) l’Autorité de surveillance des marchés financiers (FINMA).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Fait à, le 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Signature du/des crédirentier(s) 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VIAGE SA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rue des Pierres du Niton 17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1207 Genève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T+ 41 22 314 53 33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 xml:space="preserve"> </w:t>
            </w:r>
          </w:p>
        </w:tc>
      </w:tr>
      <w:tr>
        <w:trPr/>
        <w:tc>
          <w:tcPr>
            <w:tcW w:w="9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9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righ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Genève, 17 aout 2022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101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fr-CH" w:eastAsia="en-US" w:bidi="ar-SA"/>
              </w:rPr>
              <w:t xml:space="preserve">Objet : Calcul du droit d’habitation 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softHyphen/>
        <w:softHyphen/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Madame, Monsieur,</w:t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Veuillez trouver ci-dessous le calcul du droit d’habitation pour votre bien immobilier. </w:t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Date estimée de la transaction : …………………………………………………………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Partenaire 1 : Madame / Monsieur, Date de naissance : …………………….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Partenaire 2 : Madame / Monsieur, Date de naissance : …………………….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Adresse : …………………………………………………………………………………………….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Valeur estimée du bien : …………………………Source : …………………………….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Droit d’habitation : ……………………………………………………………………………..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Bouquet : …………………………………………………………………………....................</w:t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sz w:val="20"/>
          <w:szCs w:val="20"/>
        </w:rPr>
        <w:t>Avec nos meilleures salutations,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</w:rPr>
        <w:t xml:space="preserve">Viage SA         </w:t>
        <w:tab/>
        <w:tab/>
        <w:tab/>
        <w:tab/>
        <w:tab/>
        <w:t xml:space="preserve">     </w:t>
      </w:r>
      <w:r>
        <w:rPr>
          <w:rFonts w:cs="Calibri" w:cstheme="minorHAnsi"/>
          <w:sz w:val="20"/>
          <w:szCs w:val="20"/>
        </w:rPr>
        <w:t>Fait à, le :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(avis sans signature)                                                               Signature du/des crédirentier(s) :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160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16"/>
          <w:szCs w:val="16"/>
        </w:rPr>
        <w:t>*Cette estimation n’est pas contractuelle. Elle est sous réserve d’une estimation officielle du bien et d’une acceptation du Conseil d’Administration de Viager Swiss SA associé indéfiniment responsable de Viager Swiss &amp; Cie SCmPC.</w:t>
      </w:r>
    </w:p>
    <w:sectPr>
      <w:headerReference w:type="default" r:id="rId4"/>
      <w:footerReference w:type="default" r:id="rId5"/>
      <w:footerReference w:type="first" r:id="rId6"/>
      <w:type w:val="nextPage"/>
      <w:pgSz w:w="11906" w:h="16838"/>
      <w:pgMar w:left="1418" w:right="1134" w:gutter="0" w:header="709" w:top="1418" w:footer="709" w:bottom="141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Branding Pro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6328840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>
        <w:rFonts w:ascii="Branding Pro" w:hAnsi="Branding Pro" w:cs="Calibri"/>
        <w:color w:val="808080" w:themeColor="background1" w:themeShade="80"/>
        <w:sz w:val="18"/>
        <w:szCs w:val="18"/>
      </w:rPr>
    </w:pPr>
    <w:r>
      <w:rPr>
        <w:rFonts w:cs="Calibri" w:ascii="Branding Pro" w:hAnsi="Branding Pro"/>
        <w:color w:val="808080" w:themeColor="background1" w:themeShade="80"/>
        <w:sz w:val="18"/>
        <w:szCs w:val="18"/>
      </w:rPr>
      <w:t xml:space="preserve">Viage SA I Rue des Pierres-du-Niton 17 I CH-1207 Geneve I T +41 22 314 53 33 I </w:t>
    </w:r>
    <w:hyperlink r:id="rId1">
      <w:r>
        <w:rPr>
          <w:rStyle w:val="InternetLink"/>
          <w:rFonts w:cs="Calibri" w:ascii="Branding Pro" w:hAnsi="Branding Pro"/>
          <w:color w:val="808080" w:themeColor="background1" w:themeShade="80"/>
          <w:sz w:val="18"/>
          <w:szCs w:val="18"/>
        </w:rPr>
        <w:t>info@viage.ch</w:t>
      </w:r>
    </w:hyperlink>
    <w:r>
      <w:rPr>
        <w:rFonts w:cs="Calibri" w:ascii="Branding Pro" w:hAnsi="Branding Pro"/>
        <w:color w:val="808080" w:themeColor="background1" w:themeShade="80"/>
        <w:sz w:val="18"/>
        <w:szCs w:val="18"/>
      </w:rPr>
      <w:t xml:space="preserve"> I www.viage.ch</w:t>
    </w:r>
  </w:p>
  <w:p>
    <w:pPr>
      <w:pStyle w:val="Footer"/>
      <w:rPr>
        <w:rFonts w:ascii="Branding Pro" w:hAnsi="Branding Pro" w:cs="Calibri"/>
        <w:color w:val="808080" w:themeColor="background1" w:themeShade="80"/>
        <w:sz w:val="18"/>
        <w:szCs w:val="18"/>
      </w:rPr>
    </w:pPr>
    <w:r>
      <w:rPr>
        <w:rFonts w:cs="Calibri" w:ascii="Branding Pro" w:hAnsi="Branding Pro"/>
        <w:color w:val="808080" w:themeColor="background1" w:themeShade="80"/>
        <w:sz w:val="18"/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Branding Pro" w:hAnsi="Branding Pro" w:cs="Calibri"/>
        <w:color w:val="808080" w:themeColor="background1" w:themeShade="80"/>
        <w:sz w:val="18"/>
        <w:szCs w:val="18"/>
      </w:rPr>
    </w:pPr>
    <w:r>
      <w:rPr>
        <w:rFonts w:cs="Calibri" w:ascii="Branding Pro" w:hAnsi="Branding Pro"/>
        <w:color w:val="808080" w:themeColor="background1" w:themeShade="80"/>
        <w:sz w:val="18"/>
        <w:szCs w:val="18"/>
      </w:rPr>
      <w:t xml:space="preserve">Viage SA I Rue des Pierres-du-Niton 17 I CH-1207 Geneve I T +41 22 314 53 33 I </w:t>
    </w:r>
    <w:hyperlink r:id="rId1">
      <w:r>
        <w:rPr>
          <w:rStyle w:val="InternetLink"/>
          <w:rFonts w:cs="Calibri" w:ascii="Branding Pro" w:hAnsi="Branding Pro"/>
          <w:color w:val="808080" w:themeColor="background1" w:themeShade="80"/>
          <w:sz w:val="18"/>
          <w:szCs w:val="18"/>
        </w:rPr>
        <w:t>info@viage.ch</w:t>
      </w:r>
    </w:hyperlink>
    <w:r>
      <w:rPr>
        <w:rFonts w:cs="Calibri" w:ascii="Branding Pro" w:hAnsi="Branding Pro"/>
        <w:color w:val="808080" w:themeColor="background1" w:themeShade="80"/>
        <w:sz w:val="18"/>
        <w:szCs w:val="18"/>
      </w:rPr>
      <w:t xml:space="preserve"> I www.viage.ch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686560" cy="1028700"/>
          <wp:effectExtent l="0" t="0" r="0" b="0"/>
          <wp:docPr id="3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86560" cy="1028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046575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046575"/>
    <w:rPr/>
  </w:style>
  <w:style w:type="character" w:styleId="InternetLink">
    <w:name w:val="Hyperlink"/>
    <w:basedOn w:val="DefaultParagraphFont"/>
    <w:uiPriority w:val="99"/>
    <w:unhideWhenUsed/>
    <w:rsid w:val="000d741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04657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04657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4564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465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info@viage.ch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viage.ch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3371</TotalTime>
  <Application>LibreOffice/7.3.6.2$Linux_X86_64 LibreOffice_project/30$Build-2</Application>
  <AppVersion>15.0000</AppVersion>
  <Pages>5</Pages>
  <Words>842</Words>
  <Characters>4396</Characters>
  <CharactersWithSpaces>5229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2022-06-29T09:11:00Z</dcterms:created>
  <dc:creator>Laurent Pittet</dc:creator>
  <dc:description/>
  <dc:language>en-US</dc:language>
  <cp:lastModifiedBy/>
  <cp:lastPrinted>2022-08-31T10:12:00Z</cp:lastPrinted>
  <dcterms:modified xsi:type="dcterms:W3CDTF">2022-09-12T18:08:16Z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