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14CE" w14:textId="77777777" w:rsidR="00C6496D" w:rsidRDefault="0075640B" w:rsidP="00A356D1">
      <w:pPr>
        <w:pStyle w:val="Sparation"/>
      </w:pPr>
      <w:r>
        <w:rPr>
          <w:noProof/>
        </w:rPr>
        <w:drawing>
          <wp:inline distT="0" distB="0" distL="0" distR="0" wp14:anchorId="1597CDBA" wp14:editId="7BBC0D94">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3D48CF18" w14:textId="77777777">
        <w:tc>
          <w:tcPr>
            <w:tcW w:w="9198" w:type="dxa"/>
            <w:tcBorders>
              <w:top w:val="nil"/>
              <w:left w:val="nil"/>
              <w:bottom w:val="nil"/>
              <w:right w:val="nil"/>
            </w:tcBorders>
          </w:tcPr>
          <w:p w14:paraId="7102FBD9" w14:textId="77777777" w:rsidR="00C6496D" w:rsidRDefault="00C6496D">
            <w:pPr>
              <w:widowControl w:val="0"/>
              <w:spacing w:after="0" w:line="240" w:lineRule="auto"/>
              <w:rPr>
                <w:rFonts w:cstheme="minorHAnsi"/>
                <w:sz w:val="20"/>
                <w:szCs w:val="20"/>
              </w:rPr>
            </w:pPr>
          </w:p>
          <w:p w14:paraId="1A84ABF2" w14:textId="77777777" w:rsidR="00C6496D" w:rsidRDefault="00C6496D">
            <w:pPr>
              <w:widowControl w:val="0"/>
              <w:spacing w:after="0" w:line="240" w:lineRule="auto"/>
              <w:rPr>
                <w:rFonts w:cstheme="minorHAnsi"/>
                <w:sz w:val="20"/>
                <w:szCs w:val="20"/>
              </w:rPr>
            </w:pPr>
          </w:p>
          <w:p w14:paraId="6EC51CFB" w14:textId="77777777" w:rsidR="00C6496D" w:rsidRDefault="0075640B">
            <w:pPr>
              <w:widowControl w:val="0"/>
              <w:spacing w:after="0" w:line="240" w:lineRule="auto"/>
              <w:jc w:val="center"/>
              <w:rPr>
                <w:rFonts w:cstheme="minorHAnsi"/>
                <w:b/>
                <w:bCs/>
                <w:sz w:val="40"/>
                <w:szCs w:val="40"/>
              </w:rPr>
            </w:pPr>
            <w:r>
              <w:rPr>
                <w:rFonts w:eastAsia="Calibri" w:cstheme="minorHAnsi"/>
                <w:b/>
                <w:bCs/>
                <w:sz w:val="40"/>
                <w:szCs w:val="40"/>
              </w:rPr>
              <w:t>Calcul droit d’habitation</w:t>
            </w:r>
          </w:p>
          <w:p w14:paraId="1AF5C09F" w14:textId="77777777" w:rsidR="00C6496D" w:rsidRDefault="00C6496D">
            <w:pPr>
              <w:widowControl w:val="0"/>
              <w:spacing w:after="0" w:line="240" w:lineRule="auto"/>
              <w:rPr>
                <w:rFonts w:cstheme="minorHAnsi"/>
                <w:sz w:val="20"/>
                <w:szCs w:val="20"/>
              </w:rPr>
            </w:pPr>
          </w:p>
          <w:p w14:paraId="60EB5BEA" w14:textId="77777777" w:rsidR="00C6496D" w:rsidRDefault="00C6496D">
            <w:pPr>
              <w:widowControl w:val="0"/>
              <w:spacing w:after="0" w:line="240" w:lineRule="auto"/>
              <w:rPr>
                <w:rFonts w:cstheme="minorHAnsi"/>
                <w:sz w:val="20"/>
                <w:szCs w:val="20"/>
              </w:rPr>
            </w:pPr>
          </w:p>
          <w:p w14:paraId="40321D23" w14:textId="77777777" w:rsidR="00C6496D" w:rsidRDefault="00C6496D">
            <w:pPr>
              <w:widowControl w:val="0"/>
              <w:spacing w:after="0" w:line="240" w:lineRule="auto"/>
              <w:rPr>
                <w:rFonts w:cstheme="minorHAnsi"/>
                <w:sz w:val="20"/>
                <w:szCs w:val="20"/>
              </w:rPr>
            </w:pPr>
          </w:p>
          <w:p w14:paraId="5D94AE97" w14:textId="77777777" w:rsidR="00C6496D" w:rsidRDefault="0075640B">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7861E760" wp14:editId="5EF6592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8"/>
                          <a:stretch>
                            <a:fillRect/>
                          </a:stretch>
                        </pic:blipFill>
                        <pic:spPr bwMode="auto">
                          <a:xfrm>
                            <a:off x="0" y="0"/>
                            <a:ext cx="5704205" cy="3397250"/>
                          </a:xfrm>
                          <a:prstGeom prst="rect">
                            <a:avLst/>
                          </a:prstGeom>
                        </pic:spPr>
                      </pic:pic>
                    </a:graphicData>
                  </a:graphic>
                </wp:anchor>
              </w:drawing>
            </w:r>
          </w:p>
          <w:p w14:paraId="2BFABFC2" w14:textId="77777777" w:rsidR="00C6496D" w:rsidRDefault="00C6496D">
            <w:pPr>
              <w:widowControl w:val="0"/>
              <w:spacing w:after="0" w:line="240" w:lineRule="auto"/>
              <w:rPr>
                <w:rFonts w:cstheme="minorHAnsi"/>
                <w:sz w:val="20"/>
                <w:szCs w:val="20"/>
              </w:rPr>
            </w:pPr>
          </w:p>
          <w:p w14:paraId="4D9B3457" w14:textId="77777777" w:rsidR="00C6496D" w:rsidRDefault="00C6496D">
            <w:pPr>
              <w:widowControl w:val="0"/>
              <w:spacing w:after="0" w:line="240" w:lineRule="auto"/>
              <w:rPr>
                <w:rFonts w:cstheme="minorHAnsi"/>
                <w:sz w:val="20"/>
                <w:szCs w:val="20"/>
              </w:rPr>
            </w:pPr>
          </w:p>
          <w:p w14:paraId="5633D6A7" w14:textId="77777777" w:rsidR="00C6496D" w:rsidRDefault="00C6496D">
            <w:pPr>
              <w:widowControl w:val="0"/>
              <w:spacing w:after="0" w:line="240" w:lineRule="auto"/>
              <w:rPr>
                <w:rFonts w:cstheme="minorHAnsi"/>
                <w:sz w:val="20"/>
                <w:szCs w:val="20"/>
              </w:rPr>
            </w:pPr>
          </w:p>
          <w:p w14:paraId="1DBEB7D6" w14:textId="77777777" w:rsidR="00C6496D" w:rsidRDefault="00C6496D">
            <w:pPr>
              <w:widowControl w:val="0"/>
              <w:spacing w:after="0" w:line="240" w:lineRule="auto"/>
              <w:rPr>
                <w:rFonts w:cstheme="minorHAnsi"/>
                <w:sz w:val="20"/>
                <w:szCs w:val="20"/>
              </w:rPr>
            </w:pPr>
          </w:p>
          <w:p w14:paraId="389F4730" w14:textId="77777777" w:rsidR="00C6496D" w:rsidRDefault="00C6496D">
            <w:pPr>
              <w:widowControl w:val="0"/>
              <w:spacing w:after="0" w:line="240" w:lineRule="auto"/>
              <w:rPr>
                <w:rFonts w:cstheme="minorHAnsi"/>
                <w:sz w:val="20"/>
                <w:szCs w:val="20"/>
              </w:rPr>
            </w:pPr>
          </w:p>
          <w:p w14:paraId="517AC9FD" w14:textId="77777777" w:rsidR="00C6496D" w:rsidRDefault="00C6496D">
            <w:pPr>
              <w:widowControl w:val="0"/>
              <w:spacing w:after="0" w:line="240" w:lineRule="auto"/>
              <w:rPr>
                <w:rFonts w:cstheme="minorHAnsi"/>
                <w:sz w:val="20"/>
                <w:szCs w:val="20"/>
              </w:rPr>
            </w:pPr>
          </w:p>
          <w:p w14:paraId="6EA3C8AC" w14:textId="517B7969" w:rsidR="00C6496D" w:rsidRDefault="0075640B">
            <w:pPr>
              <w:widowControl w:val="0"/>
              <w:spacing w:after="0" w:line="240" w:lineRule="auto"/>
              <w:rPr>
                <w:rFonts w:ascii="Open Sans" w:hAnsi="Open Sans" w:cs="Open Sans"/>
                <w:b/>
                <w:bCs/>
                <w:sz w:val="20"/>
                <w:szCs w:val="20"/>
              </w:rPr>
            </w:pPr>
            <w:r>
              <w:rPr>
                <w:rFonts w:ascii="Open Sans" w:eastAsia="Calibri" w:hAnsi="Open Sans" w:cs="Open Sans"/>
                <w:b/>
                <w:bCs/>
                <w:sz w:val="20"/>
                <w:szCs w:val="20"/>
              </w:rPr>
              <w:t>Le viager</w:t>
            </w:r>
            <w:r w:rsidR="007C20C2">
              <w:rPr>
                <w:rFonts w:ascii="Open Sans" w:eastAsia="Calibri" w:hAnsi="Open Sans" w:cs="Open Sans"/>
                <w:b/>
                <w:bCs/>
                <w:sz w:val="20"/>
                <w:szCs w:val="20"/>
              </w:rPr>
              <w:t>,</w:t>
            </w:r>
            <w:r>
              <w:rPr>
                <w:rFonts w:ascii="Open Sans" w:eastAsia="Calibri" w:hAnsi="Open Sans" w:cs="Open Sans"/>
                <w:b/>
                <w:bCs/>
                <w:sz w:val="20"/>
                <w:szCs w:val="20"/>
              </w:rPr>
              <w:t xml:space="preserve"> principe :</w:t>
            </w:r>
          </w:p>
          <w:p w14:paraId="1C565F8E" w14:textId="77777777" w:rsidR="00C6496D" w:rsidRDefault="00C6496D">
            <w:pPr>
              <w:widowControl w:val="0"/>
              <w:spacing w:after="0" w:line="240" w:lineRule="auto"/>
              <w:rPr>
                <w:rFonts w:ascii="Open Sans" w:hAnsi="Open Sans" w:cs="Open Sans"/>
                <w:b/>
                <w:bCs/>
                <w:sz w:val="20"/>
                <w:szCs w:val="20"/>
              </w:rPr>
            </w:pPr>
          </w:p>
          <w:p w14:paraId="389C81CF"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Un propriétaire met en vente son bien. Le prix de vente est divisé en trois parties :</w:t>
            </w:r>
          </w:p>
          <w:p w14:paraId="672CB704" w14:textId="1CCE6DA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 bouquet (montant)</w:t>
            </w:r>
            <w:r w:rsidR="007C20C2">
              <w:rPr>
                <w:rFonts w:ascii="Open Sans" w:eastAsia="Calibri" w:hAnsi="Open Sans" w:cs="Open Sans"/>
                <w:sz w:val="20"/>
                <w:szCs w:val="20"/>
              </w:rPr>
              <w:t>.</w:t>
            </w:r>
          </w:p>
          <w:p w14:paraId="397605F8" w14:textId="69290186"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d’une rente viagère</w:t>
            </w:r>
            <w:r w:rsidR="007C20C2">
              <w:rPr>
                <w:rFonts w:ascii="Open Sans" w:eastAsia="Calibri" w:hAnsi="Open Sans" w:cs="Open Sans"/>
                <w:sz w:val="20"/>
                <w:szCs w:val="20"/>
              </w:rPr>
              <w:t>.</w:t>
            </w:r>
          </w:p>
          <w:p w14:paraId="7FCFDC0C" w14:textId="7777777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 xml:space="preserve">La constitution d’un usufruit (y compris un droit d’habitation). </w:t>
            </w:r>
          </w:p>
          <w:p w14:paraId="6439BA35"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br/>
              <w:t>Estimation du bien par un expert immobilier agréé FINMA</w:t>
            </w:r>
          </w:p>
          <w:p w14:paraId="15A97B38"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La rente viagère et le droit d’habitation s’éteignent par le décès du propriétaire et du conjoint mentionné dans l’acte de vente. </w:t>
            </w:r>
          </w:p>
          <w:p w14:paraId="21E8BF67" w14:textId="77777777" w:rsidR="00C6496D" w:rsidRDefault="00C6496D">
            <w:pPr>
              <w:widowControl w:val="0"/>
              <w:spacing w:after="0" w:line="240" w:lineRule="auto"/>
              <w:rPr>
                <w:rFonts w:ascii="Open Sans" w:hAnsi="Open Sans" w:cs="Open Sans"/>
                <w:b/>
                <w:bCs/>
                <w:sz w:val="20"/>
                <w:szCs w:val="20"/>
              </w:rPr>
            </w:pPr>
          </w:p>
          <w:p w14:paraId="7903A4C3"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Différence avec une vente sans viager :</w:t>
            </w:r>
          </w:p>
          <w:p w14:paraId="1BD4BE95" w14:textId="77777777" w:rsidR="00C6496D" w:rsidRDefault="00C6496D">
            <w:pPr>
              <w:pStyle w:val="Paragraphedeliste"/>
              <w:widowControl w:val="0"/>
              <w:spacing w:after="0" w:line="240" w:lineRule="auto"/>
              <w:rPr>
                <w:rFonts w:ascii="Open Sans" w:hAnsi="Open Sans" w:cs="Open Sans"/>
                <w:sz w:val="20"/>
                <w:szCs w:val="20"/>
              </w:rPr>
            </w:pPr>
          </w:p>
          <w:p w14:paraId="4BA029C7" w14:textId="742E0760"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Le prix de vente est égal à la valeur vénale en vertu</w:t>
            </w:r>
            <w:r w:rsidR="007C20C2">
              <w:rPr>
                <w:rFonts w:ascii="Open Sans" w:eastAsia="Calibri" w:hAnsi="Open Sans" w:cs="Open Sans"/>
                <w:sz w:val="20"/>
                <w:szCs w:val="20"/>
              </w:rPr>
              <w:t>.</w:t>
            </w:r>
          </w:p>
          <w:p w14:paraId="5A6F945A" w14:textId="24DDE64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encaissement de la valeur vénale totale</w:t>
            </w:r>
            <w:r w:rsidR="007C20C2">
              <w:rPr>
                <w:rFonts w:ascii="Open Sans" w:eastAsia="Calibri" w:hAnsi="Open Sans" w:cs="Open Sans"/>
                <w:sz w:val="20"/>
                <w:szCs w:val="20"/>
              </w:rPr>
              <w:t>.</w:t>
            </w:r>
          </w:p>
          <w:p w14:paraId="059B3177" w14:textId="6FD8547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droit d’habiter, obligation de se reloger</w:t>
            </w:r>
            <w:r w:rsidR="007C20C2">
              <w:rPr>
                <w:rFonts w:ascii="Open Sans" w:eastAsia="Calibri" w:hAnsi="Open Sans" w:cs="Open Sans"/>
                <w:sz w:val="20"/>
                <w:szCs w:val="20"/>
              </w:rPr>
              <w:t>.</w:t>
            </w:r>
          </w:p>
          <w:p w14:paraId="2DC563DE" w14:textId="592D19D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revenus récurrents provenant du bien immobilier (pas de rente)</w:t>
            </w:r>
            <w:r w:rsidR="007C20C2">
              <w:rPr>
                <w:rFonts w:ascii="Open Sans" w:eastAsia="Calibri" w:hAnsi="Open Sans" w:cs="Open Sans"/>
                <w:sz w:val="20"/>
                <w:szCs w:val="20"/>
              </w:rPr>
              <w:t>.</w:t>
            </w:r>
          </w:p>
          <w:p w14:paraId="089519FD" w14:textId="77777777" w:rsidR="00C6496D" w:rsidRDefault="00C6496D">
            <w:pPr>
              <w:widowControl w:val="0"/>
              <w:spacing w:after="0" w:line="240" w:lineRule="auto"/>
              <w:rPr>
                <w:rFonts w:ascii="Open Sans" w:hAnsi="Open Sans" w:cs="Open Sans"/>
                <w:b/>
                <w:bCs/>
                <w:sz w:val="20"/>
                <w:szCs w:val="20"/>
              </w:rPr>
            </w:pPr>
          </w:p>
          <w:p w14:paraId="5B12A652"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Vente en viager :</w:t>
            </w:r>
          </w:p>
          <w:p w14:paraId="75838675" w14:textId="77777777" w:rsidR="00C6496D" w:rsidRDefault="00C6496D">
            <w:pPr>
              <w:pStyle w:val="Paragraphedeliste"/>
              <w:widowControl w:val="0"/>
              <w:spacing w:after="0" w:line="240" w:lineRule="auto"/>
              <w:rPr>
                <w:rFonts w:ascii="Open Sans" w:hAnsi="Open Sans" w:cs="Open Sans"/>
                <w:sz w:val="20"/>
                <w:szCs w:val="20"/>
              </w:rPr>
            </w:pPr>
          </w:p>
          <w:p w14:paraId="51CA1B35" w14:textId="324456F2"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Prix de vente : valeur vénale</w:t>
            </w:r>
            <w:r w:rsidR="007C20C2">
              <w:rPr>
                <w:rFonts w:ascii="Open Sans" w:eastAsia="Calibri" w:hAnsi="Open Sans" w:cs="Open Sans"/>
                <w:sz w:val="20"/>
                <w:szCs w:val="20"/>
              </w:rPr>
              <w:t>.</w:t>
            </w:r>
          </w:p>
          <w:p w14:paraId="51829EE3"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un bouquet (versement cash, env. 1/3 du prix de vente + une rente annuelle jusqu’au décès).</w:t>
            </w:r>
          </w:p>
          <w:p w14:paraId="1B16541E" w14:textId="02C84A9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Droit d’habitation jusqu’au décès ou à durée limitée</w:t>
            </w:r>
            <w:r w:rsidR="007C20C2">
              <w:rPr>
                <w:rFonts w:ascii="Open Sans" w:eastAsia="Calibri" w:hAnsi="Open Sans" w:cs="Open Sans"/>
                <w:sz w:val="20"/>
                <w:szCs w:val="20"/>
              </w:rPr>
              <w:t>.</w:t>
            </w:r>
          </w:p>
          <w:p w14:paraId="42A5BAB8" w14:textId="58E28A6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Droit d’habitation non transmissible aux héritiers</w:t>
            </w:r>
            <w:r w:rsidR="007C20C2">
              <w:rPr>
                <w:rFonts w:ascii="Open Sans" w:eastAsia="Calibri" w:hAnsi="Open Sans" w:cs="Open Sans"/>
                <w:sz w:val="20"/>
                <w:szCs w:val="20"/>
              </w:rPr>
              <w:t>.</w:t>
            </w:r>
          </w:p>
          <w:p w14:paraId="6AF90B0B" w14:textId="05E45B74"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Solde disponible après remboursement des prêts hypothécaires et impôts, peut être versé sous forme de capital (bouquet) et/ou sous forme de rente</w:t>
            </w:r>
            <w:r w:rsidR="007C20C2">
              <w:rPr>
                <w:rFonts w:ascii="Open Sans" w:eastAsia="Calibri" w:hAnsi="Open Sans" w:cs="Open Sans"/>
                <w:sz w:val="20"/>
                <w:szCs w:val="20"/>
              </w:rPr>
              <w:t>.</w:t>
            </w:r>
          </w:p>
          <w:p w14:paraId="6F299BE8" w14:textId="0903AF1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Rente : revenu complémentaire garanti à vie par une compagnie d’assurance</w:t>
            </w:r>
            <w:r w:rsidR="007C20C2">
              <w:rPr>
                <w:rFonts w:ascii="Open Sans" w:eastAsia="Calibri" w:hAnsi="Open Sans" w:cs="Open Sans"/>
                <w:sz w:val="20"/>
                <w:szCs w:val="20"/>
              </w:rPr>
              <w:t>.</w:t>
            </w:r>
          </w:p>
          <w:p w14:paraId="2A4EF750" w14:textId="77777777" w:rsidR="00C6496D" w:rsidRDefault="00C6496D">
            <w:pPr>
              <w:pStyle w:val="Paragraphedeliste"/>
              <w:widowControl w:val="0"/>
              <w:spacing w:after="0" w:line="240" w:lineRule="auto"/>
              <w:rPr>
                <w:rFonts w:ascii="Open Sans" w:hAnsi="Open Sans" w:cs="Open Sans"/>
                <w:sz w:val="20"/>
                <w:szCs w:val="20"/>
              </w:rPr>
            </w:pPr>
          </w:p>
          <w:p w14:paraId="32727E6C"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Avantages pour le crédirentier :</w:t>
            </w:r>
          </w:p>
          <w:p w14:paraId="6D68BE36" w14:textId="77777777" w:rsidR="00C6496D" w:rsidRDefault="00C6496D">
            <w:pPr>
              <w:widowControl w:val="0"/>
              <w:spacing w:after="0" w:line="240" w:lineRule="auto"/>
              <w:rPr>
                <w:rFonts w:ascii="Open Sans" w:hAnsi="Open Sans" w:cs="Open Sans"/>
                <w:b/>
                <w:bCs/>
                <w:sz w:val="20"/>
                <w:szCs w:val="20"/>
              </w:rPr>
            </w:pPr>
          </w:p>
          <w:p w14:paraId="66561AAC"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bouquet</w:t>
            </w:r>
            <w:r>
              <w:rPr>
                <w:rFonts w:ascii="Open Sans" w:eastAsia="Calibri" w:hAnsi="Open Sans" w:cs="Open Sans"/>
                <w:sz w:val="20"/>
                <w:szCs w:val="20"/>
                <w:lang w:val="fr-FR"/>
              </w:rPr>
              <w:t xml:space="preserve"> doit permettre le remboursement des prêts hypothécaires, améliorant son pouvoir d’achat. Le solde représente un capital ou rentes supplémentaires à disposition du vendeur.</w:t>
            </w:r>
          </w:p>
          <w:p w14:paraId="104A187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La possibilité d’un revenu complémentaire versé sous forme de </w:t>
            </w:r>
            <w:r>
              <w:rPr>
                <w:rFonts w:ascii="Open Sans" w:eastAsia="Calibri" w:hAnsi="Open Sans" w:cs="Open Sans"/>
                <w:b/>
                <w:bCs/>
                <w:sz w:val="20"/>
                <w:szCs w:val="20"/>
                <w:lang w:val="fr-FR"/>
              </w:rPr>
              <w:t xml:space="preserve">rente </w:t>
            </w:r>
            <w:r>
              <w:rPr>
                <w:rFonts w:ascii="Open Sans" w:eastAsia="Calibri" w:hAnsi="Open Sans" w:cs="Open Sans"/>
                <w:sz w:val="20"/>
                <w:szCs w:val="20"/>
                <w:lang w:val="fr-FR"/>
              </w:rPr>
              <w:t>est garantie par une solution d’assurance indépendante (prime unique).</w:t>
            </w:r>
          </w:p>
          <w:p w14:paraId="0599813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 xml:space="preserve">droit d’habitation </w:t>
            </w:r>
            <w:r>
              <w:rPr>
                <w:rFonts w:ascii="Open Sans" w:eastAsia="Calibri" w:hAnsi="Open Sans" w:cs="Open Sans"/>
                <w:sz w:val="20"/>
                <w:szCs w:val="20"/>
                <w:lang w:val="fr-FR"/>
              </w:rPr>
              <w:t>offre la garantie de pouvoir vivre dans le logement aussi longtemps que la santé du dernier conjoint le permet (inscription au registre foncier).</w:t>
            </w:r>
          </w:p>
          <w:p w14:paraId="6CFF2213"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fonds effectue un suivi annuel (voir répartition des charges point 7). </w:t>
            </w:r>
          </w:p>
          <w:p w14:paraId="12CB1FDA"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Règlement de la </w:t>
            </w:r>
            <w:r>
              <w:rPr>
                <w:rFonts w:ascii="Open Sans" w:eastAsia="Calibri" w:hAnsi="Open Sans" w:cs="Open Sans"/>
                <w:b/>
                <w:bCs/>
                <w:sz w:val="20"/>
                <w:szCs w:val="20"/>
                <w:lang w:val="fr-FR"/>
              </w:rPr>
              <w:t>succession</w:t>
            </w:r>
            <w:r>
              <w:rPr>
                <w:rFonts w:ascii="Open Sans" w:eastAsia="Calibri" w:hAnsi="Open Sans" w:cs="Open Sans"/>
                <w:sz w:val="20"/>
                <w:szCs w:val="20"/>
                <w:lang w:val="fr-FR"/>
              </w:rPr>
              <w:t xml:space="preserve"> pour le bien immobilier.</w:t>
            </w:r>
          </w:p>
          <w:p w14:paraId="1591A5DF"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Pouvoir faire une </w:t>
            </w:r>
            <w:r>
              <w:rPr>
                <w:rFonts w:ascii="Open Sans" w:eastAsia="Calibri" w:hAnsi="Open Sans" w:cs="Open Sans"/>
                <w:b/>
                <w:bCs/>
                <w:sz w:val="20"/>
                <w:szCs w:val="20"/>
                <w:lang w:val="fr-FR"/>
              </w:rPr>
              <w:t>donation</w:t>
            </w:r>
            <w:r>
              <w:rPr>
                <w:rFonts w:ascii="Open Sans" w:eastAsia="Calibri" w:hAnsi="Open Sans" w:cs="Open Sans"/>
                <w:sz w:val="20"/>
                <w:szCs w:val="20"/>
                <w:lang w:val="fr-FR"/>
              </w:rPr>
              <w:t xml:space="preserve"> de son vivant aux héritiers.</w:t>
            </w:r>
          </w:p>
          <w:p w14:paraId="0F950DEB" w14:textId="77777777" w:rsidR="00C6496D" w:rsidRDefault="00C6496D">
            <w:pPr>
              <w:widowControl w:val="0"/>
              <w:spacing w:after="0" w:line="240" w:lineRule="auto"/>
              <w:rPr>
                <w:rFonts w:ascii="Open Sans" w:hAnsi="Open Sans" w:cs="Open Sans"/>
                <w:sz w:val="20"/>
                <w:szCs w:val="20"/>
              </w:rPr>
            </w:pPr>
          </w:p>
          <w:p w14:paraId="6443A2CC" w14:textId="77777777" w:rsidR="00C6496D" w:rsidRDefault="00C6496D">
            <w:pPr>
              <w:widowControl w:val="0"/>
              <w:spacing w:after="0" w:line="240" w:lineRule="auto"/>
              <w:rPr>
                <w:rFonts w:ascii="Open Sans" w:hAnsi="Open Sans" w:cs="Open Sans"/>
                <w:sz w:val="20"/>
                <w:szCs w:val="20"/>
              </w:rPr>
            </w:pPr>
          </w:p>
          <w:p w14:paraId="11C94F51" w14:textId="77777777" w:rsidR="00C6496D" w:rsidRDefault="00C6496D">
            <w:pPr>
              <w:widowControl w:val="0"/>
              <w:spacing w:after="0" w:line="240" w:lineRule="auto"/>
              <w:rPr>
                <w:rFonts w:ascii="Open Sans" w:hAnsi="Open Sans" w:cs="Open Sans"/>
                <w:sz w:val="20"/>
                <w:szCs w:val="20"/>
              </w:rPr>
            </w:pPr>
          </w:p>
          <w:p w14:paraId="72F49CC8" w14:textId="77777777" w:rsidR="00C6496D" w:rsidRDefault="00C6496D">
            <w:pPr>
              <w:widowControl w:val="0"/>
              <w:spacing w:after="0" w:line="240" w:lineRule="auto"/>
              <w:rPr>
                <w:rFonts w:ascii="Open Sans" w:hAnsi="Open Sans" w:cs="Open Sans"/>
                <w:sz w:val="20"/>
                <w:szCs w:val="20"/>
              </w:rPr>
            </w:pPr>
          </w:p>
          <w:p w14:paraId="2D2F9400" w14:textId="77777777" w:rsidR="00C6496D" w:rsidRDefault="00C6496D">
            <w:pPr>
              <w:widowControl w:val="0"/>
              <w:spacing w:after="0" w:line="240" w:lineRule="auto"/>
              <w:jc w:val="right"/>
              <w:rPr>
                <w:rFonts w:ascii="Open Sans" w:hAnsi="Open Sans" w:cs="Open Sans"/>
                <w:sz w:val="20"/>
                <w:szCs w:val="20"/>
              </w:rPr>
            </w:pPr>
          </w:p>
          <w:p w14:paraId="154D9AD8" w14:textId="77777777" w:rsidR="00C6496D" w:rsidRDefault="00C6496D">
            <w:pPr>
              <w:widowControl w:val="0"/>
              <w:spacing w:after="0" w:line="240" w:lineRule="auto"/>
              <w:rPr>
                <w:rFonts w:ascii="Open Sans" w:hAnsi="Open Sans" w:cs="Open Sans"/>
                <w:sz w:val="20"/>
                <w:szCs w:val="20"/>
              </w:rPr>
            </w:pPr>
          </w:p>
          <w:p w14:paraId="5D3A17F3" w14:textId="77777777" w:rsidR="00C6496D" w:rsidRDefault="00C6496D">
            <w:pPr>
              <w:widowControl w:val="0"/>
              <w:spacing w:after="0" w:line="240" w:lineRule="auto"/>
              <w:ind w:left="360"/>
              <w:rPr>
                <w:rFonts w:ascii="Open Sans" w:hAnsi="Open Sans" w:cs="Open Sans"/>
                <w:sz w:val="20"/>
                <w:szCs w:val="20"/>
              </w:rPr>
            </w:pPr>
          </w:p>
          <w:p w14:paraId="18B5AA0F" w14:textId="77777777" w:rsidR="00C6496D" w:rsidRDefault="0075640B">
            <w:pPr>
              <w:pStyle w:val="Rfrence"/>
              <w:widowControl w:val="0"/>
              <w:numPr>
                <w:ilvl w:val="0"/>
                <w:numId w:val="3"/>
              </w:numPr>
              <w:rPr>
                <w:rFonts w:ascii="Open Sans" w:hAnsi="Open Sans" w:cs="Open Sans"/>
                <w:b/>
                <w:bCs/>
              </w:rPr>
            </w:pPr>
            <w:r>
              <w:rPr>
                <w:rFonts w:ascii="Open Sans" w:hAnsi="Open Sans" w:cs="Open Sans"/>
                <w:b/>
                <w:bCs/>
              </w:rPr>
              <w:t xml:space="preserve">Préambule : </w:t>
            </w:r>
          </w:p>
          <w:p w14:paraId="0C49C0B1" w14:textId="77777777" w:rsidR="00C6496D" w:rsidRDefault="0075640B">
            <w:pPr>
              <w:pStyle w:val="Rfrence"/>
              <w:widowControl w:val="0"/>
              <w:rPr>
                <w:rFonts w:ascii="Open Sans" w:hAnsi="Open Sans" w:cs="Open Sans"/>
              </w:rPr>
            </w:pPr>
            <w:r>
              <w:rPr>
                <w:rFonts w:ascii="Open Sans" w:hAnsi="Open Sans" w:cs="Open Sans"/>
              </w:rPr>
              <w:t>Art. 764 CC - Obligations de l’usufruitier</w:t>
            </w:r>
          </w:p>
          <w:p w14:paraId="04720578"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est tenu de conserver la substance de la chose et de faire lui-même les réparations et réfections ordinaires d’entretien.</w:t>
            </w:r>
          </w:p>
          <w:p w14:paraId="254884CB"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Si des travaux plus importants ou d’autres mesures sont indispensables à la conservation de la chose, l’usufruitier est tenu d’en aviser le propriétaire.</w:t>
            </w:r>
          </w:p>
          <w:p w14:paraId="6A1B1C10" w14:textId="77777777" w:rsidR="00C6496D" w:rsidRDefault="0075640B">
            <w:pPr>
              <w:pStyle w:val="Rfrence"/>
              <w:widowControl w:val="0"/>
              <w:rPr>
                <w:rFonts w:ascii="Open Sans" w:hAnsi="Open Sans" w:cs="Open Sans"/>
              </w:rPr>
            </w:pPr>
            <w:r>
              <w:rPr>
                <w:rFonts w:ascii="Open Sans" w:hAnsi="Open Sans" w:cs="Open Sans"/>
              </w:rPr>
              <w:t>Art. 769 CC - Destination de la chose</w:t>
            </w:r>
          </w:p>
          <w:p w14:paraId="2D10741F"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ne doit apporter à la destination de l’immeuble aucun changement qui puisse causer un préjudice notable au propriétaire.</w:t>
            </w:r>
          </w:p>
          <w:p w14:paraId="6B4388B9"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Il ne peut, en particulier, ni transformer, ni essentiellement modi</w:t>
            </w:r>
            <w:r>
              <w:rPr>
                <w:rFonts w:ascii="Open Sans" w:hAnsi="Open Sans" w:cs="Open Sans"/>
              </w:rPr>
              <w:softHyphen/>
              <w:t>fier la chose soumise à l’usufruit.</w:t>
            </w:r>
          </w:p>
          <w:p w14:paraId="18E11BA5"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PPE : </w:t>
            </w:r>
          </w:p>
          <w:p w14:paraId="0EEE34ED"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L’intégralité des charges PPE sont à payer par l’usufruitier.</w:t>
            </w:r>
          </w:p>
          <w:p w14:paraId="63713379"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La contribution au fonds de rénovation - comprise dans le budget des charges PPE - est également payée par l’usufruitier.</w:t>
            </w:r>
          </w:p>
          <w:p w14:paraId="08D09ED3"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Les appels de fonds servant à payer des travaux importants de rénovations ou d’entretien sont à la charge du propriétaire.</w:t>
            </w:r>
          </w:p>
          <w:p w14:paraId="4669AD6A"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Dans le cas où les charges suivantes ne font partie des charges payées par la PPE, la répartition se fait comme suit :</w:t>
            </w:r>
          </w:p>
          <w:p w14:paraId="5F2E8E27" w14:textId="77777777" w:rsidR="00C6496D" w:rsidRDefault="00C6496D">
            <w:pPr>
              <w:widowControl w:val="0"/>
              <w:spacing w:after="0" w:line="240" w:lineRule="auto"/>
              <w:ind w:left="851"/>
              <w:rPr>
                <w:rFonts w:ascii="Open Sans" w:hAnsi="Open Sans" w:cs="Open Sans"/>
                <w:sz w:val="20"/>
                <w:szCs w:val="20"/>
              </w:rPr>
            </w:pPr>
          </w:p>
          <w:p w14:paraId="1810556C"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villa individuelle : </w:t>
            </w:r>
          </w:p>
          <w:p w14:paraId="45A9CF40" w14:textId="77777777" w:rsidR="00C6496D" w:rsidRDefault="0075640B">
            <w:pPr>
              <w:widowControl w:val="0"/>
              <w:spacing w:after="0" w:line="240" w:lineRule="auto"/>
              <w:ind w:left="851"/>
              <w:rPr>
                <w:rFonts w:ascii="Open Sans" w:hAnsi="Open Sans" w:cs="Open Sans"/>
                <w:sz w:val="20"/>
                <w:szCs w:val="20"/>
              </w:rPr>
            </w:pPr>
            <w:bookmarkStart w:id="0" w:name="_Hlk112924289"/>
            <w:bookmarkEnd w:id="0"/>
            <w:r>
              <w:rPr>
                <w:rFonts w:ascii="Open Sans" w:eastAsia="Calibri" w:hAnsi="Open Sans" w:cs="Open Sans"/>
                <w:sz w:val="20"/>
                <w:szCs w:val="20"/>
              </w:rPr>
              <w:t>Vu ce qui précède, la répartition des charges liées à l’immeuble se fait comme suit :</w:t>
            </w:r>
          </w:p>
          <w:p w14:paraId="1E809AE0" w14:textId="77777777" w:rsidR="00C6496D" w:rsidRDefault="00C6496D">
            <w:pPr>
              <w:widowControl w:val="0"/>
              <w:spacing w:after="0" w:line="240" w:lineRule="auto"/>
              <w:ind w:left="851"/>
              <w:rPr>
                <w:rFonts w:ascii="Open Sans" w:hAnsi="Open Sans" w:cs="Open Sans"/>
                <w:sz w:val="20"/>
                <w:szCs w:val="20"/>
              </w:rPr>
            </w:pPr>
          </w:p>
          <w:p w14:paraId="46C247EF"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ascii="Open Sans" w:eastAsia="Calibri" w:hAnsi="Open Sans" w:cs="Open Sans"/>
                <w:b/>
                <w:bCs/>
                <w:sz w:val="20"/>
                <w:szCs w:val="20"/>
              </w:rPr>
              <w:t>Assurances privées :</w:t>
            </w:r>
            <w:bookmarkEnd w:id="1"/>
            <w:bookmarkEnd w:id="2"/>
            <w:bookmarkEnd w:id="3"/>
            <w:bookmarkEnd w:id="4"/>
            <w:bookmarkEnd w:id="5"/>
            <w:bookmarkEnd w:id="6"/>
            <w:bookmarkEnd w:id="7"/>
            <w:bookmarkEnd w:id="8"/>
            <w:bookmarkEnd w:id="9"/>
          </w:p>
          <w:p w14:paraId="264E7D62" w14:textId="77777777" w:rsidR="00C6496D" w:rsidRDefault="00C6496D">
            <w:pPr>
              <w:pStyle w:val="Paragraphedeliste"/>
              <w:widowControl w:val="0"/>
              <w:spacing w:after="0" w:line="240" w:lineRule="auto"/>
              <w:rPr>
                <w:rFonts w:ascii="Open Sans" w:hAnsi="Open Sans" w:cs="Open Sans"/>
                <w:b/>
                <w:bCs/>
                <w:sz w:val="20"/>
                <w:szCs w:val="20"/>
              </w:rPr>
            </w:pPr>
            <w:bookmarkStart w:id="10" w:name="_Hlk1129242891"/>
            <w:bookmarkEnd w:id="10"/>
          </w:p>
          <w:p w14:paraId="2C2CDF1C"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d'assurer la chose, dans l'intérêt du propriétaire en souscrivant les assurances suivantes :</w:t>
            </w:r>
          </w:p>
          <w:p w14:paraId="50780C17" w14:textId="77777777" w:rsidR="00C6496D" w:rsidRDefault="0075640B">
            <w:pPr>
              <w:pStyle w:val="Puces"/>
              <w:widowControl w:val="0"/>
              <w:rPr>
                <w:rFonts w:ascii="Open Sans" w:hAnsi="Open Sans" w:cs="Open Sans"/>
              </w:rPr>
            </w:pPr>
            <w:r>
              <w:rPr>
                <w:rFonts w:ascii="Open Sans" w:hAnsi="Open Sans" w:cs="Open Sans"/>
              </w:rPr>
              <w:t>Assurance contre l’incendie et dommages naturels (ECA)</w:t>
            </w:r>
          </w:p>
          <w:p w14:paraId="28749CCF" w14:textId="77777777" w:rsidR="00C6496D" w:rsidRDefault="0075640B">
            <w:pPr>
              <w:pStyle w:val="Puces"/>
              <w:widowControl w:val="0"/>
              <w:rPr>
                <w:rFonts w:ascii="Open Sans" w:hAnsi="Open Sans" w:cs="Open Sans"/>
              </w:rPr>
            </w:pPr>
            <w:r>
              <w:rPr>
                <w:rFonts w:ascii="Open Sans" w:hAnsi="Open Sans" w:cs="Open Sans"/>
              </w:rPr>
              <w:t>Assurance responsabilité civile privée (RC)</w:t>
            </w:r>
          </w:p>
          <w:p w14:paraId="1CB06B7F" w14:textId="77777777" w:rsidR="00C6496D" w:rsidRDefault="0075640B">
            <w:pPr>
              <w:pStyle w:val="Puces"/>
              <w:widowControl w:val="0"/>
              <w:rPr>
                <w:rFonts w:ascii="Open Sans" w:hAnsi="Open Sans" w:cs="Open Sans"/>
              </w:rPr>
            </w:pPr>
            <w:r>
              <w:rPr>
                <w:rFonts w:ascii="Open Sans" w:hAnsi="Open Sans" w:cs="Open Sans"/>
              </w:rPr>
              <w:t>Bris de glace </w:t>
            </w:r>
          </w:p>
          <w:p w14:paraId="3718A6C0" w14:textId="77777777" w:rsidR="00C6496D" w:rsidRDefault="00C6496D">
            <w:pPr>
              <w:pStyle w:val="Puces"/>
              <w:widowControl w:val="0"/>
              <w:numPr>
                <w:ilvl w:val="0"/>
                <w:numId w:val="0"/>
              </w:numPr>
              <w:rPr>
                <w:rFonts w:ascii="Open Sans" w:hAnsi="Open Sans" w:cs="Open Sans"/>
              </w:rPr>
            </w:pPr>
          </w:p>
          <w:p w14:paraId="47C1F5C2" w14:textId="77777777" w:rsidR="00C6496D" w:rsidRDefault="00C6496D">
            <w:pPr>
              <w:pStyle w:val="Puces"/>
              <w:widowControl w:val="0"/>
              <w:numPr>
                <w:ilvl w:val="0"/>
                <w:numId w:val="0"/>
              </w:numPr>
              <w:rPr>
                <w:rFonts w:ascii="Open Sans" w:hAnsi="Open Sans" w:cs="Open Sans"/>
              </w:rPr>
            </w:pPr>
          </w:p>
          <w:p w14:paraId="76FDDD6E" w14:textId="77777777" w:rsidR="00C6496D" w:rsidRDefault="00C6496D">
            <w:pPr>
              <w:pStyle w:val="Puces"/>
              <w:widowControl w:val="0"/>
              <w:numPr>
                <w:ilvl w:val="0"/>
                <w:numId w:val="0"/>
              </w:numPr>
              <w:rPr>
                <w:rFonts w:ascii="Open Sans" w:hAnsi="Open Sans" w:cs="Open Sans"/>
              </w:rPr>
            </w:pPr>
          </w:p>
          <w:p w14:paraId="0424A985" w14:textId="77777777" w:rsidR="00C6496D" w:rsidRDefault="00C6496D">
            <w:pPr>
              <w:pStyle w:val="Puces"/>
              <w:widowControl w:val="0"/>
              <w:numPr>
                <w:ilvl w:val="0"/>
                <w:numId w:val="0"/>
              </w:numPr>
              <w:rPr>
                <w:rFonts w:ascii="Open Sans" w:hAnsi="Open Sans" w:cs="Open Sans"/>
              </w:rPr>
            </w:pPr>
          </w:p>
          <w:p w14:paraId="0D87FDCE" w14:textId="77777777" w:rsidR="00C6496D" w:rsidRDefault="00C6496D">
            <w:pPr>
              <w:pStyle w:val="Puces"/>
              <w:widowControl w:val="0"/>
              <w:numPr>
                <w:ilvl w:val="0"/>
                <w:numId w:val="0"/>
              </w:numPr>
              <w:rPr>
                <w:rFonts w:ascii="Open Sans" w:hAnsi="Open Sans" w:cs="Open Sans"/>
              </w:rPr>
            </w:pPr>
          </w:p>
          <w:p w14:paraId="35207AF0" w14:textId="77777777" w:rsidR="00C6496D" w:rsidRDefault="00C6496D">
            <w:pPr>
              <w:pStyle w:val="Puces"/>
              <w:widowControl w:val="0"/>
              <w:numPr>
                <w:ilvl w:val="0"/>
                <w:numId w:val="0"/>
              </w:numPr>
              <w:rPr>
                <w:rFonts w:ascii="Open Sans" w:hAnsi="Open Sans" w:cs="Open Sans"/>
              </w:rPr>
            </w:pPr>
          </w:p>
          <w:p w14:paraId="3A191E62" w14:textId="77777777" w:rsidR="00C6496D" w:rsidRDefault="00C6496D">
            <w:pPr>
              <w:pStyle w:val="Puces"/>
              <w:widowControl w:val="0"/>
              <w:numPr>
                <w:ilvl w:val="0"/>
                <w:numId w:val="0"/>
              </w:numPr>
              <w:rPr>
                <w:rFonts w:ascii="Open Sans" w:hAnsi="Open Sans" w:cs="Open Sans"/>
              </w:rPr>
            </w:pPr>
          </w:p>
          <w:p w14:paraId="70AF5D3B" w14:textId="77777777" w:rsidR="00C6496D" w:rsidRDefault="00C6496D">
            <w:pPr>
              <w:pStyle w:val="Puces"/>
              <w:widowControl w:val="0"/>
              <w:numPr>
                <w:ilvl w:val="0"/>
                <w:numId w:val="0"/>
              </w:numPr>
              <w:rPr>
                <w:rFonts w:ascii="Open Sans" w:hAnsi="Open Sans" w:cs="Open Sans"/>
              </w:rPr>
            </w:pPr>
          </w:p>
          <w:p w14:paraId="12989327" w14:textId="77777777" w:rsidR="00C6496D" w:rsidRDefault="00C6496D">
            <w:pPr>
              <w:pStyle w:val="Puces"/>
              <w:widowControl w:val="0"/>
              <w:numPr>
                <w:ilvl w:val="0"/>
                <w:numId w:val="0"/>
              </w:numPr>
              <w:rPr>
                <w:rFonts w:ascii="Open Sans" w:hAnsi="Open Sans" w:cs="Open Sans"/>
              </w:rPr>
            </w:pPr>
          </w:p>
          <w:p w14:paraId="0251F63F" w14:textId="77777777" w:rsidR="00C6496D" w:rsidRDefault="00C6496D">
            <w:pPr>
              <w:pStyle w:val="Puces"/>
              <w:widowControl w:val="0"/>
              <w:numPr>
                <w:ilvl w:val="0"/>
                <w:numId w:val="0"/>
              </w:numPr>
              <w:rPr>
                <w:rFonts w:ascii="Open Sans" w:hAnsi="Open Sans" w:cs="Open Sans"/>
              </w:rPr>
            </w:pPr>
          </w:p>
          <w:p w14:paraId="1D606F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Obligations de l’usufruitier – conservation de la chose : </w:t>
            </w:r>
            <w:bookmarkStart w:id="11" w:name="_Hlk112924697"/>
            <w:bookmarkEnd w:id="11"/>
          </w:p>
          <w:p w14:paraId="179EBC2E"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14:paraId="3FA6018F" w14:textId="77777777" w:rsidR="00C6496D" w:rsidRDefault="0075640B">
            <w:pPr>
              <w:pStyle w:val="Puces"/>
              <w:widowControl w:val="0"/>
              <w:numPr>
                <w:ilvl w:val="0"/>
                <w:numId w:val="5"/>
              </w:numPr>
              <w:ind w:hanging="589"/>
              <w:rPr>
                <w:rFonts w:ascii="Open Sans" w:hAnsi="Open Sans" w:cs="Open Sans"/>
              </w:rPr>
            </w:pPr>
            <w:r>
              <w:rPr>
                <w:rFonts w:ascii="Open Sans" w:hAnsi="Open Sans" w:cs="Open Sans"/>
              </w:rPr>
              <w:t>Maintenir l’état du bien en réparations courantes et nettoyage habituel ;</w:t>
            </w:r>
          </w:p>
          <w:p w14:paraId="5E96A469" w14:textId="77777777" w:rsidR="00C6496D" w:rsidRDefault="0075640B">
            <w:pPr>
              <w:pStyle w:val="Puces"/>
              <w:widowControl w:val="0"/>
              <w:rPr>
                <w:rFonts w:ascii="Open Sans" w:hAnsi="Open Sans" w:cs="Open Sans"/>
              </w:rPr>
            </w:pPr>
            <w:r>
              <w:rPr>
                <w:rFonts w:ascii="Open Sans" w:hAnsi="Open Sans" w:cs="Open Sans"/>
              </w:rPr>
              <w:t>Poser et enlever les fenêtres doubles ;</w:t>
            </w:r>
          </w:p>
          <w:p w14:paraId="542E4BB3" w14:textId="77777777" w:rsidR="00C6496D" w:rsidRDefault="0075640B">
            <w:pPr>
              <w:pStyle w:val="Puces"/>
              <w:widowControl w:val="0"/>
              <w:rPr>
                <w:rFonts w:ascii="Open Sans" w:hAnsi="Open Sans" w:cs="Open Sans"/>
              </w:rPr>
            </w:pPr>
            <w:r>
              <w:rPr>
                <w:rFonts w:ascii="Open Sans" w:hAnsi="Open Sans" w:cs="Open Sans"/>
              </w:rPr>
              <w:t>Remplacer les vitres brisées ou endommagées ;</w:t>
            </w:r>
          </w:p>
          <w:p w14:paraId="0F1B0006" w14:textId="77777777" w:rsidR="00C6496D" w:rsidRDefault="0075640B">
            <w:pPr>
              <w:pStyle w:val="Puces"/>
              <w:widowControl w:val="0"/>
              <w:rPr>
                <w:rFonts w:ascii="Open Sans" w:hAnsi="Open Sans" w:cs="Open Sans"/>
              </w:rPr>
            </w:pPr>
            <w:r>
              <w:rPr>
                <w:rFonts w:ascii="Open Sans" w:hAnsi="Open Sans" w:cs="Open Sans"/>
              </w:rPr>
              <w:t>Entretenir les sols et les boiseries ;</w:t>
            </w:r>
          </w:p>
          <w:p w14:paraId="19DCB289" w14:textId="77777777" w:rsidR="00C6496D" w:rsidRDefault="0075640B">
            <w:pPr>
              <w:pStyle w:val="Puces"/>
              <w:widowControl w:val="0"/>
              <w:rPr>
                <w:rFonts w:ascii="Open Sans" w:hAnsi="Open Sans" w:cs="Open Sans"/>
              </w:rPr>
            </w:pPr>
            <w:r>
              <w:rPr>
                <w:rFonts w:ascii="Open Sans" w:hAnsi="Open Sans" w:cs="Open Sans"/>
              </w:rPr>
              <w:t>Remplacer les prises endommagées ;</w:t>
            </w:r>
          </w:p>
          <w:p w14:paraId="42B9E8C4" w14:textId="77777777" w:rsidR="00C6496D" w:rsidRDefault="0075640B">
            <w:pPr>
              <w:pStyle w:val="Puces"/>
              <w:widowControl w:val="0"/>
              <w:rPr>
                <w:rFonts w:ascii="Open Sans" w:hAnsi="Open Sans" w:cs="Open Sans"/>
              </w:rPr>
            </w:pPr>
            <w:r>
              <w:rPr>
                <w:rFonts w:ascii="Open Sans" w:hAnsi="Open Sans" w:cs="Open Sans"/>
              </w:rPr>
              <w:t>Remplacer les sangles usées aux volets à rouleaux et aux stores ;</w:t>
            </w:r>
          </w:p>
          <w:p w14:paraId="71238D7A" w14:textId="77777777" w:rsidR="00C6496D" w:rsidRDefault="0075640B">
            <w:pPr>
              <w:pStyle w:val="Puces"/>
              <w:widowControl w:val="0"/>
              <w:rPr>
                <w:rFonts w:ascii="Open Sans" w:hAnsi="Open Sans" w:cs="Open Sans"/>
              </w:rPr>
            </w:pPr>
            <w:r>
              <w:rPr>
                <w:rFonts w:ascii="Open Sans" w:hAnsi="Open Sans" w:cs="Open Sans"/>
              </w:rPr>
              <w:t>Graisser les serrures, gonds, fiches de portes, fenêtres, volets, armatures de tente et autres ;</w:t>
            </w:r>
          </w:p>
          <w:p w14:paraId="7BF77F32" w14:textId="77777777" w:rsidR="00C6496D" w:rsidRDefault="0075640B">
            <w:pPr>
              <w:pStyle w:val="Puces"/>
              <w:widowControl w:val="0"/>
              <w:rPr>
                <w:rFonts w:ascii="Open Sans" w:hAnsi="Open Sans" w:cs="Open Sans"/>
              </w:rPr>
            </w:pPr>
            <w:r>
              <w:rPr>
                <w:rFonts w:ascii="Open Sans" w:hAnsi="Open Sans" w:cs="Open Sans"/>
              </w:rPr>
              <w:t>Entretenir les installations sanitaires, appareils ménagers, fiches et cordons électriques et autres ;</w:t>
            </w:r>
          </w:p>
          <w:p w14:paraId="60D7A75C" w14:textId="77777777" w:rsidR="00C6496D" w:rsidRDefault="0075640B">
            <w:pPr>
              <w:pStyle w:val="Puces"/>
              <w:widowControl w:val="0"/>
              <w:rPr>
                <w:rFonts w:ascii="Open Sans" w:hAnsi="Open Sans" w:cs="Open Sans"/>
              </w:rPr>
            </w:pPr>
            <w:r>
              <w:rPr>
                <w:rFonts w:ascii="Open Sans" w:hAnsi="Open Sans" w:cs="Open Sans"/>
              </w:rPr>
              <w:t>Déboucher les écoulements jusqu'à la conduite principale, nettoyer et déboucher les écoulements de balcons et terrasses ;</w:t>
            </w:r>
          </w:p>
          <w:p w14:paraId="4C3C5A8C" w14:textId="77777777" w:rsidR="00C6496D" w:rsidRDefault="0075640B">
            <w:pPr>
              <w:pStyle w:val="Puces"/>
              <w:widowControl w:val="0"/>
              <w:rPr>
                <w:rFonts w:ascii="Open Sans" w:hAnsi="Open Sans" w:cs="Open Sans"/>
              </w:rPr>
            </w:pPr>
            <w:r>
              <w:rPr>
                <w:rFonts w:ascii="Open Sans" w:hAnsi="Open Sans" w:cs="Open Sans"/>
              </w:rPr>
              <w:t xml:space="preserve">Faire ramoner régulièrement les cheminées de salon et leurs canaux de fumée (obligation légale) ; </w:t>
            </w:r>
          </w:p>
          <w:p w14:paraId="426A9CCD" w14:textId="77777777" w:rsidR="00C6496D" w:rsidRDefault="0075640B">
            <w:pPr>
              <w:pStyle w:val="Puces"/>
              <w:widowControl w:val="0"/>
              <w:rPr>
                <w:rFonts w:ascii="Open Sans" w:hAnsi="Open Sans" w:cs="Open Sans"/>
              </w:rPr>
            </w:pPr>
            <w:r>
              <w:rPr>
                <w:rFonts w:ascii="Open Sans" w:hAnsi="Open Sans" w:cs="Open Sans"/>
              </w:rPr>
              <w:t>Aérer régulièrement les locaux loués ;</w:t>
            </w:r>
          </w:p>
          <w:p w14:paraId="0F0E4C8D" w14:textId="77777777" w:rsidR="00C6496D" w:rsidRDefault="0075640B">
            <w:pPr>
              <w:pStyle w:val="Puces"/>
              <w:widowControl w:val="0"/>
              <w:rPr>
                <w:rFonts w:ascii="Open Sans" w:hAnsi="Open Sans" w:cs="Open Sans"/>
              </w:rPr>
            </w:pPr>
            <w:r>
              <w:rPr>
                <w:rFonts w:ascii="Open Sans" w:hAnsi="Open Sans" w:cs="Open Sans"/>
              </w:rPr>
              <w:t>Détartrer régulièrement les bouilleurs individuels ;</w:t>
            </w:r>
          </w:p>
          <w:p w14:paraId="329B7C2A" w14:textId="77777777" w:rsidR="00C6496D" w:rsidRDefault="0075640B">
            <w:pPr>
              <w:pStyle w:val="Puces"/>
              <w:widowControl w:val="0"/>
              <w:rPr>
                <w:rFonts w:ascii="Open Sans" w:hAnsi="Open Sans" w:cs="Open Sans"/>
              </w:rPr>
            </w:pPr>
            <w:r>
              <w:rPr>
                <w:rFonts w:ascii="Open Sans" w:hAnsi="Open Sans" w:cs="Open Sans"/>
              </w:rPr>
              <w:t>Remplacer les brise-jets, les flexibles et les fusibles ;</w:t>
            </w:r>
          </w:p>
          <w:p w14:paraId="11F720EA" w14:textId="77777777" w:rsidR="00C6496D" w:rsidRDefault="0075640B">
            <w:pPr>
              <w:pStyle w:val="Puces"/>
              <w:widowControl w:val="0"/>
              <w:rPr>
                <w:rFonts w:ascii="Open Sans" w:hAnsi="Open Sans" w:cs="Open Sans"/>
              </w:rPr>
            </w:pPr>
            <w:r>
              <w:rPr>
                <w:rFonts w:ascii="Open Sans" w:hAnsi="Open Sans" w:cs="Open Sans"/>
              </w:rPr>
              <w:t>Remplacer les joints usés des robinets ;</w:t>
            </w:r>
          </w:p>
          <w:p w14:paraId="50B679B0" w14:textId="77777777" w:rsidR="00C6496D" w:rsidRDefault="0075640B">
            <w:pPr>
              <w:pStyle w:val="Puces"/>
              <w:widowControl w:val="0"/>
              <w:rPr>
                <w:rFonts w:ascii="Open Sans" w:hAnsi="Open Sans" w:cs="Open Sans"/>
              </w:rPr>
            </w:pPr>
            <w:r>
              <w:rPr>
                <w:rFonts w:ascii="Open Sans" w:hAnsi="Open Sans" w:cs="Open Sans"/>
              </w:rPr>
              <w:t>Remplacer le filtre de ventilation interchangeable ;</w:t>
            </w:r>
          </w:p>
          <w:p w14:paraId="03673620" w14:textId="77777777" w:rsidR="00C6496D" w:rsidRDefault="0075640B">
            <w:pPr>
              <w:pStyle w:val="Puces"/>
              <w:widowControl w:val="0"/>
              <w:rPr>
                <w:rFonts w:ascii="Open Sans" w:hAnsi="Open Sans" w:cs="Open Sans"/>
              </w:rPr>
            </w:pPr>
            <w:r>
              <w:rPr>
                <w:rFonts w:ascii="Open Sans" w:hAnsi="Open Sans" w:cs="Open Sans"/>
              </w:rPr>
              <w:t>Confection et la pose de plaques d'adresses des sonnettes et boîtes aux lettres ;</w:t>
            </w:r>
          </w:p>
          <w:p w14:paraId="29940D4B" w14:textId="77777777" w:rsidR="00C6496D" w:rsidRDefault="00C6496D">
            <w:pPr>
              <w:pStyle w:val="Puces"/>
              <w:widowControl w:val="0"/>
              <w:numPr>
                <w:ilvl w:val="0"/>
                <w:numId w:val="0"/>
              </w:numPr>
              <w:ind w:left="1418" w:hanging="567"/>
              <w:rPr>
                <w:rFonts w:ascii="Open Sans" w:hAnsi="Open Sans" w:cs="Open Sans"/>
              </w:rPr>
            </w:pPr>
          </w:p>
          <w:p w14:paraId="2FCEBB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Taxe et autres charges : </w:t>
            </w:r>
          </w:p>
          <w:p w14:paraId="28F8515C"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L'usufruitier a la possession, l'usage et la jouissance de la chose. Il en a aussi la gestion et observe, dans l'exercice de ses droits, les règles d'une bonne administration.</w:t>
            </w:r>
          </w:p>
          <w:p w14:paraId="5956025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En cas de PPE : L’usufruitier supporte les taxes et autres charges, incluses dans les charges PPE, à raison de la quote-part attribuée à son logement dans la copropriété (si applicable) :</w:t>
            </w:r>
          </w:p>
          <w:p w14:paraId="53A40411" w14:textId="77777777" w:rsidR="00C6496D" w:rsidRDefault="0075640B">
            <w:pPr>
              <w:pStyle w:val="Titre2"/>
              <w:widowControl w:val="0"/>
              <w:numPr>
                <w:ilvl w:val="0"/>
                <w:numId w:val="0"/>
              </w:numPr>
              <w:ind w:left="851"/>
              <w:rPr>
                <w:rFonts w:ascii="Open Sans" w:hAnsi="Open Sans" w:cs="Open Sans"/>
                <w:szCs w:val="20"/>
              </w:rPr>
            </w:pPr>
            <w:r>
              <w:rPr>
                <w:rFonts w:ascii="Open Sans" w:hAnsi="Open Sans" w:cs="Open Sans"/>
                <w:szCs w:val="20"/>
              </w:rPr>
              <w:t>En cas de villa individuelle : L’usufruitier supporte les taxes et autres charges (si applicable) :</w:t>
            </w:r>
          </w:p>
          <w:p w14:paraId="563CD8D1" w14:textId="77777777" w:rsidR="00C6496D" w:rsidRDefault="0075640B">
            <w:pPr>
              <w:pStyle w:val="Puces"/>
              <w:widowControl w:val="0"/>
              <w:numPr>
                <w:ilvl w:val="0"/>
                <w:numId w:val="6"/>
              </w:numPr>
              <w:ind w:hanging="589"/>
              <w:rPr>
                <w:rFonts w:ascii="Open Sans" w:hAnsi="Open Sans" w:cs="Open Sans"/>
                <w:lang w:val="fr-FR"/>
              </w:rPr>
            </w:pPr>
            <w:r>
              <w:rPr>
                <w:rFonts w:ascii="Open Sans" w:hAnsi="Open Sans" w:cs="Open Sans"/>
                <w:lang w:val="fr-FR"/>
              </w:rPr>
              <w:t>Taxe épuration des eaux (entretien et utilisation) ;</w:t>
            </w:r>
          </w:p>
          <w:p w14:paraId="77569F31" w14:textId="77777777" w:rsidR="00C6496D" w:rsidRDefault="0075640B">
            <w:pPr>
              <w:pStyle w:val="Puces"/>
              <w:widowControl w:val="0"/>
              <w:numPr>
                <w:ilvl w:val="0"/>
                <w:numId w:val="7"/>
              </w:numPr>
              <w:ind w:hanging="589"/>
              <w:rPr>
                <w:rFonts w:ascii="Open Sans" w:hAnsi="Open Sans" w:cs="Open Sans"/>
                <w:lang w:val="fr-FR"/>
              </w:rPr>
            </w:pPr>
            <w:r>
              <w:rPr>
                <w:rFonts w:ascii="Open Sans" w:hAnsi="Open Sans" w:cs="Open Sans"/>
                <w:lang w:val="fr-FR"/>
              </w:rPr>
              <w:t>Taxe annuelle d'utilisation du système d'évacuation eaux claires ;</w:t>
            </w:r>
          </w:p>
          <w:p w14:paraId="51260FC3" w14:textId="77777777" w:rsidR="00C6496D" w:rsidRDefault="0075640B">
            <w:pPr>
              <w:pStyle w:val="Puces"/>
              <w:widowControl w:val="0"/>
              <w:numPr>
                <w:ilvl w:val="0"/>
                <w:numId w:val="8"/>
              </w:numPr>
              <w:ind w:hanging="589"/>
              <w:rPr>
                <w:rFonts w:ascii="Open Sans" w:hAnsi="Open Sans" w:cs="Open Sans"/>
                <w:lang w:val="fr-FR"/>
              </w:rPr>
            </w:pPr>
            <w:r>
              <w:rPr>
                <w:rFonts w:ascii="Open Sans" w:hAnsi="Open Sans" w:cs="Open Sans"/>
                <w:lang w:val="fr-FR"/>
              </w:rPr>
              <w:t>Taxe égout ;</w:t>
            </w:r>
          </w:p>
          <w:p w14:paraId="3C379A82" w14:textId="77777777" w:rsidR="00C6496D" w:rsidRDefault="0075640B">
            <w:pPr>
              <w:pStyle w:val="Puces"/>
              <w:widowControl w:val="0"/>
              <w:numPr>
                <w:ilvl w:val="0"/>
                <w:numId w:val="9"/>
              </w:numPr>
              <w:ind w:hanging="589"/>
              <w:rPr>
                <w:rFonts w:ascii="Open Sans" w:hAnsi="Open Sans" w:cs="Open Sans"/>
                <w:lang w:val="fr-FR"/>
              </w:rPr>
            </w:pPr>
            <w:r>
              <w:rPr>
                <w:rFonts w:ascii="Open Sans" w:hAnsi="Open Sans" w:cs="Open Sans"/>
                <w:lang w:val="fr-FR"/>
              </w:rPr>
              <w:t>Taxe relative au tri, à l'évacuation et au traitement des déchets ;</w:t>
            </w:r>
          </w:p>
          <w:p w14:paraId="3C2F51EE" w14:textId="77777777" w:rsidR="00C6496D" w:rsidRDefault="0075640B">
            <w:pPr>
              <w:pStyle w:val="Puces"/>
              <w:widowControl w:val="0"/>
              <w:numPr>
                <w:ilvl w:val="0"/>
                <w:numId w:val="10"/>
              </w:numPr>
              <w:ind w:hanging="589"/>
              <w:rPr>
                <w:rFonts w:ascii="Open Sans" w:hAnsi="Open Sans" w:cs="Open Sans"/>
                <w:lang w:val="fr-FR"/>
              </w:rPr>
            </w:pPr>
            <w:r>
              <w:rPr>
                <w:rFonts w:ascii="Open Sans" w:hAnsi="Open Sans" w:cs="Open Sans"/>
                <w:lang w:val="fr-FR"/>
              </w:rPr>
              <w:t>Taxe Co2 ;</w:t>
            </w:r>
          </w:p>
          <w:p w14:paraId="7E66F618" w14:textId="77777777" w:rsidR="00C6496D" w:rsidRDefault="0075640B">
            <w:pPr>
              <w:pStyle w:val="Puces"/>
              <w:widowControl w:val="0"/>
              <w:numPr>
                <w:ilvl w:val="0"/>
                <w:numId w:val="11"/>
              </w:numPr>
              <w:ind w:hanging="589"/>
              <w:rPr>
                <w:rFonts w:ascii="Open Sans" w:hAnsi="Open Sans" w:cs="Open Sans"/>
                <w:lang w:val="fr-FR"/>
              </w:rPr>
            </w:pPr>
            <w:r>
              <w:rPr>
                <w:rFonts w:ascii="Open Sans" w:hAnsi="Open Sans" w:cs="Open Sans"/>
                <w:lang w:val="fr-FR"/>
              </w:rPr>
              <w:t>Consommation électrique ;</w:t>
            </w:r>
          </w:p>
          <w:p w14:paraId="4EFBE05E" w14:textId="77777777" w:rsidR="00C6496D" w:rsidRDefault="0075640B">
            <w:pPr>
              <w:pStyle w:val="Puces"/>
              <w:widowControl w:val="0"/>
              <w:numPr>
                <w:ilvl w:val="0"/>
                <w:numId w:val="12"/>
              </w:numPr>
              <w:ind w:hanging="589"/>
              <w:rPr>
                <w:rFonts w:ascii="Open Sans" w:hAnsi="Open Sans" w:cs="Open Sans"/>
                <w:lang w:val="fr-FR"/>
              </w:rPr>
            </w:pPr>
            <w:r>
              <w:rPr>
                <w:rFonts w:ascii="Open Sans" w:hAnsi="Open Sans" w:cs="Open Sans"/>
                <w:lang w:val="fr-FR"/>
              </w:rPr>
              <w:t>Maintenance et relevés à distance de tous les compteurs d'énergie ;</w:t>
            </w:r>
          </w:p>
          <w:p w14:paraId="2FDB547C" w14:textId="77777777" w:rsidR="00C6496D" w:rsidRDefault="0075640B">
            <w:pPr>
              <w:pStyle w:val="Puces"/>
              <w:widowControl w:val="0"/>
              <w:numPr>
                <w:ilvl w:val="0"/>
                <w:numId w:val="13"/>
              </w:numPr>
              <w:ind w:hanging="589"/>
              <w:rPr>
                <w:rFonts w:ascii="Open Sans" w:hAnsi="Open Sans" w:cs="Open Sans"/>
                <w:lang w:val="fr-FR"/>
              </w:rPr>
            </w:pPr>
            <w:r>
              <w:rPr>
                <w:rFonts w:ascii="Open Sans" w:hAnsi="Open Sans" w:cs="Open Sans"/>
                <w:lang w:val="fr-FR"/>
              </w:rPr>
              <w:lastRenderedPageBreak/>
              <w:t>Contrat d'entretien et produits nécessaires au traitement de l'eau ;</w:t>
            </w:r>
          </w:p>
          <w:p w14:paraId="0C44E6D3" w14:textId="77777777" w:rsidR="00C6496D" w:rsidRDefault="0075640B">
            <w:pPr>
              <w:pStyle w:val="Puces"/>
              <w:widowControl w:val="0"/>
              <w:numPr>
                <w:ilvl w:val="0"/>
                <w:numId w:val="14"/>
              </w:numPr>
              <w:ind w:hanging="589"/>
              <w:rPr>
                <w:rFonts w:ascii="Open Sans" w:hAnsi="Open Sans" w:cs="Open Sans"/>
                <w:lang w:val="fr-FR"/>
              </w:rPr>
            </w:pPr>
            <w:r>
              <w:rPr>
                <w:rFonts w:ascii="Open Sans" w:hAnsi="Open Sans" w:cs="Open Sans"/>
                <w:lang w:val="fr-FR"/>
              </w:rPr>
              <w:t>Ventilation parking ;</w:t>
            </w:r>
          </w:p>
          <w:p w14:paraId="4A57F4F5" w14:textId="77777777" w:rsidR="00C6496D" w:rsidRDefault="0075640B">
            <w:pPr>
              <w:pStyle w:val="Puces"/>
              <w:widowControl w:val="0"/>
              <w:numPr>
                <w:ilvl w:val="0"/>
                <w:numId w:val="15"/>
              </w:numPr>
              <w:ind w:hanging="589"/>
              <w:rPr>
                <w:rFonts w:ascii="Open Sans" w:hAnsi="Open Sans" w:cs="Open Sans"/>
                <w:lang w:val="fr-FR"/>
              </w:rPr>
            </w:pPr>
            <w:r>
              <w:rPr>
                <w:rFonts w:ascii="Open Sans" w:hAnsi="Open Sans" w:cs="Open Sans"/>
                <w:lang w:val="fr-FR"/>
              </w:rPr>
              <w:t>Porte automatique garage ;</w:t>
            </w:r>
          </w:p>
          <w:p w14:paraId="2B5D3FB6" w14:textId="77777777" w:rsidR="00C6496D" w:rsidRDefault="0075640B">
            <w:pPr>
              <w:pStyle w:val="Puces"/>
              <w:widowControl w:val="0"/>
              <w:numPr>
                <w:ilvl w:val="0"/>
                <w:numId w:val="16"/>
              </w:numPr>
              <w:ind w:hanging="589"/>
              <w:rPr>
                <w:rFonts w:ascii="Open Sans" w:hAnsi="Open Sans" w:cs="Open Sans"/>
                <w:lang w:val="fr-FR"/>
              </w:rPr>
            </w:pPr>
            <w:r>
              <w:rPr>
                <w:rFonts w:ascii="Open Sans" w:hAnsi="Open Sans" w:cs="Open Sans"/>
                <w:lang w:val="fr-FR"/>
              </w:rPr>
              <w:t>Le paiement d’éventuels auxiliaires (jardinier, agent de sécurité, etc.) ;</w:t>
            </w:r>
          </w:p>
          <w:p w14:paraId="3361E164" w14:textId="77777777" w:rsidR="00C6496D" w:rsidRDefault="0075640B">
            <w:pPr>
              <w:pStyle w:val="Puces"/>
              <w:widowControl w:val="0"/>
              <w:numPr>
                <w:ilvl w:val="0"/>
                <w:numId w:val="17"/>
              </w:numPr>
              <w:ind w:hanging="589"/>
              <w:rPr>
                <w:rFonts w:ascii="Open Sans" w:hAnsi="Open Sans" w:cs="Open Sans"/>
                <w:lang w:val="fr-FR"/>
              </w:rPr>
            </w:pPr>
            <w:r>
              <w:rPr>
                <w:rFonts w:ascii="Open Sans" w:hAnsi="Open Sans" w:cs="Open Sans"/>
                <w:lang w:val="fr-FR"/>
              </w:rPr>
              <w:t>Les frais d’acquisition d’outils (tondeuse à gazon ou de mobilier) ;</w:t>
            </w:r>
          </w:p>
          <w:p w14:paraId="4D107C9D" w14:textId="77777777" w:rsidR="00C6496D" w:rsidRDefault="0075640B">
            <w:pPr>
              <w:pStyle w:val="Puces"/>
              <w:widowControl w:val="0"/>
              <w:numPr>
                <w:ilvl w:val="0"/>
                <w:numId w:val="18"/>
              </w:numPr>
              <w:ind w:hanging="589"/>
              <w:rPr>
                <w:rFonts w:ascii="Open Sans" w:hAnsi="Open Sans" w:cs="Open Sans"/>
                <w:lang w:val="fr-FR"/>
              </w:rPr>
            </w:pPr>
            <w:r>
              <w:rPr>
                <w:rFonts w:ascii="Open Sans" w:hAnsi="Open Sans" w:cs="Open Sans"/>
                <w:lang w:val="fr-FR"/>
              </w:rPr>
              <w:t>Conciergerie ;</w:t>
            </w:r>
          </w:p>
          <w:p w14:paraId="0C897139" w14:textId="77777777" w:rsidR="00C6496D" w:rsidRDefault="0075640B">
            <w:pPr>
              <w:pStyle w:val="Puces"/>
              <w:widowControl w:val="0"/>
              <w:numPr>
                <w:ilvl w:val="0"/>
                <w:numId w:val="19"/>
              </w:numPr>
              <w:ind w:hanging="589"/>
              <w:rPr>
                <w:rFonts w:ascii="Open Sans" w:hAnsi="Open Sans" w:cs="Open Sans"/>
                <w:lang w:val="fr-FR"/>
              </w:rPr>
            </w:pPr>
            <w:r>
              <w:rPr>
                <w:rFonts w:ascii="Open Sans" w:hAnsi="Open Sans" w:cs="Open Sans"/>
                <w:lang w:val="fr-FR"/>
              </w:rPr>
              <w:t>Abonnement pour les téléphones dans les ascenseurs ;</w:t>
            </w:r>
          </w:p>
          <w:p w14:paraId="0FC9578D" w14:textId="77777777" w:rsidR="00C6496D" w:rsidRDefault="0075640B">
            <w:pPr>
              <w:pStyle w:val="Puces"/>
              <w:widowControl w:val="0"/>
              <w:numPr>
                <w:ilvl w:val="0"/>
                <w:numId w:val="20"/>
              </w:numPr>
              <w:ind w:hanging="589"/>
              <w:rPr>
                <w:rFonts w:ascii="Open Sans" w:hAnsi="Open Sans" w:cs="Open Sans"/>
                <w:lang w:val="fr-FR"/>
              </w:rPr>
            </w:pPr>
            <w:r>
              <w:rPr>
                <w:rFonts w:ascii="Open Sans" w:hAnsi="Open Sans" w:cs="Open Sans"/>
                <w:lang w:val="fr-FR"/>
              </w:rPr>
              <w:t>Abonnement ascenseurs ;</w:t>
            </w:r>
          </w:p>
          <w:p w14:paraId="3A306668" w14:textId="77777777" w:rsidR="00C6496D" w:rsidRDefault="0075640B">
            <w:pPr>
              <w:pStyle w:val="Puces"/>
              <w:widowControl w:val="0"/>
              <w:numPr>
                <w:ilvl w:val="0"/>
                <w:numId w:val="21"/>
              </w:numPr>
              <w:ind w:hanging="589"/>
              <w:rPr>
                <w:rFonts w:ascii="Open Sans" w:hAnsi="Open Sans" w:cs="Open Sans"/>
                <w:lang w:val="fr-FR"/>
              </w:rPr>
            </w:pPr>
            <w:r>
              <w:rPr>
                <w:rFonts w:ascii="Open Sans" w:hAnsi="Open Sans" w:cs="Open Sans"/>
                <w:lang w:val="fr-FR"/>
              </w:rPr>
              <w:t>Révision et entretien des extincteurs ;</w:t>
            </w:r>
          </w:p>
          <w:p w14:paraId="6DD587BC" w14:textId="77777777" w:rsidR="00C6496D" w:rsidRDefault="0075640B">
            <w:pPr>
              <w:pStyle w:val="Puces"/>
              <w:widowControl w:val="0"/>
              <w:numPr>
                <w:ilvl w:val="0"/>
                <w:numId w:val="22"/>
              </w:numPr>
              <w:ind w:hanging="589"/>
              <w:rPr>
                <w:rFonts w:ascii="Open Sans" w:hAnsi="Open Sans" w:cs="Open Sans"/>
                <w:lang w:val="fr-FR"/>
              </w:rPr>
            </w:pPr>
            <w:r>
              <w:rPr>
                <w:rFonts w:ascii="Open Sans" w:hAnsi="Open Sans" w:cs="Open Sans"/>
                <w:lang w:val="fr-FR"/>
              </w:rPr>
              <w:t>Éclairages de secours ;</w:t>
            </w:r>
          </w:p>
          <w:p w14:paraId="33C51CFA" w14:textId="77777777" w:rsidR="00C6496D" w:rsidRDefault="0075640B">
            <w:pPr>
              <w:pStyle w:val="Puces"/>
              <w:widowControl w:val="0"/>
              <w:numPr>
                <w:ilvl w:val="0"/>
                <w:numId w:val="23"/>
              </w:numPr>
              <w:ind w:hanging="589"/>
              <w:rPr>
                <w:rFonts w:ascii="Open Sans" w:hAnsi="Open Sans" w:cs="Open Sans"/>
                <w:lang w:val="fr-FR"/>
              </w:rPr>
            </w:pPr>
            <w:r>
              <w:rPr>
                <w:rFonts w:ascii="Open Sans" w:hAnsi="Open Sans" w:cs="Open Sans"/>
                <w:lang w:val="fr-FR"/>
              </w:rPr>
              <w:t>Exutoire de fumées ;</w:t>
            </w:r>
          </w:p>
          <w:p w14:paraId="2BF56908" w14:textId="77777777" w:rsidR="00C6496D" w:rsidRDefault="00C6496D">
            <w:pPr>
              <w:pStyle w:val="Puces"/>
              <w:widowControl w:val="0"/>
              <w:numPr>
                <w:ilvl w:val="0"/>
                <w:numId w:val="0"/>
              </w:numPr>
              <w:ind w:left="1418" w:hanging="567"/>
              <w:rPr>
                <w:rFonts w:ascii="Open Sans" w:hAnsi="Open Sans" w:cs="Open Sans"/>
                <w:lang w:val="fr-FR"/>
              </w:rPr>
            </w:pPr>
          </w:p>
          <w:p w14:paraId="00CB12F4" w14:textId="77777777" w:rsidR="00C6496D" w:rsidRDefault="0075640B">
            <w:pPr>
              <w:pStyle w:val="Puces"/>
              <w:widowControl w:val="0"/>
              <w:numPr>
                <w:ilvl w:val="0"/>
                <w:numId w:val="3"/>
              </w:numPr>
              <w:rPr>
                <w:rFonts w:ascii="Open Sans" w:hAnsi="Open Sans" w:cs="Open Sans"/>
                <w:b/>
                <w:bCs/>
                <w:lang w:val="fr-FR"/>
              </w:rPr>
            </w:pPr>
            <w:r>
              <w:rPr>
                <w:rFonts w:ascii="Open Sans" w:hAnsi="Open Sans" w:cs="Open Sans"/>
                <w:b/>
                <w:bCs/>
                <w:lang w:val="fr-FR"/>
              </w:rPr>
              <w:t>Fiscalité</w:t>
            </w:r>
          </w:p>
          <w:p w14:paraId="09A2D33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L’impôt foncier est à charge de l’usufruitier.</w:t>
            </w:r>
          </w:p>
          <w:p w14:paraId="468D9DC7"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lors de la vente</w:t>
            </w:r>
          </w:p>
          <w:p w14:paraId="41EAB47F"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gains immobiliers – IGI (exclusivement cantonal et communal)</w:t>
            </w:r>
          </w:p>
          <w:p w14:paraId="641B3C29" w14:textId="77777777" w:rsidR="00C6496D" w:rsidRDefault="0075640B">
            <w:pPr>
              <w:pStyle w:val="Puces"/>
              <w:widowControl w:val="0"/>
              <w:numPr>
                <w:ilvl w:val="0"/>
                <w:numId w:val="24"/>
              </w:numPr>
              <w:ind w:hanging="589"/>
              <w:rPr>
                <w:rFonts w:ascii="Open Sans" w:hAnsi="Open Sans" w:cs="Open Sans"/>
              </w:rPr>
            </w:pPr>
            <w:r>
              <w:rPr>
                <w:rFonts w:ascii="Open Sans" w:hAnsi="Open Sans" w:cs="Open Sans"/>
              </w:rPr>
              <w:t>Imposition à la date du transfert immobilier</w:t>
            </w:r>
          </w:p>
          <w:p w14:paraId="03DFCA70" w14:textId="77777777" w:rsidR="00C6496D" w:rsidRDefault="0075640B">
            <w:pPr>
              <w:pStyle w:val="Puces"/>
              <w:widowControl w:val="0"/>
              <w:rPr>
                <w:rFonts w:ascii="Open Sans" w:hAnsi="Open Sans" w:cs="Open Sans"/>
              </w:rPr>
            </w:pPr>
            <w:r>
              <w:rPr>
                <w:rFonts w:ascii="Open Sans" w:hAnsi="Open Sans" w:cs="Open Sans"/>
              </w:rPr>
              <w:t>La différence entre le produit d'aliénation et le prix d'acquisition (ou l'estimation fiscale) y compris les impenses est soumis à l'IGI.</w:t>
            </w:r>
          </w:p>
          <w:p w14:paraId="3B65E07D" w14:textId="77777777" w:rsidR="00C6496D" w:rsidRDefault="0075640B">
            <w:pPr>
              <w:pStyle w:val="Puces"/>
              <w:widowControl w:val="0"/>
              <w:rPr>
                <w:rFonts w:ascii="Open Sans" w:hAnsi="Open Sans" w:cs="Open Sans"/>
              </w:rPr>
            </w:pPr>
            <w:r>
              <w:rPr>
                <w:rFonts w:ascii="Open Sans" w:hAnsi="Open Sans" w:cs="Open Sans"/>
              </w:rPr>
              <w:t>Le produit d'aliénation se compose des éléments suivants :</w:t>
            </w:r>
          </w:p>
          <w:p w14:paraId="4E61DEEC" w14:textId="77777777" w:rsidR="00C6496D" w:rsidRDefault="0075640B">
            <w:pPr>
              <w:pStyle w:val="Puces"/>
              <w:widowControl w:val="0"/>
              <w:numPr>
                <w:ilvl w:val="1"/>
                <w:numId w:val="4"/>
              </w:numPr>
              <w:rPr>
                <w:rFonts w:ascii="Open Sans" w:hAnsi="Open Sans" w:cs="Open Sans"/>
              </w:rPr>
            </w:pPr>
            <w:r>
              <w:rPr>
                <w:rFonts w:ascii="Open Sans" w:hAnsi="Open Sans" w:cs="Open Sans"/>
              </w:rPr>
              <w:t>Le capital initial (bouquet)</w:t>
            </w:r>
          </w:p>
          <w:p w14:paraId="1BB1D077" w14:textId="77777777" w:rsidR="00C6496D" w:rsidRDefault="0075640B">
            <w:pPr>
              <w:pStyle w:val="Puces"/>
              <w:widowControl w:val="0"/>
              <w:numPr>
                <w:ilvl w:val="1"/>
                <w:numId w:val="4"/>
              </w:numPr>
              <w:rPr>
                <w:rFonts w:ascii="Open Sans" w:hAnsi="Open Sans" w:cs="Open Sans"/>
              </w:rPr>
            </w:pPr>
            <w:r>
              <w:rPr>
                <w:rFonts w:ascii="Open Sans" w:hAnsi="Open Sans" w:cs="Open Sans"/>
              </w:rPr>
              <w:t>La rente viagère capitalisée</w:t>
            </w:r>
          </w:p>
          <w:p w14:paraId="0F9718B6" w14:textId="77777777" w:rsidR="00C6496D" w:rsidRDefault="0075640B">
            <w:pPr>
              <w:pStyle w:val="Puces"/>
              <w:widowControl w:val="0"/>
              <w:numPr>
                <w:ilvl w:val="1"/>
                <w:numId w:val="4"/>
              </w:numPr>
              <w:rPr>
                <w:rFonts w:ascii="Open Sans" w:hAnsi="Open Sans" w:cs="Open Sans"/>
              </w:rPr>
            </w:pPr>
            <w:r>
              <w:rPr>
                <w:rFonts w:ascii="Open Sans" w:hAnsi="Open Sans" w:cs="Open Sans"/>
              </w:rPr>
              <w:t>La valeur capitalisée de l'usufruit (viager occupé)</w:t>
            </w:r>
          </w:p>
          <w:p w14:paraId="329BA96D" w14:textId="77777777" w:rsidR="00C6496D" w:rsidRDefault="0075640B">
            <w:pPr>
              <w:pStyle w:val="Puces"/>
              <w:widowControl w:val="0"/>
              <w:rPr>
                <w:rFonts w:ascii="Open Sans" w:hAnsi="Open Sans" w:cs="Open Sans"/>
              </w:rPr>
            </w:pPr>
            <w:r>
              <w:rPr>
                <w:rFonts w:ascii="Open Sans" w:hAnsi="Open Sans" w:cs="Open Sans"/>
              </w:rPr>
              <w:t>Le Taux d’imposition dépend du domicile de l’immeuble.</w:t>
            </w:r>
          </w:p>
          <w:p w14:paraId="18BF93FD" w14:textId="77777777" w:rsidR="00C6496D" w:rsidRDefault="0075640B">
            <w:pPr>
              <w:pStyle w:val="Puces"/>
              <w:widowControl w:val="0"/>
              <w:numPr>
                <w:ilvl w:val="1"/>
                <w:numId w:val="4"/>
              </w:numPr>
              <w:rPr>
                <w:rFonts w:ascii="Open Sans" w:hAnsi="Open Sans" w:cs="Open Sans"/>
              </w:rPr>
            </w:pPr>
            <w:r>
              <w:rPr>
                <w:rFonts w:ascii="Open Sans" w:hAnsi="Open Sans" w:cs="Open Sans"/>
              </w:rPr>
              <w:t>Par exemple sur Vaud : 30% (jusqu'à 1 an) jusqu'à 7% (dès 24 ans) en fonction de la durée de possession</w:t>
            </w:r>
          </w:p>
          <w:p w14:paraId="089D1F24" w14:textId="77777777" w:rsidR="00C6496D" w:rsidRDefault="0075640B">
            <w:pPr>
              <w:pStyle w:val="Puces"/>
              <w:widowControl w:val="0"/>
              <w:numPr>
                <w:ilvl w:val="1"/>
                <w:numId w:val="4"/>
              </w:numPr>
              <w:rPr>
                <w:rFonts w:ascii="Open Sans" w:hAnsi="Open Sans" w:cs="Open Sans"/>
              </w:rPr>
            </w:pPr>
            <w:r>
              <w:rPr>
                <w:rFonts w:ascii="Open Sans" w:hAnsi="Open Sans" w:cs="Open Sans"/>
              </w:rPr>
              <w:t>Autre exemple sur Genève : de 50% à 0% (dès 26 ans) en fonction de la durée de possession.</w:t>
            </w:r>
          </w:p>
          <w:p w14:paraId="0EC04D78"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durant le viager</w:t>
            </w:r>
          </w:p>
          <w:p w14:paraId="0268C09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w:t>
            </w:r>
          </w:p>
          <w:p w14:paraId="07B081ED" w14:textId="77777777" w:rsidR="00C6496D" w:rsidRDefault="0075640B">
            <w:pPr>
              <w:pStyle w:val="Puces"/>
              <w:widowControl w:val="0"/>
              <w:numPr>
                <w:ilvl w:val="0"/>
                <w:numId w:val="25"/>
              </w:numPr>
              <w:ind w:hanging="589"/>
              <w:rPr>
                <w:rFonts w:ascii="Open Sans" w:hAnsi="Open Sans" w:cs="Open Sans"/>
                <w:lang w:val="fr-FR" w:eastAsia="fr-FR"/>
              </w:rPr>
            </w:pPr>
            <w:r>
              <w:rPr>
                <w:rFonts w:ascii="Open Sans" w:hAnsi="Open Sans" w:cs="Open Sans"/>
                <w:lang w:val="fr-FR" w:eastAsia="fr-FR"/>
              </w:rPr>
              <w:t>Rente viagère : Imposition à raison de 40% (imposition de la part d'intérêt)</w:t>
            </w:r>
          </w:p>
          <w:p w14:paraId="19750F42" w14:textId="77777777" w:rsidR="00C6496D" w:rsidRDefault="0075640B">
            <w:pPr>
              <w:pStyle w:val="Puces"/>
              <w:widowControl w:val="0"/>
              <w:numPr>
                <w:ilvl w:val="0"/>
                <w:numId w:val="26"/>
              </w:numPr>
              <w:ind w:hanging="589"/>
              <w:rPr>
                <w:rFonts w:ascii="Open Sans" w:hAnsi="Open Sans" w:cs="Open Sans"/>
                <w:lang w:val="fr-FR" w:eastAsia="fr-FR"/>
              </w:rPr>
            </w:pPr>
            <w:r>
              <w:rPr>
                <w:rFonts w:ascii="Open Sans" w:hAnsi="Open Sans" w:cs="Open Sans"/>
                <w:lang w:val="fr-FR" w:eastAsia="fr-FR"/>
              </w:rPr>
              <w:t>Usufruit : Imposition de la valeur locative / loyer encaissé par l'usufruitier le cas échéant</w:t>
            </w:r>
          </w:p>
          <w:p w14:paraId="3AD71D40" w14:textId="77777777" w:rsidR="00C6496D" w:rsidRDefault="0075640B">
            <w:pPr>
              <w:pStyle w:val="Puces"/>
              <w:widowControl w:val="0"/>
              <w:numPr>
                <w:ilvl w:val="0"/>
                <w:numId w:val="27"/>
              </w:numPr>
              <w:ind w:hanging="589"/>
              <w:rPr>
                <w:rFonts w:ascii="Open Sans" w:hAnsi="Open Sans" w:cs="Open Sans"/>
                <w:lang w:val="fr-FR" w:eastAsia="fr-FR"/>
              </w:rPr>
            </w:pPr>
            <w:r>
              <w:rPr>
                <w:rFonts w:ascii="Open Sans" w:hAnsi="Open Sans" w:cs="Open Sans"/>
                <w:lang w:val="fr-FR" w:eastAsia="fr-FR"/>
              </w:rPr>
              <w:t>Intérêts hypothécaires &amp; frais d'entretien du bien immobilier déductibles (frais d'entretien ordinaires, impôts et taxes, primes d'assurances)</w:t>
            </w:r>
          </w:p>
          <w:p w14:paraId="6989F960"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w:t>
            </w:r>
          </w:p>
          <w:p w14:paraId="6D30C737" w14:textId="77777777" w:rsidR="00C6496D" w:rsidRDefault="0075640B">
            <w:pPr>
              <w:pStyle w:val="Puces"/>
              <w:widowControl w:val="0"/>
              <w:numPr>
                <w:ilvl w:val="0"/>
                <w:numId w:val="28"/>
              </w:numPr>
              <w:ind w:hanging="589"/>
              <w:rPr>
                <w:rFonts w:ascii="Open Sans" w:hAnsi="Open Sans" w:cs="Open Sans"/>
                <w:lang w:val="fr-FR" w:eastAsia="fr-FR"/>
              </w:rPr>
            </w:pPr>
            <w:r>
              <w:rPr>
                <w:rFonts w:ascii="Open Sans" w:hAnsi="Open Sans" w:cs="Open Sans"/>
                <w:lang w:val="fr-FR" w:eastAsia="fr-FR"/>
              </w:rPr>
              <w:t>Fortune mobilière (Etat des titres et des créances) : Solde au 31 décembre du bouquet (capital initial)</w:t>
            </w:r>
          </w:p>
          <w:p w14:paraId="0357860A" w14:textId="77777777" w:rsidR="00C6496D" w:rsidRDefault="0075640B">
            <w:pPr>
              <w:pStyle w:val="Puces"/>
              <w:widowControl w:val="0"/>
              <w:rPr>
                <w:rFonts w:ascii="Open Sans" w:hAnsi="Open Sans" w:cs="Open Sans"/>
                <w:lang w:val="fr-FR" w:eastAsia="fr-FR"/>
              </w:rPr>
            </w:pPr>
            <w:r>
              <w:rPr>
                <w:rFonts w:ascii="Open Sans" w:hAnsi="Open Sans" w:cs="Open Sans"/>
                <w:lang w:val="fr-FR" w:eastAsia="fr-FR"/>
              </w:rPr>
              <w:t>Usufruit : Estimation fiscale du bien est soumise à l'impôt sur la fortune. Les dettes hypothécaires y relatives sont déductibles.</w:t>
            </w:r>
          </w:p>
          <w:p w14:paraId="4FBDE741" w14:textId="77777777" w:rsidR="00C6496D" w:rsidRDefault="00C6496D">
            <w:pPr>
              <w:pStyle w:val="Sparation"/>
              <w:widowControl w:val="0"/>
              <w:ind w:left="0" w:firstLine="0"/>
              <w:rPr>
                <w:rFonts w:ascii="Open Sans" w:hAnsi="Open Sans" w:cs="Open Sans"/>
                <w:szCs w:val="20"/>
              </w:rPr>
            </w:pPr>
          </w:p>
          <w:p w14:paraId="435D763D"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en cas de décès de l’usufruitier (crédirentier)</w:t>
            </w:r>
          </w:p>
          <w:p w14:paraId="738DE2E4"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 : fin de l’assujettissement à l’impôt</w:t>
            </w:r>
          </w:p>
          <w:p w14:paraId="254631C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 : fin de l’assujettissement à l’impôt</w:t>
            </w:r>
          </w:p>
          <w:p w14:paraId="10F056F8"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successions : l’extinction d’usufruit n’est pas soumise à l’impôt sur les successions</w:t>
            </w:r>
          </w:p>
          <w:p w14:paraId="6F4519FE"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Succession :</w:t>
            </w:r>
          </w:p>
          <w:p w14:paraId="4903246D" w14:textId="77777777" w:rsidR="00C6496D" w:rsidRDefault="00C6496D">
            <w:pPr>
              <w:pStyle w:val="Paragraphedeliste"/>
              <w:widowControl w:val="0"/>
              <w:spacing w:after="0" w:line="240" w:lineRule="auto"/>
              <w:rPr>
                <w:rFonts w:ascii="Open Sans" w:hAnsi="Open Sans" w:cs="Open Sans"/>
                <w:sz w:val="20"/>
                <w:szCs w:val="20"/>
              </w:rPr>
            </w:pPr>
          </w:p>
          <w:p w14:paraId="18994CE1"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L’usufruit ne passe pas aux héritiers et s’éteint au décès de l’usufruitier ou de son conjoint.</w:t>
            </w:r>
          </w:p>
          <w:p w14:paraId="4C272110"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Le bien immobilier vendu n’entre pas dans la succession et les héritiers n’ont en principe pas de droit à cet égard. Ainsi, il est important de les en informer au préalable. </w:t>
            </w:r>
          </w:p>
          <w:p w14:paraId="142C4E0A" w14:textId="77777777" w:rsidR="00C6496D" w:rsidRDefault="00C6496D">
            <w:pPr>
              <w:widowControl w:val="0"/>
              <w:spacing w:after="0" w:line="240" w:lineRule="auto"/>
              <w:rPr>
                <w:rFonts w:ascii="Open Sans" w:hAnsi="Open Sans" w:cs="Open Sans"/>
                <w:sz w:val="20"/>
                <w:szCs w:val="20"/>
              </w:rPr>
            </w:pPr>
          </w:p>
          <w:p w14:paraId="02BA8657"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For : </w:t>
            </w:r>
          </w:p>
          <w:p w14:paraId="48C06DA1" w14:textId="77777777" w:rsidR="00C6496D" w:rsidRDefault="00C6496D">
            <w:pPr>
              <w:pStyle w:val="Paragraphedeliste"/>
              <w:widowControl w:val="0"/>
              <w:spacing w:after="0" w:line="240" w:lineRule="auto"/>
              <w:rPr>
                <w:rFonts w:ascii="Open Sans" w:hAnsi="Open Sans" w:cs="Open Sans"/>
                <w:b/>
                <w:bCs/>
                <w:sz w:val="20"/>
                <w:szCs w:val="20"/>
              </w:rPr>
            </w:pPr>
          </w:p>
          <w:p w14:paraId="193A91E9"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Le for juridique est à Lausanne.</w:t>
            </w:r>
          </w:p>
          <w:p w14:paraId="76FC48A5"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Toute modification des clauses ci-dessus doit faire l’objet d’un nouvel accord écrit accepté par les parties.</w:t>
            </w:r>
          </w:p>
          <w:p w14:paraId="477BDA34" w14:textId="77777777" w:rsidR="00C6496D" w:rsidRDefault="00C6496D">
            <w:pPr>
              <w:widowControl w:val="0"/>
              <w:spacing w:after="0" w:line="240" w:lineRule="auto"/>
              <w:rPr>
                <w:lang w:val="fr-FR" w:eastAsia="fr-FR"/>
              </w:rPr>
            </w:pPr>
          </w:p>
          <w:p w14:paraId="756EC4E5"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Utilisation des données récoltées </w:t>
            </w:r>
          </w:p>
          <w:p w14:paraId="35847463" w14:textId="77777777" w:rsidR="00C6496D" w:rsidRDefault="00C6496D">
            <w:pPr>
              <w:widowControl w:val="0"/>
              <w:spacing w:after="0" w:line="240" w:lineRule="auto"/>
              <w:rPr>
                <w:rFonts w:ascii="Open Sans" w:hAnsi="Open Sans" w:cs="Open Sans"/>
                <w:sz w:val="20"/>
                <w:szCs w:val="20"/>
              </w:rPr>
            </w:pPr>
          </w:p>
          <w:p w14:paraId="3571C2B9" w14:textId="77777777" w:rsidR="00C6496D" w:rsidRDefault="0075640B" w:rsidP="00F14212">
            <w:pPr>
              <w:widowControl w:val="0"/>
              <w:spacing w:after="0" w:line="240" w:lineRule="auto"/>
              <w:jc w:val="both"/>
              <w:rPr>
                <w:rFonts w:ascii="Open Sans" w:hAnsi="Open Sans" w:cs="Open Sans"/>
                <w:sz w:val="20"/>
                <w:szCs w:val="20"/>
              </w:rPr>
            </w:pPr>
            <w:r>
              <w:rPr>
                <w:rFonts w:ascii="Open Sans" w:eastAsia="Calibri" w:hAnsi="Open Sans" w:cs="Open Sans"/>
                <w:sz w:val="20"/>
                <w:szCs w:val="20"/>
              </w:rPr>
              <w:t xml:space="preserve">En sollicitant une simulation et/ou offre de la part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ou de la part de sociétés collaborant avec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(ii) Viage SA, (iii) </w:t>
            </w:r>
            <w:proofErr w:type="spellStart"/>
            <w:r>
              <w:rPr>
                <w:rFonts w:ascii="Open Sans" w:eastAsia="Calibri" w:hAnsi="Open Sans" w:cs="Open Sans"/>
                <w:sz w:val="20"/>
                <w:szCs w:val="20"/>
              </w:rPr>
              <w:t>GefiSwiss</w:t>
            </w:r>
            <w:proofErr w:type="spellEnd"/>
            <w:r>
              <w:rPr>
                <w:rFonts w:ascii="Open Sans" w:eastAsia="Calibri" w:hAnsi="Open Sans" w:cs="Open Sans"/>
                <w:sz w:val="20"/>
                <w:szCs w:val="20"/>
              </w:rPr>
              <w:t xml:space="preserve"> SA, (iv) l’auditeur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ainsi que (v) l’Autorité de surveillance des marchés financiers (FINMA).</w:t>
            </w:r>
          </w:p>
          <w:p w14:paraId="6847F4FE" w14:textId="77777777" w:rsidR="00C6496D" w:rsidRDefault="00C6496D">
            <w:pPr>
              <w:widowControl w:val="0"/>
              <w:spacing w:after="0" w:line="240" w:lineRule="auto"/>
              <w:rPr>
                <w:rFonts w:ascii="Open Sans" w:hAnsi="Open Sans" w:cs="Open Sans"/>
                <w:sz w:val="20"/>
                <w:szCs w:val="20"/>
              </w:rPr>
            </w:pPr>
          </w:p>
          <w:p w14:paraId="2B8EA08C" w14:textId="77777777" w:rsidR="00C6496D" w:rsidRDefault="00C6496D">
            <w:pPr>
              <w:widowControl w:val="0"/>
              <w:spacing w:after="0" w:line="240" w:lineRule="auto"/>
              <w:rPr>
                <w:rFonts w:ascii="Open Sans" w:hAnsi="Open Sans" w:cs="Open Sans"/>
                <w:sz w:val="20"/>
                <w:szCs w:val="20"/>
              </w:rPr>
            </w:pPr>
          </w:p>
          <w:p w14:paraId="19B1E065" w14:textId="77777777" w:rsidR="00C6496D" w:rsidRDefault="00C6496D">
            <w:pPr>
              <w:widowControl w:val="0"/>
              <w:spacing w:after="0" w:line="240" w:lineRule="auto"/>
              <w:rPr>
                <w:rFonts w:cstheme="minorHAnsi"/>
                <w:sz w:val="20"/>
                <w:szCs w:val="20"/>
              </w:rPr>
            </w:pPr>
          </w:p>
          <w:p w14:paraId="57FA4BBF" w14:textId="77777777" w:rsidR="00C6496D" w:rsidRDefault="0075640B">
            <w:pPr>
              <w:widowControl w:val="0"/>
              <w:spacing w:after="0" w:line="240" w:lineRule="auto"/>
              <w:rPr>
                <w:rFonts w:cstheme="minorHAnsi"/>
                <w:sz w:val="20"/>
                <w:szCs w:val="20"/>
              </w:rPr>
            </w:pPr>
            <w:r>
              <w:rPr>
                <w:rFonts w:eastAsia="Calibri" w:cstheme="minorHAnsi"/>
                <w:sz w:val="20"/>
                <w:szCs w:val="20"/>
              </w:rPr>
              <w:t>Fait à, le :</w:t>
            </w:r>
          </w:p>
          <w:p w14:paraId="3838BC0C" w14:textId="77777777" w:rsidR="00C6496D" w:rsidRDefault="00C6496D">
            <w:pPr>
              <w:widowControl w:val="0"/>
              <w:spacing w:after="0" w:line="240" w:lineRule="auto"/>
              <w:jc w:val="center"/>
              <w:rPr>
                <w:rFonts w:cstheme="minorHAnsi"/>
                <w:sz w:val="20"/>
                <w:szCs w:val="20"/>
              </w:rPr>
            </w:pPr>
          </w:p>
          <w:p w14:paraId="7392F425" w14:textId="77777777" w:rsidR="00C6496D" w:rsidRDefault="00C6496D">
            <w:pPr>
              <w:widowControl w:val="0"/>
              <w:spacing w:after="0" w:line="240" w:lineRule="auto"/>
              <w:jc w:val="center"/>
              <w:rPr>
                <w:rFonts w:cstheme="minorHAnsi"/>
                <w:sz w:val="20"/>
                <w:szCs w:val="20"/>
              </w:rPr>
            </w:pPr>
          </w:p>
          <w:p w14:paraId="67AD1CD6" w14:textId="77777777" w:rsidR="00C6496D" w:rsidRDefault="0075640B">
            <w:pPr>
              <w:widowControl w:val="0"/>
              <w:spacing w:after="0" w:line="240" w:lineRule="auto"/>
              <w:jc w:val="center"/>
              <w:rPr>
                <w:rFonts w:cstheme="minorHAnsi"/>
                <w:sz w:val="20"/>
                <w:szCs w:val="20"/>
              </w:rPr>
            </w:pPr>
            <w:r>
              <w:rPr>
                <w:rFonts w:eastAsia="Calibri" w:cstheme="minorHAnsi"/>
                <w:sz w:val="20"/>
                <w:szCs w:val="20"/>
              </w:rPr>
              <w:t>Signature du/des crédirentier(s) :</w:t>
            </w:r>
          </w:p>
          <w:p w14:paraId="77381F12" w14:textId="77777777" w:rsidR="00C6496D" w:rsidRDefault="00C6496D">
            <w:pPr>
              <w:widowControl w:val="0"/>
              <w:spacing w:after="0" w:line="240" w:lineRule="auto"/>
              <w:rPr>
                <w:rFonts w:cstheme="minorHAnsi"/>
                <w:sz w:val="20"/>
                <w:szCs w:val="20"/>
              </w:rPr>
            </w:pPr>
          </w:p>
          <w:p w14:paraId="3F0CF3DE" w14:textId="77777777" w:rsidR="00C6496D" w:rsidRDefault="00C6496D">
            <w:pPr>
              <w:widowControl w:val="0"/>
              <w:spacing w:after="0" w:line="240" w:lineRule="auto"/>
              <w:rPr>
                <w:rFonts w:cstheme="minorHAnsi"/>
                <w:sz w:val="20"/>
                <w:szCs w:val="20"/>
              </w:rPr>
            </w:pPr>
          </w:p>
          <w:p w14:paraId="6EF46F13" w14:textId="77777777" w:rsidR="00C6496D" w:rsidRDefault="00C6496D">
            <w:pPr>
              <w:widowControl w:val="0"/>
              <w:spacing w:after="0" w:line="240" w:lineRule="auto"/>
              <w:rPr>
                <w:rFonts w:cstheme="minorHAnsi"/>
                <w:sz w:val="20"/>
                <w:szCs w:val="20"/>
              </w:rPr>
            </w:pPr>
          </w:p>
          <w:p w14:paraId="32562D88" w14:textId="77777777" w:rsidR="00C6496D" w:rsidRDefault="00C6496D">
            <w:pPr>
              <w:widowControl w:val="0"/>
              <w:spacing w:after="0" w:line="240" w:lineRule="auto"/>
              <w:rPr>
                <w:rFonts w:cstheme="minorHAnsi"/>
                <w:sz w:val="20"/>
                <w:szCs w:val="20"/>
              </w:rPr>
            </w:pPr>
          </w:p>
          <w:p w14:paraId="2F1D772D" w14:textId="77777777" w:rsidR="00C6496D" w:rsidRDefault="00C6496D">
            <w:pPr>
              <w:widowControl w:val="0"/>
              <w:spacing w:after="0" w:line="240" w:lineRule="auto"/>
              <w:rPr>
                <w:rFonts w:cstheme="minorHAnsi"/>
                <w:sz w:val="20"/>
                <w:szCs w:val="20"/>
              </w:rPr>
            </w:pPr>
          </w:p>
          <w:p w14:paraId="1871B8BD" w14:textId="77777777" w:rsidR="00C6496D" w:rsidRDefault="00C6496D">
            <w:pPr>
              <w:widowControl w:val="0"/>
              <w:spacing w:after="0" w:line="240" w:lineRule="auto"/>
              <w:rPr>
                <w:rFonts w:cstheme="minorHAnsi"/>
                <w:sz w:val="20"/>
                <w:szCs w:val="20"/>
              </w:rPr>
            </w:pPr>
          </w:p>
          <w:p w14:paraId="5DC8F7C3" w14:textId="77777777" w:rsidR="00C6496D" w:rsidRDefault="00C6496D">
            <w:pPr>
              <w:widowControl w:val="0"/>
              <w:spacing w:after="0" w:line="240" w:lineRule="auto"/>
              <w:rPr>
                <w:rFonts w:cstheme="minorHAnsi"/>
                <w:sz w:val="20"/>
                <w:szCs w:val="20"/>
              </w:rPr>
            </w:pPr>
          </w:p>
          <w:p w14:paraId="01D5CA29" w14:textId="77777777" w:rsidR="00C6496D" w:rsidRDefault="00C6496D">
            <w:pPr>
              <w:widowControl w:val="0"/>
              <w:spacing w:after="0" w:line="240" w:lineRule="auto"/>
              <w:rPr>
                <w:rFonts w:cstheme="minorHAnsi"/>
                <w:sz w:val="20"/>
                <w:szCs w:val="20"/>
              </w:rPr>
            </w:pPr>
          </w:p>
          <w:p w14:paraId="01B943F7" w14:textId="77777777" w:rsidR="00C6496D" w:rsidRDefault="00C6496D">
            <w:pPr>
              <w:widowControl w:val="0"/>
              <w:spacing w:after="0" w:line="240" w:lineRule="auto"/>
              <w:rPr>
                <w:rFonts w:cstheme="minorHAnsi"/>
                <w:sz w:val="20"/>
                <w:szCs w:val="20"/>
              </w:rPr>
            </w:pPr>
          </w:p>
          <w:p w14:paraId="3B710FA2" w14:textId="77777777" w:rsidR="00C6496D" w:rsidRDefault="00C6496D">
            <w:pPr>
              <w:widowControl w:val="0"/>
              <w:spacing w:after="0" w:line="240" w:lineRule="auto"/>
              <w:rPr>
                <w:rFonts w:cstheme="minorHAnsi"/>
                <w:sz w:val="20"/>
                <w:szCs w:val="20"/>
              </w:rPr>
            </w:pPr>
          </w:p>
          <w:p w14:paraId="7B718D77" w14:textId="77777777" w:rsidR="00C6496D" w:rsidRPr="0060361F" w:rsidRDefault="0075640B">
            <w:pPr>
              <w:widowControl w:val="0"/>
              <w:spacing w:after="0" w:line="240" w:lineRule="auto"/>
              <w:rPr>
                <w:rFonts w:cstheme="minorHAnsi"/>
              </w:rPr>
            </w:pPr>
            <w:r w:rsidRPr="0060361F">
              <w:rPr>
                <w:rFonts w:eastAsia="Calibri" w:cstheme="minorHAnsi"/>
              </w:rPr>
              <w:lastRenderedPageBreak/>
              <w:t>VIAGE SA</w:t>
            </w:r>
          </w:p>
          <w:p w14:paraId="4E4CFBB3" w14:textId="77777777" w:rsidR="00C6496D" w:rsidRPr="0060361F" w:rsidRDefault="0075640B">
            <w:pPr>
              <w:widowControl w:val="0"/>
              <w:spacing w:after="0" w:line="240" w:lineRule="auto"/>
              <w:rPr>
                <w:rFonts w:cstheme="minorHAnsi"/>
              </w:rPr>
            </w:pPr>
            <w:proofErr w:type="gramStart"/>
            <w:r w:rsidRPr="0060361F">
              <w:rPr>
                <w:rFonts w:eastAsia="Calibri" w:cstheme="minorHAnsi"/>
              </w:rPr>
              <w:t>rue</w:t>
            </w:r>
            <w:proofErr w:type="gramEnd"/>
            <w:r w:rsidRPr="0060361F">
              <w:rPr>
                <w:rFonts w:eastAsia="Calibri" w:cstheme="minorHAnsi"/>
              </w:rPr>
              <w:t xml:space="preserve"> des Pierres du Niton 17</w:t>
            </w:r>
          </w:p>
          <w:p w14:paraId="7A60EA66" w14:textId="77777777" w:rsidR="00C6496D" w:rsidRPr="0060361F" w:rsidRDefault="0075640B">
            <w:pPr>
              <w:widowControl w:val="0"/>
              <w:spacing w:after="0" w:line="240" w:lineRule="auto"/>
              <w:rPr>
                <w:rFonts w:cstheme="minorHAnsi"/>
              </w:rPr>
            </w:pPr>
            <w:r w:rsidRPr="0060361F">
              <w:rPr>
                <w:rFonts w:eastAsia="Calibri" w:cstheme="minorHAnsi"/>
              </w:rPr>
              <w:t>1207 Genève</w:t>
            </w:r>
          </w:p>
          <w:p w14:paraId="730D4C3A" w14:textId="77777777" w:rsidR="00C6496D" w:rsidRDefault="0075640B">
            <w:pPr>
              <w:widowControl w:val="0"/>
              <w:spacing w:after="0" w:line="240" w:lineRule="auto"/>
              <w:rPr>
                <w:rFonts w:cstheme="minorHAnsi"/>
                <w:sz w:val="20"/>
                <w:szCs w:val="20"/>
              </w:rPr>
            </w:pPr>
            <w:r w:rsidRPr="0060361F">
              <w:rPr>
                <w:rFonts w:eastAsia="Calibri" w:cstheme="minorHAnsi"/>
              </w:rPr>
              <w:t>T+ 41 22 314 53 33</w:t>
            </w:r>
          </w:p>
        </w:tc>
        <w:tc>
          <w:tcPr>
            <w:tcW w:w="263" w:type="dxa"/>
            <w:tcBorders>
              <w:top w:val="nil"/>
              <w:left w:val="nil"/>
              <w:bottom w:val="nil"/>
              <w:right w:val="nil"/>
            </w:tcBorders>
          </w:tcPr>
          <w:p w14:paraId="603252F7" w14:textId="77777777" w:rsidR="00C6496D" w:rsidRDefault="00C6496D">
            <w:pPr>
              <w:widowControl w:val="0"/>
              <w:spacing w:before="120" w:after="120" w:line="240" w:lineRule="auto"/>
              <w:rPr>
                <w:rFonts w:cstheme="minorHAnsi"/>
                <w:sz w:val="20"/>
                <w:szCs w:val="20"/>
              </w:rPr>
            </w:pPr>
          </w:p>
          <w:p w14:paraId="05A5BE5A" w14:textId="77777777" w:rsidR="00C6496D" w:rsidRDefault="00C6496D">
            <w:pPr>
              <w:widowControl w:val="0"/>
              <w:spacing w:before="120" w:after="120" w:line="240" w:lineRule="auto"/>
              <w:rPr>
                <w:rFonts w:cstheme="minorHAnsi"/>
                <w:sz w:val="20"/>
                <w:szCs w:val="20"/>
              </w:rPr>
            </w:pPr>
          </w:p>
          <w:p w14:paraId="42843665" w14:textId="77777777" w:rsidR="00C6496D" w:rsidRDefault="00C6496D">
            <w:pPr>
              <w:widowControl w:val="0"/>
              <w:spacing w:before="120" w:after="120" w:line="240" w:lineRule="auto"/>
              <w:rPr>
                <w:rFonts w:cstheme="minorHAnsi"/>
                <w:sz w:val="20"/>
                <w:szCs w:val="20"/>
              </w:rPr>
            </w:pPr>
          </w:p>
          <w:p w14:paraId="6527A744" w14:textId="77777777" w:rsidR="00C6496D" w:rsidRDefault="00C6496D">
            <w:pPr>
              <w:widowControl w:val="0"/>
              <w:spacing w:before="120" w:after="120" w:line="240" w:lineRule="auto"/>
              <w:rPr>
                <w:rFonts w:cstheme="minorHAnsi"/>
                <w:sz w:val="20"/>
                <w:szCs w:val="20"/>
              </w:rPr>
            </w:pPr>
          </w:p>
        </w:tc>
      </w:tr>
      <w:tr w:rsidR="00C6496D" w14:paraId="1EAF39C9" w14:textId="77777777">
        <w:tc>
          <w:tcPr>
            <w:tcW w:w="9198" w:type="dxa"/>
            <w:tcBorders>
              <w:top w:val="nil"/>
              <w:left w:val="nil"/>
              <w:bottom w:val="nil"/>
              <w:right w:val="nil"/>
            </w:tcBorders>
          </w:tcPr>
          <w:p w14:paraId="2F72C2BA" w14:textId="77777777" w:rsidR="00C6496D" w:rsidRDefault="00C6496D" w:rsidP="0060361F">
            <w:pPr>
              <w:widowControl w:val="0"/>
              <w:spacing w:before="120" w:after="120" w:line="240" w:lineRule="auto"/>
              <w:rPr>
                <w:rFonts w:cstheme="minorHAnsi"/>
                <w:sz w:val="20"/>
                <w:szCs w:val="20"/>
              </w:rPr>
            </w:pPr>
          </w:p>
          <w:p w14:paraId="60A53475" w14:textId="77777777" w:rsidR="00C6496D" w:rsidRDefault="00C6496D">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CDA5302" w14:textId="77777777" w:rsidR="00C6496D" w:rsidRDefault="00C6496D">
            <w:pPr>
              <w:widowControl w:val="0"/>
              <w:spacing w:after="0" w:line="240" w:lineRule="auto"/>
              <w:rPr>
                <w:rFonts w:ascii="Calibri" w:eastAsia="Calibri" w:hAnsi="Calibri"/>
              </w:rPr>
            </w:pPr>
          </w:p>
        </w:tc>
      </w:tr>
      <w:tr w:rsidR="00C6496D" w:rsidRPr="0060361F" w14:paraId="380351E7" w14:textId="77777777">
        <w:tc>
          <w:tcPr>
            <w:tcW w:w="9198" w:type="dxa"/>
            <w:tcBorders>
              <w:top w:val="nil"/>
              <w:left w:val="nil"/>
              <w:bottom w:val="nil"/>
              <w:right w:val="nil"/>
            </w:tcBorders>
          </w:tcPr>
          <w:p w14:paraId="4348A77D" w14:textId="1359A872" w:rsidR="00C6496D" w:rsidRPr="0060361F" w:rsidRDefault="00F14212">
            <w:pPr>
              <w:widowControl w:val="0"/>
              <w:spacing w:before="120" w:after="120" w:line="240" w:lineRule="auto"/>
              <w:jc w:val="right"/>
              <w:rPr>
                <w:rFonts w:cstheme="minorHAnsi"/>
              </w:rPr>
            </w:pPr>
            <w:r>
              <w:rPr>
                <w:rFonts w:eastAsia="Calibri" w:cstheme="minorHAnsi"/>
              </w:rPr>
              <w:t>11.10.2022</w:t>
            </w:r>
          </w:p>
        </w:tc>
        <w:tc>
          <w:tcPr>
            <w:tcW w:w="263" w:type="dxa"/>
            <w:tcBorders>
              <w:top w:val="nil"/>
              <w:left w:val="nil"/>
              <w:bottom w:val="nil"/>
              <w:right w:val="nil"/>
            </w:tcBorders>
          </w:tcPr>
          <w:p w14:paraId="554E4D96" w14:textId="77777777" w:rsidR="00C6496D" w:rsidRPr="0060361F" w:rsidRDefault="00C6496D">
            <w:pPr>
              <w:widowControl w:val="0"/>
              <w:spacing w:before="120" w:after="120" w:line="240" w:lineRule="auto"/>
              <w:rPr>
                <w:rFonts w:cstheme="minorHAnsi"/>
              </w:rPr>
            </w:pPr>
          </w:p>
        </w:tc>
      </w:tr>
      <w:tr w:rsidR="00C6496D" w:rsidRPr="0060361F" w14:paraId="04E642C8" w14:textId="77777777">
        <w:tc>
          <w:tcPr>
            <w:tcW w:w="9198" w:type="dxa"/>
            <w:tcBorders>
              <w:top w:val="nil"/>
              <w:left w:val="nil"/>
              <w:bottom w:val="nil"/>
              <w:right w:val="nil"/>
            </w:tcBorders>
          </w:tcPr>
          <w:p w14:paraId="7269DFA9" w14:textId="77777777" w:rsidR="00C6496D" w:rsidRPr="0060361F" w:rsidRDefault="0075640B">
            <w:pPr>
              <w:widowControl w:val="0"/>
              <w:spacing w:before="120" w:after="120" w:line="240" w:lineRule="auto"/>
              <w:rPr>
                <w:rFonts w:cstheme="minorHAnsi"/>
                <w:b/>
                <w:bCs/>
              </w:rPr>
            </w:pPr>
            <w:r w:rsidRPr="0060361F">
              <w:rPr>
                <w:rFonts w:eastAsia="Calibri" w:cstheme="minorHAnsi"/>
                <w:b/>
                <w:bCs/>
              </w:rPr>
              <w:t xml:space="preserve">Objet : Calcul du droit d’habitation </w:t>
            </w:r>
          </w:p>
        </w:tc>
        <w:tc>
          <w:tcPr>
            <w:tcW w:w="263" w:type="dxa"/>
            <w:tcBorders>
              <w:top w:val="nil"/>
              <w:left w:val="nil"/>
              <w:bottom w:val="nil"/>
              <w:right w:val="nil"/>
            </w:tcBorders>
          </w:tcPr>
          <w:p w14:paraId="62B640F1" w14:textId="77777777" w:rsidR="00C6496D" w:rsidRPr="0060361F" w:rsidRDefault="00C6496D">
            <w:pPr>
              <w:widowControl w:val="0"/>
              <w:spacing w:after="0" w:line="240" w:lineRule="auto"/>
              <w:rPr>
                <w:rFonts w:ascii="Calibri" w:eastAsia="Calibri" w:hAnsi="Calibri"/>
              </w:rPr>
            </w:pPr>
          </w:p>
        </w:tc>
      </w:tr>
    </w:tbl>
    <w:p w14:paraId="66E5BDC5" w14:textId="77777777" w:rsidR="00C6496D" w:rsidRPr="0060361F" w:rsidRDefault="00C6496D">
      <w:pPr>
        <w:jc w:val="both"/>
        <w:rPr>
          <w:rFonts w:cstheme="minorHAnsi"/>
        </w:rPr>
      </w:pPr>
    </w:p>
    <w:p w14:paraId="16AE0F60" w14:textId="77777777" w:rsidR="00C6496D" w:rsidRPr="0060361F" w:rsidRDefault="0075640B">
      <w:pPr>
        <w:jc w:val="both"/>
        <w:rPr>
          <w:rFonts w:cstheme="minorHAnsi"/>
        </w:rPr>
      </w:pPr>
      <w:r w:rsidRPr="0060361F">
        <w:rPr>
          <w:rFonts w:cstheme="minorHAnsi"/>
        </w:rPr>
        <w:t>Madame, Monsieur,</w:t>
      </w:r>
    </w:p>
    <w:p w14:paraId="3E95C87D" w14:textId="18FDA325" w:rsidR="00C6496D" w:rsidRDefault="0075640B">
      <w:pPr>
        <w:jc w:val="both"/>
        <w:rPr>
          <w:rFonts w:cstheme="minorHAnsi"/>
        </w:rPr>
      </w:pPr>
      <w:r w:rsidRPr="0060361F">
        <w:rPr>
          <w:rFonts w:cstheme="minorHAnsi"/>
        </w:rPr>
        <w:t xml:space="preserve">Veuillez trouver ci-dessous le calcul du droit d’habitation pour votre bien immobilier. </w:t>
      </w:r>
    </w:p>
    <w:p w14:paraId="5568795D" w14:textId="77777777" w:rsidR="0060361F" w:rsidRPr="0060361F" w:rsidRDefault="0060361F">
      <w:pPr>
        <w:jc w:val="both"/>
        <w:rPr>
          <w:rFonts w:cstheme="minorHAnsi"/>
        </w:rPr>
      </w:pPr>
    </w:p>
    <w:p w14:paraId="13394100" w14:textId="6FBDCB7E" w:rsidR="00C6496D" w:rsidRPr="0060361F" w:rsidRDefault="0075640B">
      <w:pPr>
        <w:ind w:firstLine="708"/>
        <w:jc w:val="both"/>
        <w:rPr>
          <w:rFonts w:cstheme="minorHAnsi"/>
        </w:rPr>
      </w:pPr>
      <w:r w:rsidRPr="0060361F">
        <w:rPr>
          <w:rFonts w:cstheme="minorHAnsi"/>
        </w:rPr>
        <w:t xml:space="preserve">Date estimée de la transaction : </w:t>
      </w:r>
      <w:r w:rsidR="006754B6" w:rsidRPr="0060361F">
        <w:rPr>
          <w:rFonts w:cstheme="minorHAnsi"/>
        </w:rPr>
        <w:t>15</w:t>
      </w:r>
      <w:r w:rsidRPr="0060361F">
        <w:rPr>
          <w:rFonts w:cstheme="minorHAnsi"/>
        </w:rPr>
        <w:t>/</w:t>
      </w:r>
      <w:r w:rsidR="006754B6" w:rsidRPr="0060361F">
        <w:rPr>
          <w:rFonts w:cstheme="minorHAnsi"/>
        </w:rPr>
        <w:t>0</w:t>
      </w:r>
      <w:r w:rsidRPr="0060361F">
        <w:rPr>
          <w:rFonts w:cstheme="minorHAnsi"/>
        </w:rPr>
        <w:t>1/202</w:t>
      </w:r>
      <w:r w:rsidR="006754B6" w:rsidRPr="0060361F">
        <w:rPr>
          <w:rFonts w:cstheme="minorHAnsi"/>
        </w:rPr>
        <w:t>3</w:t>
      </w:r>
    </w:p>
    <w:p w14:paraId="2C7E92A9" w14:textId="5962E511" w:rsidR="00C6496D" w:rsidRPr="0060361F" w:rsidRDefault="0075640B" w:rsidP="006754B6">
      <w:pPr>
        <w:ind w:firstLine="708"/>
        <w:jc w:val="both"/>
        <w:rPr>
          <w:rFonts w:cstheme="minorHAnsi"/>
        </w:rPr>
      </w:pPr>
      <w:r w:rsidRPr="0060361F">
        <w:rPr>
          <w:rFonts w:cstheme="minorHAnsi"/>
        </w:rPr>
        <w:t xml:space="preserve">Partenaire 1 : </w:t>
      </w:r>
      <w:proofErr w:type="gramStart"/>
      <w:r w:rsidRPr="0060361F">
        <w:rPr>
          <w:rFonts w:cstheme="minorHAnsi"/>
        </w:rPr>
        <w:t>M  …</w:t>
      </w:r>
      <w:proofErr w:type="gramEnd"/>
      <w:r w:rsidRPr="0060361F">
        <w:rPr>
          <w:rFonts w:cstheme="minorHAnsi"/>
        </w:rPr>
        <w:t xml:space="preserve"> ………………………………………………………… </w:t>
      </w:r>
      <w:r w:rsidR="006754B6" w:rsidRPr="0060361F">
        <w:rPr>
          <w:rFonts w:cstheme="minorHAnsi"/>
        </w:rPr>
        <w:t>27/01/1934</w:t>
      </w:r>
    </w:p>
    <w:p w14:paraId="13F912AE" w14:textId="67376BC4" w:rsidR="006754B6" w:rsidRPr="0060361F" w:rsidRDefault="006754B6" w:rsidP="006754B6">
      <w:pPr>
        <w:ind w:firstLine="708"/>
        <w:jc w:val="both"/>
        <w:rPr>
          <w:rFonts w:cstheme="minorHAnsi"/>
        </w:rPr>
      </w:pPr>
      <w:r w:rsidRPr="0060361F">
        <w:rPr>
          <w:rFonts w:cstheme="minorHAnsi"/>
        </w:rPr>
        <w:t xml:space="preserve">Partenaire 2 : </w:t>
      </w:r>
      <w:proofErr w:type="gramStart"/>
      <w:r w:rsidRPr="0060361F">
        <w:rPr>
          <w:rFonts w:cstheme="minorHAnsi"/>
        </w:rPr>
        <w:t>M  …</w:t>
      </w:r>
      <w:proofErr w:type="gramEnd"/>
      <w:r w:rsidRPr="0060361F">
        <w:rPr>
          <w:rFonts w:cstheme="minorHAnsi"/>
        </w:rPr>
        <w:t xml:space="preserve"> ………………………………………………………… 18/01/1937</w:t>
      </w:r>
    </w:p>
    <w:p w14:paraId="0ECD17FE" w14:textId="2E79AB2B" w:rsidR="00C6496D" w:rsidRPr="0060361F" w:rsidRDefault="0075640B">
      <w:pPr>
        <w:ind w:firstLine="708"/>
        <w:jc w:val="both"/>
        <w:rPr>
          <w:rFonts w:cstheme="minorHAnsi"/>
        </w:rPr>
      </w:pPr>
      <w:r w:rsidRPr="0060361F">
        <w:rPr>
          <w:rFonts w:cstheme="minorHAnsi"/>
        </w:rPr>
        <w:t>Adresse : …………………………………………………………………………………………….</w:t>
      </w:r>
    </w:p>
    <w:p w14:paraId="0CA86358" w14:textId="3CE5C849" w:rsidR="00A356D1" w:rsidRPr="0060361F" w:rsidRDefault="002A75B4">
      <w:pPr>
        <w:ind w:firstLine="708"/>
        <w:jc w:val="both"/>
        <w:rPr>
          <w:rFonts w:cstheme="minorHAnsi"/>
        </w:rPr>
      </w:pPr>
      <w:r w:rsidRPr="0060361F">
        <w:rPr>
          <w:rFonts w:cstheme="minorHAnsi"/>
        </w:rPr>
        <w:t xml:space="preserve">NPA/Ville : </w:t>
      </w:r>
      <w:r w:rsidR="00A356D1" w:rsidRPr="0060361F">
        <w:rPr>
          <w:rFonts w:cstheme="minorHAnsi"/>
        </w:rPr>
        <w:t>…………………………………………………………………………………………</w:t>
      </w:r>
      <w:r w:rsidRPr="0060361F">
        <w:rPr>
          <w:rFonts w:cstheme="minorHAnsi"/>
        </w:rPr>
        <w:t>.</w:t>
      </w:r>
    </w:p>
    <w:p w14:paraId="59DA2282" w14:textId="2DDBD902" w:rsidR="00A356D1" w:rsidRPr="0060361F" w:rsidRDefault="00A356D1">
      <w:pPr>
        <w:ind w:firstLine="708"/>
        <w:jc w:val="both"/>
        <w:rPr>
          <w:rFonts w:cstheme="minorHAnsi"/>
        </w:rPr>
      </w:pPr>
      <w:r w:rsidRPr="0060361F">
        <w:rPr>
          <w:rFonts w:cstheme="minorHAnsi"/>
        </w:rPr>
        <w:t>Frais de courtage 3% (HT)</w:t>
      </w:r>
    </w:p>
    <w:p w14:paraId="6620DF17" w14:textId="2AF90676" w:rsidR="00A356D1" w:rsidRPr="0060361F" w:rsidRDefault="00A356D1">
      <w:pPr>
        <w:ind w:firstLine="708"/>
        <w:jc w:val="both"/>
        <w:rPr>
          <w:rFonts w:cstheme="minorHAnsi"/>
        </w:rPr>
      </w:pPr>
      <w:r w:rsidRPr="0060361F">
        <w:rPr>
          <w:rFonts w:cstheme="minorHAnsi"/>
        </w:rPr>
        <w:t>Frais de mutation à la charge de l’acheteur</w:t>
      </w:r>
    </w:p>
    <w:p w14:paraId="6D1E2065" w14:textId="5181A356" w:rsidR="00C6496D" w:rsidRPr="0060361F" w:rsidRDefault="0075640B">
      <w:pPr>
        <w:ind w:firstLine="708"/>
        <w:jc w:val="both"/>
        <w:rPr>
          <w:rFonts w:cstheme="minorHAnsi"/>
        </w:rPr>
      </w:pPr>
      <w:r w:rsidRPr="0060361F">
        <w:rPr>
          <w:rFonts w:cstheme="minorHAnsi"/>
        </w:rPr>
        <w:t xml:space="preserve">Valeur estimée du bien : CHF </w:t>
      </w:r>
      <w:proofErr w:type="gramStart"/>
      <w:r w:rsidRPr="0060361F">
        <w:rPr>
          <w:rFonts w:cstheme="minorHAnsi"/>
        </w:rPr>
        <w:t>1,</w:t>
      </w:r>
      <w:r w:rsidR="006754B6" w:rsidRPr="0060361F">
        <w:rPr>
          <w:rFonts w:cstheme="minorHAnsi"/>
        </w:rPr>
        <w:t>92</w:t>
      </w:r>
      <w:r w:rsidRPr="0060361F">
        <w:rPr>
          <w:rFonts w:cstheme="minorHAnsi"/>
        </w:rPr>
        <w:t>0,000.-</w:t>
      </w:r>
      <w:proofErr w:type="gramEnd"/>
      <w:r w:rsidRPr="0060361F">
        <w:rPr>
          <w:rFonts w:cstheme="minorHAnsi"/>
        </w:rPr>
        <w:t xml:space="preserve">   Source : ……………………………</w:t>
      </w:r>
    </w:p>
    <w:p w14:paraId="37CDBA94" w14:textId="7344CCA1" w:rsidR="00C6496D" w:rsidRPr="0060361F" w:rsidRDefault="0075640B">
      <w:pPr>
        <w:ind w:firstLine="708"/>
        <w:jc w:val="both"/>
        <w:rPr>
          <w:rFonts w:cstheme="minorHAnsi"/>
        </w:rPr>
      </w:pPr>
      <w:r w:rsidRPr="0060361F">
        <w:rPr>
          <w:rFonts w:cstheme="minorHAnsi"/>
        </w:rPr>
        <w:t xml:space="preserve">Droit d’habitation : CHF </w:t>
      </w:r>
      <w:proofErr w:type="gramStart"/>
      <w:r w:rsidR="006754B6" w:rsidRPr="0060361F">
        <w:rPr>
          <w:rFonts w:cstheme="minorHAnsi"/>
        </w:rPr>
        <w:t>535</w:t>
      </w:r>
      <w:r w:rsidRPr="0060361F">
        <w:rPr>
          <w:rFonts w:cstheme="minorHAnsi"/>
        </w:rPr>
        <w:t>,000.-</w:t>
      </w:r>
      <w:proofErr w:type="gramEnd"/>
    </w:p>
    <w:p w14:paraId="6A7B8B37" w14:textId="5EDB30D7" w:rsidR="00C6496D" w:rsidRPr="0060361F" w:rsidRDefault="0075640B">
      <w:pPr>
        <w:ind w:firstLine="708"/>
        <w:jc w:val="both"/>
        <w:rPr>
          <w:rFonts w:cstheme="minorHAnsi"/>
        </w:rPr>
      </w:pPr>
      <w:r w:rsidRPr="0060361F">
        <w:rPr>
          <w:rFonts w:cstheme="minorHAnsi"/>
        </w:rPr>
        <w:t xml:space="preserve">Bouquet : CHF </w:t>
      </w:r>
      <w:proofErr w:type="gramStart"/>
      <w:r w:rsidR="006754B6" w:rsidRPr="0060361F">
        <w:rPr>
          <w:rFonts w:cstheme="minorHAnsi"/>
        </w:rPr>
        <w:t>1,385</w:t>
      </w:r>
      <w:r w:rsidRPr="0060361F">
        <w:rPr>
          <w:rFonts w:cstheme="minorHAnsi"/>
        </w:rPr>
        <w:t>,000.-</w:t>
      </w:r>
      <w:proofErr w:type="gramEnd"/>
    </w:p>
    <w:p w14:paraId="2098B9D0" w14:textId="77777777" w:rsidR="00C6496D" w:rsidRPr="0060361F" w:rsidRDefault="00C6496D">
      <w:pPr>
        <w:jc w:val="both"/>
        <w:rPr>
          <w:rFonts w:cstheme="minorHAnsi"/>
        </w:rPr>
      </w:pPr>
    </w:p>
    <w:p w14:paraId="1E1D2B91" w14:textId="77777777" w:rsidR="00C6496D" w:rsidRPr="0060361F" w:rsidRDefault="0075640B">
      <w:pPr>
        <w:jc w:val="both"/>
        <w:rPr>
          <w:rFonts w:cstheme="minorHAnsi"/>
        </w:rPr>
      </w:pPr>
      <w:r w:rsidRPr="0060361F">
        <w:rPr>
          <w:rFonts w:cstheme="minorHAnsi"/>
        </w:rPr>
        <w:t>Avec nos meilleures salutations,</w:t>
      </w:r>
    </w:p>
    <w:p w14:paraId="601D2CB2" w14:textId="5FAD8F62" w:rsidR="00C6496D" w:rsidRPr="0060361F" w:rsidRDefault="0075640B">
      <w:pPr>
        <w:rPr>
          <w:rFonts w:cstheme="minorHAnsi"/>
        </w:rPr>
      </w:pPr>
      <w:r w:rsidRPr="0060361F">
        <w:rPr>
          <w:rFonts w:cstheme="minorHAnsi"/>
        </w:rPr>
        <w:t xml:space="preserve">Viage SA         </w:t>
      </w:r>
      <w:r w:rsidRPr="0060361F">
        <w:rPr>
          <w:rFonts w:cstheme="minorHAnsi"/>
        </w:rPr>
        <w:tab/>
      </w:r>
      <w:r w:rsidRPr="0060361F">
        <w:rPr>
          <w:rFonts w:cstheme="minorHAnsi"/>
        </w:rPr>
        <w:tab/>
      </w:r>
      <w:r w:rsidRPr="0060361F">
        <w:rPr>
          <w:rFonts w:cstheme="minorHAnsi"/>
        </w:rPr>
        <w:tab/>
      </w:r>
      <w:r w:rsidRPr="0060361F">
        <w:rPr>
          <w:rFonts w:cstheme="minorHAnsi"/>
        </w:rPr>
        <w:tab/>
      </w:r>
      <w:r w:rsidRPr="0060361F">
        <w:rPr>
          <w:rFonts w:cstheme="minorHAnsi"/>
        </w:rPr>
        <w:tab/>
        <w:t>Fait à, le :</w:t>
      </w:r>
    </w:p>
    <w:p w14:paraId="5A488C64" w14:textId="2062995D" w:rsidR="00C6496D" w:rsidRPr="0060361F" w:rsidRDefault="0075640B">
      <w:pPr>
        <w:rPr>
          <w:rFonts w:cstheme="minorHAnsi"/>
        </w:rPr>
      </w:pPr>
      <w:r w:rsidRPr="0060361F">
        <w:rPr>
          <w:rFonts w:cstheme="minorHAnsi"/>
        </w:rPr>
        <w:t>(</w:t>
      </w:r>
      <w:proofErr w:type="gramStart"/>
      <w:r w:rsidRPr="0060361F">
        <w:rPr>
          <w:rFonts w:cstheme="minorHAnsi"/>
        </w:rPr>
        <w:t>avis</w:t>
      </w:r>
      <w:proofErr w:type="gramEnd"/>
      <w:r w:rsidRPr="0060361F">
        <w:rPr>
          <w:rFonts w:cstheme="minorHAnsi"/>
        </w:rPr>
        <w:t xml:space="preserve"> sans signature)</w:t>
      </w:r>
      <w:r w:rsidR="0060361F">
        <w:rPr>
          <w:rFonts w:cstheme="minorHAnsi"/>
        </w:rPr>
        <w:tab/>
      </w:r>
      <w:r w:rsidR="0060361F">
        <w:rPr>
          <w:rFonts w:cstheme="minorHAnsi"/>
        </w:rPr>
        <w:tab/>
      </w:r>
      <w:r w:rsidR="0060361F">
        <w:rPr>
          <w:rFonts w:cstheme="minorHAnsi"/>
        </w:rPr>
        <w:tab/>
      </w:r>
      <w:r w:rsidR="0060361F">
        <w:rPr>
          <w:rFonts w:cstheme="minorHAnsi"/>
        </w:rPr>
        <w:tab/>
      </w:r>
      <w:r w:rsidRPr="0060361F">
        <w:rPr>
          <w:rFonts w:cstheme="minorHAnsi"/>
        </w:rPr>
        <w:t>Signature du/des crédirentier(s) :</w:t>
      </w:r>
    </w:p>
    <w:p w14:paraId="7FEE39EB" w14:textId="53D96AD9" w:rsidR="004621A6" w:rsidRDefault="004621A6">
      <w:pPr>
        <w:rPr>
          <w:rFonts w:cstheme="minorHAnsi"/>
        </w:rPr>
      </w:pPr>
    </w:p>
    <w:p w14:paraId="56E4EE9B" w14:textId="77777777" w:rsidR="00A356D1" w:rsidRDefault="00A356D1">
      <w:pPr>
        <w:rPr>
          <w:rFonts w:cstheme="minorHAnsi"/>
        </w:rPr>
      </w:pPr>
    </w:p>
    <w:p w14:paraId="7D35920B" w14:textId="77777777" w:rsidR="004621A6" w:rsidRDefault="004621A6">
      <w:pPr>
        <w:rPr>
          <w:rFonts w:cstheme="minorHAnsi"/>
        </w:rPr>
      </w:pPr>
    </w:p>
    <w:p w14:paraId="0F38EAE3" w14:textId="77777777" w:rsidR="00C6496D" w:rsidRDefault="0075640B">
      <w:pPr>
        <w:spacing w:line="240" w:lineRule="auto"/>
        <w:jc w:val="both"/>
        <w:rPr>
          <w:rFonts w:cstheme="minorHAnsi"/>
          <w:sz w:val="20"/>
          <w:szCs w:val="20"/>
        </w:rPr>
      </w:pPr>
      <w:r>
        <w:rPr>
          <w:rFonts w:cstheme="minorHAnsi"/>
          <w:sz w:val="16"/>
          <w:szCs w:val="16"/>
        </w:rPr>
        <w:t xml:space="preserve">*Cette estimation n’est pas contractuelle. Elle est sous réserve d’une estimation officielle du bien et d’une acceptation du Conseil d’Administration de Viager </w:t>
      </w:r>
      <w:proofErr w:type="spellStart"/>
      <w:r>
        <w:rPr>
          <w:rFonts w:cstheme="minorHAnsi"/>
          <w:sz w:val="16"/>
          <w:szCs w:val="16"/>
        </w:rPr>
        <w:t>Swiss</w:t>
      </w:r>
      <w:proofErr w:type="spellEnd"/>
      <w:r>
        <w:rPr>
          <w:rFonts w:cstheme="minorHAnsi"/>
          <w:sz w:val="16"/>
          <w:szCs w:val="16"/>
        </w:rPr>
        <w:t xml:space="preserve"> SA associé indéfiniment responsable de Viager </w:t>
      </w:r>
      <w:proofErr w:type="spellStart"/>
      <w:r>
        <w:rPr>
          <w:rFonts w:cstheme="minorHAnsi"/>
          <w:sz w:val="16"/>
          <w:szCs w:val="16"/>
        </w:rPr>
        <w:t>Swiss</w:t>
      </w:r>
      <w:proofErr w:type="spellEnd"/>
      <w:r>
        <w:rPr>
          <w:rFonts w:cstheme="minorHAnsi"/>
          <w:sz w:val="16"/>
          <w:szCs w:val="16"/>
        </w:rPr>
        <w:t xml:space="preserve"> &amp; Cie </w:t>
      </w:r>
      <w:proofErr w:type="spellStart"/>
      <w:r>
        <w:rPr>
          <w:rFonts w:cstheme="minorHAnsi"/>
          <w:sz w:val="16"/>
          <w:szCs w:val="16"/>
        </w:rPr>
        <w:t>SCmPC</w:t>
      </w:r>
      <w:proofErr w:type="spellEnd"/>
      <w:r>
        <w:rPr>
          <w:rFonts w:cstheme="minorHAnsi"/>
          <w:sz w:val="16"/>
          <w:szCs w:val="16"/>
        </w:rPr>
        <w:t>.</w:t>
      </w:r>
    </w:p>
    <w:sectPr w:rsidR="00C6496D">
      <w:headerReference w:type="default" r:id="rId9"/>
      <w:footerReference w:type="default" r:id="rId10"/>
      <w:footerReference w:type="first" r:id="rId11"/>
      <w:pgSz w:w="11906" w:h="16838"/>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36C1" w14:textId="77777777" w:rsidR="0075640B" w:rsidRDefault="0075640B">
      <w:pPr>
        <w:spacing w:after="0" w:line="240" w:lineRule="auto"/>
      </w:pPr>
      <w:r>
        <w:separator/>
      </w:r>
    </w:p>
  </w:endnote>
  <w:endnote w:type="continuationSeparator" w:id="0">
    <w:p w14:paraId="47D18C1F" w14:textId="77777777" w:rsidR="0075640B" w:rsidRDefault="0075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Open Sans">
    <w:altName w:val="Open Sans"/>
    <w:charset w:val="00"/>
    <w:family w:val="swiss"/>
    <w:pitch w:val="variable"/>
    <w:sig w:usb0="E00002EF" w:usb1="4000205B" w:usb2="00000028" w:usb3="00000000" w:csb0="0000019F" w:csb1="00000000"/>
  </w:font>
  <w:font w:name="Branding Pro">
    <w:altName w:val="Cambria"/>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14:paraId="73A2B0B5" w14:textId="77777777" w:rsidR="00C6496D" w:rsidRDefault="0075640B">
        <w:pPr>
          <w:pStyle w:val="Pieddepage"/>
          <w:jc w:val="right"/>
        </w:pPr>
        <w:r>
          <w:fldChar w:fldCharType="begin"/>
        </w:r>
        <w:r>
          <w:instrText xml:space="preserve"> PAGE </w:instrText>
        </w:r>
        <w:r>
          <w:fldChar w:fldCharType="separate"/>
        </w:r>
        <w:r>
          <w:t>8</w:t>
        </w:r>
        <w:r>
          <w:fldChar w:fldCharType="end"/>
        </w:r>
      </w:p>
    </w:sdtContent>
  </w:sdt>
  <w:p w14:paraId="43621739"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2521CF22" w14:textId="77777777" w:rsidR="00C6496D" w:rsidRDefault="00C6496D">
    <w:pPr>
      <w:pStyle w:val="Pieddepage"/>
      <w:rPr>
        <w:rFonts w:ascii="Branding Pro" w:hAnsi="Branding Pro" w:cs="Calibri"/>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570E"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0BE08383" w14:textId="77777777" w:rsidR="00C6496D" w:rsidRDefault="00C64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19C5" w14:textId="77777777" w:rsidR="0075640B" w:rsidRDefault="0075640B">
      <w:pPr>
        <w:spacing w:after="0" w:line="240" w:lineRule="auto"/>
      </w:pPr>
      <w:r>
        <w:separator/>
      </w:r>
    </w:p>
  </w:footnote>
  <w:footnote w:type="continuationSeparator" w:id="0">
    <w:p w14:paraId="0491BB0D" w14:textId="77777777" w:rsidR="0075640B" w:rsidRDefault="0075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879A" w14:textId="77777777" w:rsidR="00C6496D" w:rsidRDefault="0075640B">
    <w:pPr>
      <w:pStyle w:val="En-tte"/>
    </w:pPr>
    <w:r>
      <w:rPr>
        <w:noProof/>
      </w:rPr>
      <w:drawing>
        <wp:inline distT="0" distB="0" distL="0" distR="0" wp14:anchorId="4C589D0B" wp14:editId="7E8D97E4">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3"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2"/>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lvlOverride w:ilvl="0">
      <w:startOverride w:val="1"/>
    </w:lvlOverride>
  </w:num>
  <w:num w:numId="26">
    <w:abstractNumId w:val="1"/>
  </w:num>
  <w:num w:numId="27">
    <w:abstractNumId w:val="1"/>
  </w:num>
  <w:num w:numId="28">
    <w:abstractNumId w:val="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2A75B4"/>
    <w:rsid w:val="003F6693"/>
    <w:rsid w:val="004621A6"/>
    <w:rsid w:val="0060361F"/>
    <w:rsid w:val="006754B6"/>
    <w:rsid w:val="0075640B"/>
    <w:rsid w:val="007708CA"/>
    <w:rsid w:val="007C20C2"/>
    <w:rsid w:val="00A356D1"/>
    <w:rsid w:val="00A91F3D"/>
    <w:rsid w:val="00C6496D"/>
    <w:rsid w:val="00F1421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1F00"/>
  <w15:docId w15:val="{87F50504-2CDF-4C57-A410-F882541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eastAsia="Times New Roman" w:hAnsi="Lato" w:cs="Times New Roman"/>
      <w:bCs/>
      <w:caps/>
      <w:color w:val="006888"/>
      <w:kern w:val="2"/>
      <w:sz w:val="24"/>
      <w:szCs w:val="20"/>
      <w:lang w:val="fr-FR"/>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eastAsia="Times New Roman" w:hAnsi="Lato" w:cs="Arial"/>
      <w:bCs/>
      <w:sz w:val="20"/>
      <w:szCs w:val="24"/>
      <w:lang w:val="fr-FR"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eastAsia="Times New Roman" w:hAnsi="Arial" w:cs="Arial"/>
      <w:sz w:val="20"/>
      <w:szCs w:val="24"/>
      <w:u w:val="single"/>
      <w:lang w:val="fr-FR"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eastAsia="Times New Roman" w:hAnsi="Arial" w:cs="Arial"/>
      <w:b/>
      <w:bCs/>
      <w:sz w:val="20"/>
      <w:szCs w:val="24"/>
      <w:lang w:val="fr-FR"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eastAsia="Times New Roman" w:hAnsi="Cambria" w:cs="Times New Roman"/>
      <w:b/>
      <w:bCs/>
      <w:i/>
      <w:iCs/>
      <w:sz w:val="26"/>
      <w:szCs w:val="26"/>
      <w:lang w:val="fr-FR"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eastAsia="Times New Roman" w:hAnsi="Cambria" w:cs="Times New Roman"/>
      <w:i/>
      <w:iCs/>
      <w:color w:val="243F60"/>
      <w:sz w:val="20"/>
      <w:szCs w:val="24"/>
      <w:lang w:val="fr-FR"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eastAsia="Times New Roman" w:hAnsi="Cambria" w:cs="Times New Roman"/>
      <w:i/>
      <w:iCs/>
      <w:color w:val="404040"/>
      <w:sz w:val="20"/>
      <w:szCs w:val="24"/>
      <w:lang w:val="fr-FR"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val="fr-FR"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046575"/>
  </w:style>
  <w:style w:type="character" w:customStyle="1" w:styleId="PieddepageCar">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customStyle="1" w:styleId="Titre1Car">
    <w:name w:val="Titre 1 Car"/>
    <w:basedOn w:val="Policepardfaut"/>
    <w:link w:val="Titre1"/>
    <w:qFormat/>
    <w:rsid w:val="00E21230"/>
    <w:rPr>
      <w:rFonts w:ascii="Lato" w:eastAsia="Times New Roman" w:hAnsi="Lato" w:cs="Times New Roman"/>
      <w:bCs/>
      <w:caps/>
      <w:color w:val="006888"/>
      <w:kern w:val="2"/>
      <w:sz w:val="24"/>
      <w:szCs w:val="20"/>
      <w:lang w:val="fr-FR"/>
    </w:rPr>
  </w:style>
  <w:style w:type="character" w:customStyle="1" w:styleId="Titre2Car">
    <w:name w:val="Titre 2 Car"/>
    <w:basedOn w:val="Policepardfaut"/>
    <w:link w:val="Titre2"/>
    <w:qFormat/>
    <w:rsid w:val="00E21230"/>
    <w:rPr>
      <w:rFonts w:ascii="Lato" w:eastAsia="Times New Roman" w:hAnsi="Lato" w:cs="Arial"/>
      <w:bCs/>
      <w:sz w:val="20"/>
      <w:szCs w:val="24"/>
      <w:lang w:val="fr-FR" w:eastAsia="fr-FR"/>
    </w:rPr>
  </w:style>
  <w:style w:type="character" w:customStyle="1" w:styleId="Titre3Car">
    <w:name w:val="Titre 3 Car"/>
    <w:basedOn w:val="Policepardfaut"/>
    <w:link w:val="Titre3"/>
    <w:qFormat/>
    <w:rsid w:val="00E21230"/>
    <w:rPr>
      <w:rFonts w:ascii="Arial" w:eastAsia="Times New Roman" w:hAnsi="Arial" w:cs="Arial"/>
      <w:sz w:val="20"/>
      <w:szCs w:val="24"/>
      <w:u w:val="single"/>
      <w:lang w:val="fr-FR" w:eastAsia="fr-FR"/>
    </w:rPr>
  </w:style>
  <w:style w:type="character" w:customStyle="1" w:styleId="Titre4Car">
    <w:name w:val="Titre 4 Car"/>
    <w:basedOn w:val="Policepardfaut"/>
    <w:link w:val="Titre4"/>
    <w:qFormat/>
    <w:rsid w:val="00E21230"/>
    <w:rPr>
      <w:rFonts w:ascii="Arial" w:eastAsia="Times New Roman" w:hAnsi="Arial" w:cs="Arial"/>
      <w:b/>
      <w:bCs/>
      <w:sz w:val="20"/>
      <w:szCs w:val="24"/>
      <w:lang w:val="fr-FR" w:eastAsia="fr-FR"/>
    </w:rPr>
  </w:style>
  <w:style w:type="character" w:customStyle="1" w:styleId="Titre5Car">
    <w:name w:val="Titre 5 Car"/>
    <w:basedOn w:val="Policepardfaut"/>
    <w:link w:val="Titre5"/>
    <w:uiPriority w:val="9"/>
    <w:qFormat/>
    <w:rsid w:val="00E21230"/>
    <w:rPr>
      <w:rFonts w:ascii="Cambria" w:eastAsia="Times New Roman" w:hAnsi="Cambria" w:cs="Times New Roman"/>
      <w:b/>
      <w:bCs/>
      <w:i/>
      <w:iCs/>
      <w:sz w:val="26"/>
      <w:szCs w:val="26"/>
      <w:lang w:val="fr-FR" w:eastAsia="fr-FR"/>
    </w:rPr>
  </w:style>
  <w:style w:type="character" w:customStyle="1" w:styleId="Titre6Car">
    <w:name w:val="Titre 6 Car"/>
    <w:basedOn w:val="Policepardfaut"/>
    <w:link w:val="Titre6"/>
    <w:uiPriority w:val="9"/>
    <w:semiHidden/>
    <w:qFormat/>
    <w:rsid w:val="00E21230"/>
    <w:rPr>
      <w:rFonts w:ascii="Cambria" w:eastAsia="Times New Roman" w:hAnsi="Cambria" w:cs="Times New Roman"/>
      <w:i/>
      <w:iCs/>
      <w:color w:val="243F60"/>
      <w:sz w:val="20"/>
      <w:szCs w:val="24"/>
      <w:lang w:val="fr-FR" w:eastAsia="fr-FR"/>
    </w:rPr>
  </w:style>
  <w:style w:type="character" w:customStyle="1" w:styleId="Titre7Car">
    <w:name w:val="Titre 7 Car"/>
    <w:basedOn w:val="Policepardfaut"/>
    <w:link w:val="Titre7"/>
    <w:uiPriority w:val="9"/>
    <w:semiHidden/>
    <w:qFormat/>
    <w:rsid w:val="00E21230"/>
    <w:rPr>
      <w:rFonts w:ascii="Cambria" w:eastAsia="Times New Roman" w:hAnsi="Cambria" w:cs="Times New Roman"/>
      <w:i/>
      <w:iCs/>
      <w:color w:val="404040"/>
      <w:sz w:val="20"/>
      <w:szCs w:val="24"/>
      <w:lang w:val="fr-FR" w:eastAsia="fr-FR"/>
    </w:rPr>
  </w:style>
  <w:style w:type="character" w:customStyle="1" w:styleId="Titre8Car">
    <w:name w:val="Titre 8 Car"/>
    <w:basedOn w:val="Policepardfaut"/>
    <w:link w:val="Titre8"/>
    <w:uiPriority w:val="9"/>
    <w:semiHidden/>
    <w:qFormat/>
    <w:rsid w:val="00E21230"/>
    <w:rPr>
      <w:rFonts w:ascii="Cambria" w:eastAsia="Times New Roman" w:hAnsi="Cambria" w:cs="Times New Roman"/>
      <w:color w:val="404040"/>
      <w:sz w:val="20"/>
      <w:szCs w:val="20"/>
      <w:lang w:val="fr-FR" w:eastAsia="fr-FR"/>
    </w:rPr>
  </w:style>
  <w:style w:type="character" w:customStyle="1" w:styleId="Titre9Car">
    <w:name w:val="Titre 9 Car"/>
    <w:basedOn w:val="Policepardfaut"/>
    <w:link w:val="Titre9"/>
    <w:uiPriority w:val="9"/>
    <w:semiHidden/>
    <w:qFormat/>
    <w:rsid w:val="00E21230"/>
    <w:rPr>
      <w:rFonts w:ascii="Cambria" w:eastAsia="Times New Roman" w:hAnsi="Cambria" w:cs="Times New Roman"/>
      <w:i/>
      <w:iCs/>
      <w:color w:val="404040"/>
      <w:sz w:val="20"/>
      <w:szCs w:val="20"/>
      <w:lang w:val="fr-FR" w:eastAsia="fr-FR"/>
    </w:rPr>
  </w:style>
  <w:style w:type="paragraph" w:customStyle="1" w:styleId="Heading">
    <w:name w:val="Heading"/>
    <w:basedOn w:val="Normal"/>
    <w:next w:val="Corpsdetexte"/>
    <w:qFormat/>
    <w:pPr>
      <w:keepNext/>
      <w:spacing w:before="240" w:after="120"/>
    </w:pPr>
    <w:rPr>
      <w:rFonts w:ascii="Liberation Sans" w:eastAsia="Noto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4"/>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hanging="851"/>
    </w:pPr>
    <w:rPr>
      <w:i/>
      <w:iCs/>
      <w:color w:val="00688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04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1529</Words>
  <Characters>8410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dc:description/>
  <cp:lastModifiedBy>Marie</cp:lastModifiedBy>
  <cp:revision>8</cp:revision>
  <cp:lastPrinted>2022-10-10T09:58:00Z</cp:lastPrinted>
  <dcterms:created xsi:type="dcterms:W3CDTF">2022-10-07T09:09:00Z</dcterms:created>
  <dcterms:modified xsi:type="dcterms:W3CDTF">2022-10-11T07:08:00Z</dcterms:modified>
  <dc:language>en-US</dc:language>
</cp:coreProperties>
</file>