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F793B" w14:textId="77777777" w:rsidR="00AC572F" w:rsidRDefault="00AC572F">
      <w:pPr>
        <w:spacing w:after="2000"/>
      </w:pPr>
    </w:p>
    <w:p w14:paraId="5A2AB4F5" w14:textId="7D1139E1" w:rsidR="00AC572F" w:rsidRDefault="00000000">
      <w:pPr>
        <w:spacing w:after="80"/>
        <w:jc w:val="center"/>
      </w:pPr>
      <w:r>
        <w:rPr>
          <w:color w:val="616161"/>
          <w:sz w:val="22"/>
          <w:szCs w:val="22"/>
        </w:rPr>
        <w:t xml:space="preserve">SENG </w:t>
      </w:r>
      <w:r w:rsidR="00FA1877">
        <w:rPr>
          <w:color w:val="616161"/>
          <w:sz w:val="22"/>
          <w:szCs w:val="22"/>
        </w:rPr>
        <w:t>430</w:t>
      </w:r>
      <w:r>
        <w:rPr>
          <w:color w:val="616161"/>
          <w:sz w:val="22"/>
          <w:szCs w:val="22"/>
        </w:rPr>
        <w:t xml:space="preserve"> — Software Quality Assurance Laboratory</w:t>
      </w:r>
    </w:p>
    <w:p w14:paraId="336D03C1" w14:textId="77777777" w:rsidR="00AC572F" w:rsidRDefault="00AC572F">
      <w:pPr>
        <w:spacing w:after="200"/>
      </w:pPr>
    </w:p>
    <w:p w14:paraId="7835DA67" w14:textId="77777777" w:rsidR="00AC572F" w:rsidRDefault="00000000">
      <w:pPr>
        <w:spacing w:after="160"/>
        <w:jc w:val="center"/>
      </w:pPr>
      <w:r>
        <w:rPr>
          <w:b/>
          <w:bCs/>
          <w:color w:val="1B5E20"/>
          <w:sz w:val="40"/>
          <w:szCs w:val="40"/>
        </w:rPr>
        <w:t>ISO/IEC 42001:2023</w:t>
      </w:r>
    </w:p>
    <w:p w14:paraId="450892B6" w14:textId="77777777" w:rsidR="00AC572F" w:rsidRDefault="00000000">
      <w:pPr>
        <w:spacing w:after="120"/>
        <w:jc w:val="center"/>
      </w:pPr>
      <w:r>
        <w:rPr>
          <w:b/>
          <w:bCs/>
          <w:color w:val="283593"/>
          <w:sz w:val="32"/>
          <w:szCs w:val="32"/>
        </w:rPr>
        <w:t>AI Management System Compliance Report</w:t>
      </w:r>
    </w:p>
    <w:p w14:paraId="74F11C2B" w14:textId="77777777" w:rsidR="00AC572F" w:rsidRDefault="00000000">
      <w:pPr>
        <w:spacing w:after="300"/>
        <w:jc w:val="center"/>
      </w:pPr>
      <w:r>
        <w:rPr>
          <w:i/>
          <w:iCs/>
          <w:color w:val="616161"/>
          <w:sz w:val="24"/>
          <w:szCs w:val="24"/>
        </w:rPr>
        <w:t>ML Visualization Tool for Healthcare Professionals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</w:tblGrid>
      <w:tr w:rsidR="00AC572F" w14:paraId="39C58FD1" w14:textId="77777777">
        <w:tc>
          <w:tcPr>
            <w:tcW w:w="2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28578" w14:textId="77777777" w:rsidR="00AC572F" w:rsidRDefault="00000000">
            <w:r>
              <w:rPr>
                <w:b/>
                <w:bCs/>
                <w:color w:val="1B5E20"/>
                <w:sz w:val="19"/>
                <w:szCs w:val="19"/>
              </w:rPr>
              <w:t>Team Name:</w:t>
            </w:r>
          </w:p>
        </w:tc>
        <w:tc>
          <w:tcPr>
            <w:tcW w:w="3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74382" w14:textId="77777777" w:rsidR="00AC572F" w:rsidRDefault="00000000">
            <w:r>
              <w:rPr>
                <w:b w:val="0"/>
                <w:i/>
                <w:iCs/>
                <w:color w:val="616161"/>
                <w:sz w:val="19"/>
                <w:szCs w:val="19"/>
              </w:rPr>
              <w:t>HealthWithSevgi</w:t>
            </w:r>
          </w:p>
        </w:tc>
      </w:tr>
      <w:tr w:rsidR="00AC572F" w14:paraId="2817C37E" w14:textId="77777777">
        <w:tc>
          <w:tcPr>
            <w:tcW w:w="2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B2A9A" w14:textId="77777777" w:rsidR="00AC572F" w:rsidRDefault="00000000">
            <w:r>
              <w:rPr>
                <w:b/>
                <w:bCs/>
                <w:color w:val="1B5E20"/>
                <w:sz w:val="19"/>
                <w:szCs w:val="19"/>
              </w:rPr>
              <w:t>Team Members:</w:t>
            </w:r>
          </w:p>
        </w:tc>
        <w:tc>
          <w:tcPr>
            <w:tcW w:w="3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E4270" w14:textId="77777777" w:rsidR="00AC572F" w:rsidRDefault="00000000">
            <w:r>
              <w:rPr>
                <w:b w:val="0"/>
                <w:i/>
                <w:iCs/>
                <w:color w:val="616161"/>
                <w:sz w:val="19"/>
                <w:szCs w:val="19"/>
              </w:rPr>
              <w:t>Batuhan Bayazıt (202228008), Efe Çelik (202128016), Berat Mert Gökkaya (202228019), Burak Aydoğmuş (202128028), Berfin Duru Alkan (202228005)</w:t>
            </w:r>
          </w:p>
        </w:tc>
      </w:tr>
      <w:tr w:rsidR="00AC572F" w14:paraId="637A0779" w14:textId="77777777">
        <w:tc>
          <w:tcPr>
            <w:tcW w:w="2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9ADA6" w14:textId="77777777" w:rsidR="00AC572F" w:rsidRDefault="00000000">
            <w:r>
              <w:rPr>
                <w:b/>
                <w:bCs/>
                <w:color w:val="1B5E20"/>
                <w:sz w:val="19"/>
                <w:szCs w:val="19"/>
              </w:rPr>
              <w:t>Instructor:</w:t>
            </w:r>
          </w:p>
        </w:tc>
        <w:tc>
          <w:tcPr>
            <w:tcW w:w="3000" w:type="dxa"/>
            <w:tcBorders>
              <w:top w:val="single" w:sz="1" w:space="0" w:color="2E7D32"/>
              <w:left w:val="single" w:sz="1" w:space="0" w:color="2E7D32"/>
              <w:bottom w:val="single" w:sz="1" w:space="0" w:color="2E7D32"/>
              <w:right w:val="single" w:sz="1" w:space="0" w:color="2E7D32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79133" w14:textId="77777777" w:rsidR="00AC572F" w:rsidRDefault="00000000">
            <w:r>
              <w:rPr>
                <w:b w:val="0"/>
                <w:i w:val="0"/>
                <w:color w:val="212121"/>
                <w:sz w:val="19"/>
                <w:szCs w:val="19"/>
              </w:rPr>
              <w:t>Dr. Sevgi Koyuncu Tunç</w:t>
            </w:r>
          </w:p>
        </w:tc>
      </w:tr>
    </w:tbl>
    <w:p w14:paraId="02518EC5" w14:textId="77777777" w:rsidR="00AC572F" w:rsidRDefault="00AC572F">
      <w:pPr>
        <w:spacing w:after="300"/>
      </w:pPr>
    </w:p>
    <w:p w14:paraId="57B7877D" w14:textId="77777777" w:rsidR="00AC572F" w:rsidRDefault="00AC572F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600"/>
        <w:gridCol w:w="4526"/>
        <w:gridCol w:w="1700"/>
      </w:tblGrid>
      <w:tr w:rsidR="00AC572F" w14:paraId="09C8551D" w14:textId="77777777"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8359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5A798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Tarih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8359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B3C40" w14:textId="77777777" w:rsidR="00AC572F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Asamak</w:t>
            </w:r>
            <w:proofErr w:type="spellEnd"/>
          </w:p>
        </w:tc>
        <w:tc>
          <w:tcPr>
            <w:tcW w:w="45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8359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32869" w14:textId="77777777" w:rsidR="00AC572F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Aciklama</w:t>
            </w:r>
            <w:proofErr w:type="spellEnd"/>
          </w:p>
        </w:tc>
        <w:tc>
          <w:tcPr>
            <w:tcW w:w="1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8359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210B9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PDCA</w:t>
            </w:r>
          </w:p>
        </w:tc>
      </w:tr>
      <w:tr w:rsidR="00AC572F" w14:paraId="587D9A42" w14:textId="77777777"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5ED15" w14:textId="2B6E52A9" w:rsidR="00AC572F" w:rsidRDefault="00FA1877">
            <w:pPr>
              <w:spacing w:line="256" w:lineRule="auto"/>
            </w:pPr>
            <w:r>
              <w:rPr>
                <w:b/>
                <w:bCs/>
                <w:color w:val="212121"/>
                <w:sz w:val="17"/>
                <w:szCs w:val="17"/>
              </w:rPr>
              <w:t>8 Nisan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53DA1" w14:textId="77777777" w:rsidR="00AC572F" w:rsidRDefault="00000000">
            <w:pPr>
              <w:spacing w:line="256" w:lineRule="auto"/>
            </w:pPr>
            <w:r>
              <w:rPr>
                <w:b/>
                <w:bCs/>
                <w:color w:val="212121"/>
                <w:sz w:val="17"/>
                <w:szCs w:val="17"/>
              </w:rPr>
              <w:t>Ilk Teslim</w:t>
            </w:r>
          </w:p>
        </w:tc>
        <w:tc>
          <w:tcPr>
            <w:tcW w:w="45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A451E" w14:textId="77777777" w:rsidR="00AC572F" w:rsidRDefault="00000000">
            <w:pPr>
              <w:spacing w:line="256" w:lineRule="auto"/>
            </w:pPr>
            <w:proofErr w:type="spellStart"/>
            <w:r>
              <w:rPr>
                <w:color w:val="212121"/>
                <w:sz w:val="17"/>
                <w:szCs w:val="17"/>
              </w:rPr>
              <w:t>Bolum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1-3 (Scope, Policy, Data Gov.) </w:t>
            </w:r>
            <w:proofErr w:type="spellStart"/>
            <w:r>
              <w:rPr>
                <w:color w:val="212121"/>
                <w:sz w:val="17"/>
                <w:szCs w:val="17"/>
              </w:rPr>
              <w:t>teslim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12121"/>
                <w:sz w:val="17"/>
                <w:szCs w:val="17"/>
              </w:rPr>
              <w:t>edilir</w:t>
            </w:r>
            <w:proofErr w:type="spellEnd"/>
          </w:p>
        </w:tc>
        <w:tc>
          <w:tcPr>
            <w:tcW w:w="1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A8502" w14:textId="77777777" w:rsidR="00AC572F" w:rsidRDefault="00000000">
            <w:pPr>
              <w:jc w:val="center"/>
            </w:pPr>
            <w:r>
              <w:rPr>
                <w:b/>
                <w:bCs/>
                <w:color w:val="616161"/>
                <w:sz w:val="17"/>
                <w:szCs w:val="17"/>
              </w:rPr>
              <w:t>PLAN</w:t>
            </w:r>
          </w:p>
        </w:tc>
      </w:tr>
      <w:tr w:rsidR="00AC572F" w14:paraId="0117B28A" w14:textId="77777777"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3AB9E" w14:textId="13CCE5A2" w:rsidR="00AC572F" w:rsidRDefault="00FA1877">
            <w:pPr>
              <w:spacing w:line="256" w:lineRule="auto"/>
            </w:pPr>
            <w:r>
              <w:rPr>
                <w:b/>
                <w:bCs/>
                <w:color w:val="212121"/>
                <w:sz w:val="17"/>
                <w:szCs w:val="17"/>
              </w:rPr>
              <w:t>8-15 Nisan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BBDD6" w14:textId="77777777" w:rsidR="00AC572F" w:rsidRDefault="00000000">
            <w:pPr>
              <w:spacing w:line="256" w:lineRule="auto"/>
            </w:pPr>
            <w:r>
              <w:rPr>
                <w:b/>
                <w:bCs/>
                <w:color w:val="212121"/>
                <w:sz w:val="17"/>
                <w:szCs w:val="17"/>
              </w:rPr>
              <w:t>Instructor Review</w:t>
            </w:r>
          </w:p>
        </w:tc>
        <w:tc>
          <w:tcPr>
            <w:tcW w:w="45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EBB18" w14:textId="77777777" w:rsidR="00AC572F" w:rsidRDefault="00000000">
            <w:pPr>
              <w:spacing w:line="256" w:lineRule="auto"/>
            </w:pPr>
            <w:r>
              <w:rPr>
                <w:color w:val="212121"/>
                <w:sz w:val="17"/>
                <w:szCs w:val="17"/>
              </w:rPr>
              <w:t xml:space="preserve">Instructor/TA </w:t>
            </w:r>
            <w:proofErr w:type="spellStart"/>
            <w:r>
              <w:rPr>
                <w:color w:val="212121"/>
                <w:sz w:val="17"/>
                <w:szCs w:val="17"/>
              </w:rPr>
              <w:t>yapilandirilmis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12121"/>
                <w:sz w:val="17"/>
                <w:szCs w:val="17"/>
              </w:rPr>
              <w:t>geri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12121"/>
                <w:sz w:val="17"/>
                <w:szCs w:val="17"/>
              </w:rPr>
              <w:t>bildirim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12121"/>
                <w:sz w:val="17"/>
                <w:szCs w:val="17"/>
              </w:rPr>
              <w:t>verir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(Appendix B)</w:t>
            </w:r>
          </w:p>
        </w:tc>
        <w:tc>
          <w:tcPr>
            <w:tcW w:w="1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C6767" w14:textId="77777777" w:rsidR="00AC572F" w:rsidRDefault="00000000"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CHECK</w:t>
            </w:r>
          </w:p>
        </w:tc>
      </w:tr>
      <w:tr w:rsidR="00AC572F" w14:paraId="26AE90DF" w14:textId="77777777"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8FCA0" w14:textId="77777777" w:rsidR="00AC572F" w:rsidRDefault="00000000">
            <w:pPr>
              <w:spacing w:line="256" w:lineRule="auto"/>
            </w:pPr>
            <w:r>
              <w:rPr>
                <w:b/>
                <w:bCs/>
                <w:color w:val="212121"/>
                <w:sz w:val="17"/>
                <w:szCs w:val="17"/>
              </w:rPr>
              <w:t>15 Nisan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04B37" w14:textId="77777777" w:rsidR="00AC572F" w:rsidRDefault="00000000">
            <w:pPr>
              <w:spacing w:line="256" w:lineRule="auto"/>
            </w:pPr>
            <w:r>
              <w:rPr>
                <w:b/>
                <w:bCs/>
                <w:color w:val="212121"/>
                <w:sz w:val="17"/>
                <w:szCs w:val="17"/>
              </w:rPr>
              <w:t>Sprint 4 Gate</w:t>
            </w:r>
          </w:p>
        </w:tc>
        <w:tc>
          <w:tcPr>
            <w:tcW w:w="45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227B9" w14:textId="77777777" w:rsidR="00AC572F" w:rsidRDefault="00000000">
            <w:pPr>
              <w:spacing w:line="256" w:lineRule="auto"/>
            </w:pPr>
            <w:r>
              <w:rPr>
                <w:color w:val="212121"/>
                <w:sz w:val="17"/>
                <w:szCs w:val="17"/>
              </w:rPr>
              <w:t xml:space="preserve">Full pipeline </w:t>
            </w:r>
            <w:proofErr w:type="spellStart"/>
            <w:r>
              <w:rPr>
                <w:color w:val="212121"/>
                <w:sz w:val="17"/>
                <w:szCs w:val="17"/>
              </w:rPr>
              <w:t>tamamlandi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; Risk </w:t>
            </w:r>
            <w:proofErr w:type="spellStart"/>
            <w:r>
              <w:rPr>
                <w:color w:val="212121"/>
                <w:sz w:val="17"/>
                <w:szCs w:val="17"/>
              </w:rPr>
              <w:t>ve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Impact </w:t>
            </w:r>
            <w:proofErr w:type="spellStart"/>
            <w:r>
              <w:rPr>
                <w:color w:val="212121"/>
                <w:sz w:val="17"/>
                <w:szCs w:val="17"/>
              </w:rPr>
              <w:t>artik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12121"/>
                <w:sz w:val="17"/>
                <w:szCs w:val="17"/>
              </w:rPr>
              <w:t>yazilabilir</w:t>
            </w:r>
            <w:proofErr w:type="spellEnd"/>
          </w:p>
        </w:tc>
        <w:tc>
          <w:tcPr>
            <w:tcW w:w="1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ABB41" w14:textId="77777777" w:rsidR="00AC572F" w:rsidRDefault="00000000">
            <w:pPr>
              <w:jc w:val="center"/>
            </w:pPr>
            <w:r>
              <w:rPr>
                <w:b/>
                <w:bCs/>
                <w:color w:val="616161"/>
                <w:sz w:val="17"/>
                <w:szCs w:val="17"/>
              </w:rPr>
              <w:t>DO</w:t>
            </w:r>
          </w:p>
        </w:tc>
      </w:tr>
      <w:tr w:rsidR="00AC572F" w14:paraId="7E0A0977" w14:textId="77777777"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86FD7" w14:textId="37D51E14" w:rsidR="00AC572F" w:rsidRDefault="00000000">
            <w:pPr>
              <w:spacing w:line="256" w:lineRule="auto"/>
            </w:pPr>
            <w:r>
              <w:rPr>
                <w:b/>
                <w:bCs/>
                <w:color w:val="212121"/>
                <w:sz w:val="17"/>
                <w:szCs w:val="17"/>
              </w:rPr>
              <w:t>2</w:t>
            </w:r>
            <w:r w:rsidR="00FA1877">
              <w:rPr>
                <w:b/>
                <w:bCs/>
                <w:color w:val="212121"/>
                <w:sz w:val="17"/>
                <w:szCs w:val="17"/>
              </w:rPr>
              <w:t>9</w:t>
            </w:r>
            <w:r>
              <w:rPr>
                <w:b/>
                <w:bCs/>
                <w:color w:val="212121"/>
                <w:sz w:val="17"/>
                <w:szCs w:val="17"/>
              </w:rPr>
              <w:t xml:space="preserve"> Nisan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740C2" w14:textId="77777777" w:rsidR="00AC572F" w:rsidRDefault="00000000">
            <w:pPr>
              <w:spacing w:line="256" w:lineRule="auto"/>
            </w:pPr>
            <w:r>
              <w:rPr>
                <w:b/>
                <w:bCs/>
                <w:color w:val="212121"/>
                <w:sz w:val="17"/>
                <w:szCs w:val="17"/>
              </w:rPr>
              <w:t>Peer Audit</w:t>
            </w:r>
          </w:p>
        </w:tc>
        <w:tc>
          <w:tcPr>
            <w:tcW w:w="45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C080C" w14:textId="77777777" w:rsidR="00AC572F" w:rsidRDefault="00000000">
            <w:pPr>
              <w:spacing w:line="256" w:lineRule="auto"/>
            </w:pPr>
            <w:proofErr w:type="spellStart"/>
            <w:r>
              <w:rPr>
                <w:color w:val="212121"/>
                <w:sz w:val="17"/>
                <w:szCs w:val="17"/>
              </w:rPr>
              <w:t>Takimlar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12121"/>
                <w:sz w:val="17"/>
                <w:szCs w:val="17"/>
              </w:rPr>
              <w:t>birbirinin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tam </w:t>
            </w:r>
            <w:proofErr w:type="spellStart"/>
            <w:r>
              <w:rPr>
                <w:color w:val="212121"/>
                <w:sz w:val="17"/>
                <w:szCs w:val="17"/>
              </w:rPr>
              <w:t>taslak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12121"/>
                <w:sz w:val="17"/>
                <w:szCs w:val="17"/>
              </w:rPr>
              <w:t>raporunu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(Ch. 1-6) </w:t>
            </w:r>
            <w:proofErr w:type="spellStart"/>
            <w:r>
              <w:rPr>
                <w:color w:val="212121"/>
                <w:sz w:val="17"/>
                <w:szCs w:val="17"/>
              </w:rPr>
              <w:t>denetler</w:t>
            </w:r>
            <w:proofErr w:type="spellEnd"/>
          </w:p>
        </w:tc>
        <w:tc>
          <w:tcPr>
            <w:tcW w:w="1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DAFB1" w14:textId="77777777" w:rsidR="00AC572F" w:rsidRDefault="00000000">
            <w:pPr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CHECK</w:t>
            </w:r>
          </w:p>
        </w:tc>
      </w:tr>
      <w:tr w:rsidR="00AC572F" w14:paraId="128F871A" w14:textId="77777777"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A1749" w14:textId="30492C55" w:rsidR="00AC572F" w:rsidRDefault="00FA1877">
            <w:pPr>
              <w:spacing w:line="256" w:lineRule="auto"/>
            </w:pPr>
            <w:r>
              <w:rPr>
                <w:b/>
                <w:bCs/>
                <w:color w:val="212121"/>
                <w:sz w:val="17"/>
                <w:szCs w:val="17"/>
              </w:rPr>
              <w:t xml:space="preserve">5 </w:t>
            </w:r>
            <w:proofErr w:type="spellStart"/>
            <w:r>
              <w:rPr>
                <w:b/>
                <w:bCs/>
                <w:color w:val="212121"/>
                <w:sz w:val="17"/>
                <w:szCs w:val="17"/>
              </w:rPr>
              <w:t>Mayis</w:t>
            </w:r>
            <w:proofErr w:type="spellEnd"/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C2B81" w14:textId="77777777" w:rsidR="00AC572F" w:rsidRDefault="00000000">
            <w:pPr>
              <w:spacing w:line="256" w:lineRule="auto"/>
            </w:pPr>
            <w:r>
              <w:rPr>
                <w:b/>
                <w:bCs/>
                <w:color w:val="212121"/>
                <w:sz w:val="17"/>
                <w:szCs w:val="17"/>
              </w:rPr>
              <w:t>Final Teslim</w:t>
            </w:r>
          </w:p>
        </w:tc>
        <w:tc>
          <w:tcPr>
            <w:tcW w:w="45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DC17D" w14:textId="77777777" w:rsidR="00AC572F" w:rsidRDefault="00000000">
            <w:pPr>
              <w:spacing w:line="256" w:lineRule="auto"/>
            </w:pPr>
            <w:r>
              <w:rPr>
                <w:color w:val="212121"/>
                <w:sz w:val="17"/>
                <w:szCs w:val="17"/>
              </w:rPr>
              <w:t xml:space="preserve">Tum </w:t>
            </w:r>
            <w:proofErr w:type="spellStart"/>
            <w:r>
              <w:rPr>
                <w:color w:val="212121"/>
                <w:sz w:val="17"/>
                <w:szCs w:val="17"/>
              </w:rPr>
              <w:t>bolumler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(1-7 + App. A) + </w:t>
            </w:r>
            <w:proofErr w:type="spellStart"/>
            <w:r>
              <w:rPr>
                <w:color w:val="212121"/>
                <w:sz w:val="17"/>
                <w:szCs w:val="17"/>
              </w:rPr>
              <w:t>revizyonlar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+ peer audit </w:t>
            </w:r>
            <w:proofErr w:type="spellStart"/>
            <w:r>
              <w:rPr>
                <w:color w:val="212121"/>
                <w:sz w:val="17"/>
                <w:szCs w:val="17"/>
              </w:rPr>
              <w:t>bulgulari</w:t>
            </w:r>
            <w:proofErr w:type="spellEnd"/>
          </w:p>
        </w:tc>
        <w:tc>
          <w:tcPr>
            <w:tcW w:w="1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4B925" w14:textId="77777777" w:rsidR="00AC572F" w:rsidRDefault="00000000">
            <w:pPr>
              <w:jc w:val="center"/>
            </w:pPr>
            <w:r>
              <w:rPr>
                <w:b/>
                <w:bCs/>
                <w:color w:val="6A1B9A"/>
                <w:sz w:val="17"/>
                <w:szCs w:val="17"/>
              </w:rPr>
              <w:t>ACT</w:t>
            </w:r>
          </w:p>
        </w:tc>
      </w:tr>
      <w:tr w:rsidR="00AC572F" w14:paraId="4047C19D" w14:textId="77777777"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EAEF0" w14:textId="77777777" w:rsidR="00AC572F" w:rsidRDefault="00000000">
            <w:pPr>
              <w:spacing w:line="256" w:lineRule="auto"/>
            </w:pPr>
            <w:r>
              <w:rPr>
                <w:b/>
                <w:bCs/>
                <w:color w:val="212121"/>
                <w:sz w:val="17"/>
                <w:szCs w:val="17"/>
              </w:rPr>
              <w:t xml:space="preserve">6 </w:t>
            </w:r>
            <w:proofErr w:type="spellStart"/>
            <w:r>
              <w:rPr>
                <w:b/>
                <w:bCs/>
                <w:color w:val="212121"/>
                <w:sz w:val="17"/>
                <w:szCs w:val="17"/>
              </w:rPr>
              <w:t>Mayis</w:t>
            </w:r>
            <w:proofErr w:type="spellEnd"/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9F366" w14:textId="77777777" w:rsidR="00AC572F" w:rsidRDefault="00000000">
            <w:pPr>
              <w:spacing w:line="256" w:lineRule="auto"/>
            </w:pPr>
            <w:r>
              <w:rPr>
                <w:b/>
                <w:bCs/>
                <w:color w:val="212121"/>
                <w:sz w:val="17"/>
                <w:szCs w:val="17"/>
              </w:rPr>
              <w:t>Jury Day</w:t>
            </w:r>
          </w:p>
        </w:tc>
        <w:tc>
          <w:tcPr>
            <w:tcW w:w="45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B4B1A" w14:textId="77777777" w:rsidR="00AC572F" w:rsidRDefault="00000000">
            <w:pPr>
              <w:spacing w:line="256" w:lineRule="auto"/>
            </w:pPr>
            <w:r>
              <w:rPr>
                <w:color w:val="212121"/>
                <w:sz w:val="17"/>
                <w:szCs w:val="17"/>
              </w:rPr>
              <w:t xml:space="preserve">Final </w:t>
            </w:r>
            <w:proofErr w:type="spellStart"/>
            <w:r>
              <w:rPr>
                <w:color w:val="212121"/>
                <w:sz w:val="17"/>
                <w:szCs w:val="17"/>
              </w:rPr>
              <w:t>sunum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-- </w:t>
            </w:r>
            <w:proofErr w:type="spellStart"/>
            <w:r>
              <w:rPr>
                <w:color w:val="212121"/>
                <w:sz w:val="17"/>
                <w:szCs w:val="17"/>
              </w:rPr>
              <w:t>rapor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12121"/>
                <w:sz w:val="17"/>
                <w:szCs w:val="17"/>
              </w:rPr>
              <w:t>ayri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12121"/>
                <w:sz w:val="17"/>
                <w:szCs w:val="17"/>
              </w:rPr>
              <w:t>degerlendirilir</w:t>
            </w:r>
            <w:proofErr w:type="spellEnd"/>
          </w:p>
        </w:tc>
        <w:tc>
          <w:tcPr>
            <w:tcW w:w="1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CDD05" w14:textId="77777777" w:rsidR="00AC572F" w:rsidRDefault="00000000">
            <w:pPr>
              <w:jc w:val="center"/>
            </w:pPr>
            <w:r>
              <w:rPr>
                <w:b/>
                <w:bCs/>
                <w:color w:val="616161"/>
                <w:sz w:val="17"/>
                <w:szCs w:val="17"/>
              </w:rPr>
              <w:t>--</w:t>
            </w:r>
          </w:p>
        </w:tc>
      </w:tr>
    </w:tbl>
    <w:p w14:paraId="1BDB71BD" w14:textId="77777777" w:rsidR="00AC572F" w:rsidRDefault="00000000">
      <w:r>
        <w:br w:type="page"/>
      </w:r>
    </w:p>
    <w:p w14:paraId="4CA720FF" w14:textId="77777777" w:rsidR="00AC572F" w:rsidRDefault="00000000">
      <w:pPr>
        <w:pStyle w:val="Heading1"/>
      </w:pPr>
      <w:r>
        <w:lastRenderedPageBreak/>
        <w:t>Table of Contents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526"/>
        <w:gridCol w:w="3000"/>
      </w:tblGrid>
      <w:tr w:rsidR="00AC572F" w14:paraId="7589A689" w14:textId="77777777"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9BF76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5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2F022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Chapter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B5E2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2E8CC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ISO 42001 Coverage</w:t>
            </w:r>
          </w:p>
        </w:tc>
      </w:tr>
      <w:tr w:rsidR="00AC572F" w14:paraId="20D886B3" w14:textId="77777777"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362ED" w14:textId="77777777" w:rsidR="00AC572F" w:rsidRDefault="00000000">
            <w:pPr>
              <w:spacing w:line="256" w:lineRule="auto"/>
            </w:pPr>
            <w:r>
              <w:rPr>
                <w:b/>
                <w:bCs/>
                <w:color w:val="212121"/>
                <w:sz w:val="18"/>
                <w:szCs w:val="18"/>
              </w:rPr>
              <w:t>1</w:t>
            </w:r>
          </w:p>
        </w:tc>
        <w:tc>
          <w:tcPr>
            <w:tcW w:w="55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6CFEE" w14:textId="77777777" w:rsidR="00AC572F" w:rsidRDefault="00000000">
            <w:pPr>
              <w:spacing w:line="256" w:lineRule="auto"/>
            </w:pPr>
            <w:r>
              <w:rPr>
                <w:color w:val="212121"/>
                <w:sz w:val="18"/>
                <w:szCs w:val="18"/>
              </w:rPr>
              <w:t>AIMS Scope, Context &amp; Stakeholders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388EC" w14:textId="77777777" w:rsidR="00AC572F" w:rsidRDefault="00000000">
            <w:pPr>
              <w:spacing w:line="256" w:lineRule="auto"/>
            </w:pPr>
            <w:r>
              <w:rPr>
                <w:color w:val="212121"/>
                <w:sz w:val="17"/>
                <w:szCs w:val="17"/>
              </w:rPr>
              <w:t>Clause 4</w:t>
            </w:r>
          </w:p>
        </w:tc>
      </w:tr>
      <w:tr w:rsidR="00AC572F" w14:paraId="04AB6C35" w14:textId="77777777"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44703" w14:textId="77777777" w:rsidR="00AC572F" w:rsidRDefault="00000000">
            <w:pPr>
              <w:spacing w:line="256" w:lineRule="auto"/>
            </w:pPr>
            <w:r>
              <w:rPr>
                <w:b/>
                <w:bCs/>
                <w:color w:val="212121"/>
                <w:sz w:val="18"/>
                <w:szCs w:val="18"/>
              </w:rPr>
              <w:t>2</w:t>
            </w:r>
          </w:p>
        </w:tc>
        <w:tc>
          <w:tcPr>
            <w:tcW w:w="55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50A97" w14:textId="77777777" w:rsidR="00AC572F" w:rsidRDefault="00000000">
            <w:pPr>
              <w:spacing w:line="256" w:lineRule="auto"/>
            </w:pPr>
            <w:r>
              <w:rPr>
                <w:color w:val="212121"/>
                <w:sz w:val="18"/>
                <w:szCs w:val="18"/>
              </w:rPr>
              <w:t>AI Policy &amp; Governance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42E27" w14:textId="77777777" w:rsidR="00AC572F" w:rsidRDefault="00000000">
            <w:pPr>
              <w:spacing w:line="256" w:lineRule="auto"/>
            </w:pPr>
            <w:r>
              <w:rPr>
                <w:color w:val="212121"/>
                <w:sz w:val="17"/>
                <w:szCs w:val="17"/>
              </w:rPr>
              <w:t>Clause 5, Annex A.2-A.3</w:t>
            </w:r>
          </w:p>
        </w:tc>
      </w:tr>
      <w:tr w:rsidR="00AC572F" w14:paraId="0B8C22FF" w14:textId="77777777">
        <w:tc>
          <w:tcPr>
            <w:tcW w:w="5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2DF28" w14:textId="77777777" w:rsidR="00AC572F" w:rsidRDefault="00000000">
            <w:pPr>
              <w:spacing w:line="256" w:lineRule="auto"/>
            </w:pPr>
            <w:r>
              <w:rPr>
                <w:b/>
                <w:bCs/>
                <w:color w:val="212121"/>
                <w:sz w:val="18"/>
                <w:szCs w:val="18"/>
              </w:rPr>
              <w:t>3</w:t>
            </w:r>
          </w:p>
        </w:tc>
        <w:tc>
          <w:tcPr>
            <w:tcW w:w="55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7DA52" w14:textId="77777777" w:rsidR="00AC572F" w:rsidRDefault="00000000">
            <w:pPr>
              <w:spacing w:line="256" w:lineRule="auto"/>
            </w:pPr>
            <w:r>
              <w:rPr>
                <w:color w:val="212121"/>
                <w:sz w:val="18"/>
                <w:szCs w:val="18"/>
              </w:rPr>
              <w:t>Data Governance &amp; Third-Party Management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F5EFE" w14:textId="77777777" w:rsidR="00AC572F" w:rsidRDefault="00000000">
            <w:pPr>
              <w:spacing w:line="256" w:lineRule="auto"/>
            </w:pPr>
            <w:r>
              <w:rPr>
                <w:color w:val="212121"/>
                <w:sz w:val="17"/>
                <w:szCs w:val="17"/>
              </w:rPr>
              <w:t>Annex A.6, A.9, Clause 8.2</w:t>
            </w:r>
          </w:p>
        </w:tc>
      </w:tr>
    </w:tbl>
    <w:p w14:paraId="1FB5C25B" w14:textId="77777777" w:rsidR="00AC572F" w:rsidRDefault="00AC572F">
      <w:pPr>
        <w:spacing w:after="200"/>
      </w:pPr>
    </w:p>
    <w:p w14:paraId="6BAB6D4B" w14:textId="77777777" w:rsidR="00AC572F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AC572F" w14:paraId="2F79262E" w14:textId="77777777">
        <w:tc>
          <w:tcPr>
            <w:tcW w:w="700" w:type="dxa"/>
            <w:tcBorders>
              <w:bottom w:val="single" w:sz="6" w:space="0" w:color="1B5E20"/>
            </w:tcBorders>
            <w:shd w:val="clear" w:color="auto" w:fill="1B5E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8CB6D5" w14:textId="77777777" w:rsidR="00AC572F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1</w:t>
            </w:r>
          </w:p>
        </w:tc>
        <w:tc>
          <w:tcPr>
            <w:tcW w:w="8326" w:type="dxa"/>
            <w:tcBorders>
              <w:bottom w:val="single" w:sz="6" w:space="0" w:color="1B5E20"/>
            </w:tcBorders>
            <w:tcMar>
              <w:top w:w="60" w:type="dxa"/>
              <w:left w:w="140" w:type="dxa"/>
              <w:bottom w:w="60" w:type="dxa"/>
              <w:right w:w="80" w:type="dxa"/>
            </w:tcMar>
            <w:vAlign w:val="center"/>
          </w:tcPr>
          <w:p w14:paraId="734EC219" w14:textId="77777777" w:rsidR="00AC572F" w:rsidRDefault="00000000">
            <w:r>
              <w:rPr>
                <w:b/>
                <w:bCs/>
                <w:color w:val="1B5E20"/>
                <w:sz w:val="26"/>
                <w:szCs w:val="26"/>
              </w:rPr>
              <w:t>AIMS Scope, Context &amp; Stakeholders</w:t>
            </w:r>
          </w:p>
        </w:tc>
      </w:tr>
    </w:tbl>
    <w:p w14:paraId="55BA782B" w14:textId="77777777" w:rsidR="00AC572F" w:rsidRDefault="00AC572F">
      <w:pPr>
        <w:spacing w:after="100"/>
      </w:pPr>
    </w:p>
    <w:p w14:paraId="6DA0F212" w14:textId="77777777" w:rsidR="00AC572F" w:rsidRDefault="00000000">
      <w:pPr>
        <w:spacing w:after="120" w:line="276" w:lineRule="auto"/>
        <w:jc w:val="both"/>
      </w:pPr>
      <w:r>
        <w:rPr>
          <w:b/>
          <w:bCs/>
          <w:color w:val="212121"/>
        </w:rPr>
        <w:t xml:space="preserve">ISO 42001 Reference: </w:t>
      </w:r>
      <w:r>
        <w:rPr>
          <w:color w:val="212121"/>
        </w:rPr>
        <w:t>Clause 4.1 (Internal/External Issues), Clause 4.2 (Interested Parties), Clause 4.3 (Scope), Clause 4.4 (AIMS)</w:t>
      </w:r>
    </w:p>
    <w:p w14:paraId="33C1EB47" w14:textId="77777777" w:rsidR="00AC572F" w:rsidRDefault="00000000">
      <w:pPr>
        <w:pStyle w:val="Heading2"/>
      </w:pPr>
      <w:r>
        <w:t>1.1 AI System Description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AC572F" w14:paraId="3BBE7835" w14:textId="77777777"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8359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BD451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6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8359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CF2E2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Your Content</w:t>
            </w:r>
          </w:p>
        </w:tc>
      </w:tr>
      <w:tr w:rsidR="00AC572F" w14:paraId="08032C5F" w14:textId="77777777"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65443" w14:textId="77777777" w:rsidR="00AC572F" w:rsidRDefault="00000000">
            <w:pPr>
              <w:spacing w:line="256" w:lineRule="auto"/>
            </w:pPr>
            <w:r>
              <w:rPr>
                <w:b/>
                <w:bCs/>
                <w:color w:val="212121"/>
                <w:sz w:val="18"/>
                <w:szCs w:val="18"/>
              </w:rPr>
              <w:t>System Name</w:t>
            </w:r>
          </w:p>
        </w:tc>
        <w:tc>
          <w:tcPr>
            <w:tcW w:w="66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3B00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HealthWithSevgi — ML Visualization Tool for Healthcare Professionals</w:t>
            </w:r>
          </w:p>
        </w:tc>
      </w:tr>
      <w:tr w:rsidR="00AC572F" w14:paraId="471392D3" w14:textId="77777777"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9E2EB" w14:textId="77777777" w:rsidR="00AC572F" w:rsidRDefault="00000000">
            <w:pPr>
              <w:spacing w:line="256" w:lineRule="auto"/>
            </w:pPr>
            <w:r>
              <w:rPr>
                <w:b/>
                <w:bCs/>
                <w:color w:val="212121"/>
                <w:sz w:val="18"/>
                <w:szCs w:val="18"/>
              </w:rPr>
              <w:t>Purpose (2–3 sentences)</w:t>
            </w:r>
          </w:p>
        </w:tc>
        <w:tc>
          <w:tcPr>
            <w:tcW w:w="66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4A3A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HealthWithSevgi is a browser-based educational tool that enables healthcare professionals and medical students to learn machine learning concepts through a guided 7-step wizard pipeline (Clinical Context, Data Exploration, Data Preparation, Model Selection &amp; Parameters, Results Evaluation, Explainability via SHAP, and Ethics &amp; Bias Assessment) using real clinical datasets across 20 medical specialties. It does not make clinical decisions — it teaches ML literacy in a healthcare context.</w:t>
            </w:r>
          </w:p>
        </w:tc>
      </w:tr>
      <w:tr w:rsidR="00AC572F" w14:paraId="1B85EAC1" w14:textId="77777777"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476E0" w14:textId="77777777" w:rsidR="00AC572F" w:rsidRDefault="00000000">
            <w:pPr>
              <w:spacing w:line="256" w:lineRule="auto"/>
            </w:pPr>
            <w:r>
              <w:rPr>
                <w:b/>
                <w:bCs/>
                <w:color w:val="212121"/>
                <w:sz w:val="18"/>
                <w:szCs w:val="18"/>
              </w:rPr>
              <w:t>AI Techniques Used</w:t>
            </w:r>
          </w:p>
        </w:tc>
        <w:tc>
          <w:tcPr>
            <w:tcW w:w="66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1617E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8 supervised classification algorithms: K-Nearest Neighbors (KNN), Support Vector Machine (SVM), Decision Tree, Random Forest, Logistic Regression, Naive Bayes, XGBoost, and LightGBM. Supporting techniques: SMOTE for class imbalance correction, SHAP (TreeExplainer, LinearExplainer, KernelExplainer) for model explainability, and subgroup fairness analysis for bias detection.</w:t>
            </w:r>
          </w:p>
        </w:tc>
      </w:tr>
      <w:tr w:rsidR="00AC572F" w14:paraId="6D46C927" w14:textId="77777777"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BA8A1" w14:textId="77777777" w:rsidR="00AC572F" w:rsidRDefault="00000000">
            <w:pPr>
              <w:spacing w:line="256" w:lineRule="auto"/>
            </w:pPr>
            <w:r>
              <w:rPr>
                <w:b/>
                <w:bCs/>
                <w:color w:val="212121"/>
                <w:sz w:val="18"/>
                <w:szCs w:val="18"/>
              </w:rPr>
              <w:t>Deployment Context</w:t>
            </w:r>
          </w:p>
        </w:tc>
        <w:tc>
          <w:tcPr>
            <w:tcW w:w="66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1235F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Browser-based SPA (React 18 + FastAPI), Docker-containerised for HuggingFace Spaces deployment. Educational use only — no clinical decision-making. All data processing occurs in-memory with no persistent database.</w:t>
            </w:r>
          </w:p>
        </w:tc>
      </w:tr>
      <w:tr w:rsidR="00AC572F" w14:paraId="097FC2BF" w14:textId="77777777"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FCE9C" w14:textId="77777777" w:rsidR="00AC572F" w:rsidRDefault="00000000">
            <w:pPr>
              <w:spacing w:line="256" w:lineRule="auto"/>
            </w:pPr>
            <w:r>
              <w:rPr>
                <w:b/>
                <w:bCs/>
                <w:color w:val="212121"/>
                <w:sz w:val="18"/>
                <w:szCs w:val="18"/>
              </w:rPr>
              <w:t>Lifecycle Stage</w:t>
            </w:r>
          </w:p>
        </w:tc>
        <w:tc>
          <w:tcPr>
            <w:tcW w:w="66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610D0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Design, development, and educational deployment — NOT clinical production. Course project lifecycle aligned with SENG 430 (5 sprints, February–May 2026).</w:t>
            </w:r>
          </w:p>
        </w:tc>
      </w:tr>
    </w:tbl>
    <w:p w14:paraId="055EE24C" w14:textId="77777777" w:rsidR="00AC572F" w:rsidRDefault="00000000">
      <w:pPr>
        <w:pStyle w:val="Heading2"/>
      </w:pPr>
      <w:r>
        <w:t>1.2 AIMS Scope Statement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AC572F" w14:paraId="4ED9048E" w14:textId="77777777"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C26F9" w14:textId="77777777" w:rsidR="00AC572F" w:rsidRDefault="00000000">
            <w:r>
              <w:rPr>
                <w:b/>
                <w:bCs/>
                <w:color w:val="1B5E20"/>
                <w:sz w:val="19"/>
                <w:szCs w:val="19"/>
              </w:rPr>
              <w:t>IN SCOPE</w:t>
            </w:r>
          </w:p>
        </w:tc>
        <w:tc>
          <w:tcPr>
            <w:tcW w:w="70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DC1F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• Pipeline Steps: All 7 steps — Clinical Context, Data Exploration, Data Preparation (train/test split, missing value handling, normalisation, SMOTE), Model Selection &amp; Hyperparameter Tuning, Results &amp; Metrics Evaluation, Explainability (SHAP), Ethics &amp; Bias Assessment + EU AI Act Compliance</w:t>
              <w:br/>
              <w:t>• Clinical Domains: 20 medical specialties — Cardiology (Heart Failure, Stroke, Arrhythmia), Radiology, Nephrology, Oncology (Breast Cancer, Cervical Cancer), Neurology, Endocrinology (Diabetes, Thyroid), Hepatology, Mental Health, Pulmonology, Haematology, Dermatology, Ophthalmology, Orthopaedics, ICU/Sepsis, Obstetrics, Pharmacy</w:t>
              <w:br/>
              <w:t>• ML Models: 8 classification algorithms (KNN, SVM, Decision Tree, Random Forest, Logistic Regression, Naive Bayes, XGBoost, LightGBM) with hyperparameter tuning via RandomizedSearchCV (20 iterations, 3-fold stratified CV)</w:t>
              <w:br/>
              <w:t>• Users: Healthcare professionals, medical/nursing students, SENG 430 course participants and instructors</w:t>
              <w:br/>
              <w:t>• Lifecycle: Design through educational deployment on HuggingFace Spaces</w:t>
              <w:br/>
              <w:t>• Data: 20 published, de-identified clinical datasets (UCI, Kaggle, PhysioNet, Harvard Dataverse) — 18 bundled in Docker, 2 auto-downloaded at runtime due to unverified redistribution rights. Full licensing audit in DATA_LICENSES.md and ATTRIBUTION.md. + user-uploaded CSV files</w:t>
              <w:br/>
              <w:t>• Explainability: SHAP-based global feature importance and single-patient waterfall with 251 clinical name mappings</w:t>
              <w:br/>
              <w:t>• Ethics: Subgroup fairness audit (gender, age bands), 10% sensitivity gap threshold, EU AI Act checklist (8 items), 3 real-world AI failure case studies</w:t>
            </w:r>
          </w:p>
          <w:p w14:paraId="667C7DE8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  <w:p w14:paraId="50F715A8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  <w:p w14:paraId="3206A8D8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  <w:p w14:paraId="44884601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  <w:p w14:paraId="3AF25E8B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  <w:p w14:paraId="7F21CD97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</w:tc>
      </w:tr>
      <w:tr w:rsidR="00AC572F" w14:paraId="5A076D1A" w14:textId="77777777">
        <w:tc>
          <w:tcPr>
            <w:tcW w:w="2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0883C" w14:textId="77777777" w:rsidR="00AC572F" w:rsidRDefault="00000000">
            <w:r>
              <w:rPr>
                <w:b/>
                <w:bCs/>
                <w:color w:val="B71C1C"/>
                <w:sz w:val="19"/>
                <w:szCs w:val="19"/>
              </w:rPr>
              <w:t>OUT OF SCOPE</w:t>
            </w:r>
          </w:p>
        </w:tc>
        <w:tc>
          <w:tcPr>
            <w:tcW w:w="70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75F08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• Clinical diagnosis or treatment decisions — WHY: Educational tool only; no clinical validation performed; clinical disclaimers displayed in Steps 6 and 7</w:t>
              <w:br/>
              <w:t>• Real patient-identifiable data (PII/PHI) — WHY: Privacy by design; only published de-identified datasets; in-memory processing; no server persistence</w:t>
              <w:br/>
              <w:t>• Production hospital deployment — WHY: No regulatory approval (CE marking, FDA); no prospective clinical validation study</w:t>
              <w:br/>
              <w:t>• Post-deployment production monitoring — WHY: Educational lifecycle ends May 2026; theoretical monitoring plan in Ch. 5.3 (final submission)</w:t>
              <w:br/>
              <w:t>• Deep learning / neural networks — WHY: Out of pedagogical scope; tool focuses on interpretable classical ML for SHAP-based explainability</w:t>
              <w:br/>
              <w:t>• Real-time streaming data or IoT — WHY: Not applicable to educational CSV-based analysis workflow</w:t>
              <w:br/>
              <w:t>• Regression or unsupervised learning — WHY: Scope limited to supervised classification for focused learning objectives</w:t>
              <w:br/>
              <w:t>• Multi-language / internationalisation — WHY: English-only; single-locale deployment for university course context</w:t>
            </w:r>
          </w:p>
          <w:p w14:paraId="78958BD9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  <w:p w14:paraId="1C22EAC9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  <w:p w14:paraId="0295EAAE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  <w:p w14:paraId="4C58B787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  <w:p w14:paraId="0285973B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</w:tc>
      </w:tr>
    </w:tbl>
    <w:p w14:paraId="69F160E7" w14:textId="780F3AE1" w:rsidR="00AC572F" w:rsidRDefault="00000000">
      <w:pPr>
        <w:pStyle w:val="Heading2"/>
      </w:pPr>
      <w:r>
        <w:t>1.3 Internal &amp; External Issues</w:t>
      </w:r>
      <w:r w:rsidR="00024DEF">
        <w:t>/Challenges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AC572F" w14:paraId="5EC100DA" w14:textId="77777777"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F6252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66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BCCEB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 &amp; Relevance to AIMS</w:t>
            </w:r>
          </w:p>
        </w:tc>
      </w:tr>
      <w:tr w:rsidR="00AC572F" w14:paraId="464DD59E" w14:textId="77777777"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A8EDA" w14:textId="77777777" w:rsidR="00AC572F" w:rsidRDefault="00000000">
            <w:pPr>
              <w:spacing w:line="256" w:lineRule="auto"/>
            </w:pPr>
            <w:r>
              <w:rPr>
                <w:b/>
                <w:bCs/>
                <w:i w:val="0"/>
                <w:color w:val="212121"/>
                <w:sz w:val="17"/>
                <w:szCs w:val="17"/>
              </w:rPr>
              <w:t>External: Regulatory — EU AI Act</w:t>
            </w:r>
          </w:p>
        </w:tc>
        <w:tc>
          <w:tcPr>
            <w:tcW w:w="66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70B00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EU AI Act (Regulation 2024/1689) classifies healthcare AI as high-risk under Article 6 and Annex III. Though educational, Step 7 includes an 8-item EU AI Act compliance checklist covering explainability, data documentation, bias auditing, human oversight, GDPR, monitoring, incident reporting, and clinical validation.</w:t>
            </w:r>
          </w:p>
        </w:tc>
      </w:tr>
      <w:tr w:rsidR="00AC572F" w14:paraId="467DF715" w14:textId="77777777"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8E757" w14:textId="77777777" w:rsidR="00AC572F" w:rsidRDefault="00000000">
            <w:pPr>
              <w:spacing w:line="256" w:lineRule="auto"/>
            </w:pPr>
            <w:r>
              <w:rPr>
                <w:b/>
                <w:bCs/>
                <w:i w:val="0"/>
                <w:color w:val="212121"/>
                <w:sz w:val="17"/>
                <w:szCs w:val="17"/>
              </w:rPr>
              <w:t>External: Regulatory — GDPR/KVKK</w:t>
            </w:r>
          </w:p>
        </w:tc>
        <w:tc>
          <w:tcPr>
            <w:tcW w:w="66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BF61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Turkish KVKK (Law No. 6698) and EU GDPR require data protection impact assessments for health data. Mitigated by processing only published, de-identified datasets with no persistent storage. In-memory session architecture with automatic LRU eviction.</w:t>
            </w:r>
          </w:p>
        </w:tc>
      </w:tr>
      <w:tr w:rsidR="00AC572F" w14:paraId="0719087F" w14:textId="77777777"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CAA6E" w14:textId="77777777" w:rsidR="00AC572F" w:rsidRDefault="00000000">
            <w:pPr>
              <w:spacing w:line="256" w:lineRule="auto"/>
            </w:pPr>
            <w:r>
              <w:rPr>
                <w:b/>
                <w:bCs/>
                <w:i w:val="0"/>
                <w:color w:val="212121"/>
                <w:sz w:val="17"/>
                <w:szCs w:val="17"/>
              </w:rPr>
              <w:t>External: Societal — Public concern about healthcare AI</w:t>
            </w:r>
          </w:p>
        </w:tc>
        <w:tc>
          <w:tcPr>
            <w:tcW w:w="66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33AF0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Growing distrust fuelled by documented failures: racially biased pulse oximeters (2020), over-alerting sepsis systems (2021), dermatology AI underperforming on dark skin (2019). Step 7 includes these as educational case studies.</w:t>
            </w:r>
          </w:p>
        </w:tc>
      </w:tr>
      <w:tr w:rsidR="00AC572F" w14:paraId="3D1F3203" w14:textId="77777777"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794A0" w14:textId="77777777" w:rsidR="00AC572F" w:rsidRDefault="00000000">
            <w:pPr>
              <w:spacing w:line="256" w:lineRule="auto"/>
            </w:pPr>
            <w:r>
              <w:rPr>
                <w:b/>
                <w:bCs/>
                <w:i w:val="0"/>
                <w:color w:val="212121"/>
                <w:sz w:val="17"/>
                <w:szCs w:val="17"/>
              </w:rPr>
              <w:t>External: Technological — Rapid evolution of XAI</w:t>
            </w:r>
          </w:p>
        </w:tc>
        <w:tc>
          <w:tcPr>
            <w:tcW w:w="66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DA993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XAI methods evolve rapidly (SHAP, LIME, counterfactual explanations). Our SHAP implementation covers TreeExplainer, LinearExplainer, and KernelExplainer. Modular ExplainService architecture allows future integration of alternatives.</w:t>
            </w:r>
          </w:p>
        </w:tc>
      </w:tr>
      <w:tr w:rsidR="00AC572F" w14:paraId="49477424" w14:textId="77777777"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E6D1C" w14:textId="77777777" w:rsidR="00AC572F" w:rsidRDefault="00000000">
            <w:pPr>
              <w:spacing w:line="256" w:lineRule="auto"/>
            </w:pPr>
            <w:r>
              <w:rPr>
                <w:b/>
                <w:bCs/>
                <w:i w:val="0"/>
                <w:color w:val="212121"/>
                <w:sz w:val="17"/>
                <w:szCs w:val="17"/>
              </w:rPr>
              <w:t>External: Market — Demand for AI-literate clinicians</w:t>
            </w:r>
          </w:p>
        </w:tc>
        <w:tc>
          <w:tcPr>
            <w:tcW w:w="66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CCB13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WHO Global Strategy on Digital Health and EU policy emphasise AI literacy for healthcare workers. Our tool serves this need across 20 specialties.</w:t>
            </w:r>
          </w:p>
        </w:tc>
      </w:tr>
      <w:tr w:rsidR="00AC572F" w14:paraId="2692EACD" w14:textId="77777777"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F538E" w14:textId="77777777" w:rsidR="00AC572F" w:rsidRDefault="00000000">
            <w:pPr>
              <w:spacing w:line="256" w:lineRule="auto"/>
            </w:pPr>
            <w:r>
              <w:rPr>
                <w:b/>
                <w:bCs/>
                <w:i w:val="0"/>
                <w:color w:val="212121"/>
                <w:sz w:val="17"/>
                <w:szCs w:val="17"/>
              </w:rPr>
              <w:t>Internal: Competence — Team ML/AI experience</w:t>
            </w:r>
          </w:p>
        </w:tc>
        <w:tc>
          <w:tcPr>
            <w:tcW w:w="66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55D8D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5 software engineering students with varying ML expertise. Mitigated by: structured 7-step wizard, well-established libraries (scikit-learn, XGBoost, LightGBM, SHAP), iterative development across 5 sprints with instructor feedback.</w:t>
            </w:r>
          </w:p>
        </w:tc>
      </w:tr>
      <w:tr w:rsidR="00AC572F" w14:paraId="428588E5" w14:textId="77777777"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6889F" w14:textId="77777777" w:rsidR="00AC572F" w:rsidRDefault="00000000">
            <w:pPr>
              <w:spacing w:line="256" w:lineRule="auto"/>
            </w:pPr>
            <w:r>
              <w:rPr>
                <w:b/>
                <w:bCs/>
                <w:i w:val="0"/>
                <w:color w:val="212121"/>
                <w:sz w:val="17"/>
                <w:szCs w:val="17"/>
              </w:rPr>
              <w:t>Internal: Infrastructure — No GPU, browser-based</w:t>
            </w:r>
          </w:p>
        </w:tc>
        <w:tc>
          <w:tcPr>
            <w:tcW w:w="66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26E9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All ML computation on CPU via FastAPI. Docker containerisation (python:3.12-slim) for HuggingFace Spaces. OrderedDict-based LRU eviction (max 50 sessions/models).</w:t>
            </w:r>
          </w:p>
        </w:tc>
      </w:tr>
      <w:tr w:rsidR="00AC572F" w14:paraId="6345DE11" w14:textId="77777777">
        <w:tc>
          <w:tcPr>
            <w:tcW w:w="2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18146" w14:textId="77777777" w:rsidR="00AC572F" w:rsidRDefault="00000000">
            <w:pPr>
              <w:spacing w:line="256" w:lineRule="auto"/>
            </w:pPr>
            <w:r>
              <w:rPr>
                <w:b/>
                <w:bCs/>
                <w:i w:val="0"/>
                <w:color w:val="212121"/>
                <w:sz w:val="17"/>
                <w:szCs w:val="17"/>
              </w:rPr>
              <w:t>Internal: Timeline — 10-week sprint cycle</w:t>
            </w:r>
          </w:p>
        </w:tc>
        <w:tc>
          <w:tcPr>
            <w:tcW w:w="66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92A3B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5 sprints with competing coursework. Mitigated by progressive delivery: Sprint 1 (Steps 1–2), Sprint 2 (Steps 3–4), Sprint 3 (Steps 5–6), Sprint 4 (Step 7 + Docker), Sprint 5 (user testing + ISO report + presentation).</w:t>
            </w:r>
          </w:p>
        </w:tc>
      </w:tr>
      <w:tr>
        <w:tc>
          <w:tcPr>
            <w:tcW w:type="dxa" w:w="2400"/>
          </w:tcPr>
          <w:p>
            <w:r>
              <w:rPr>
                <w:b/>
                <w:i w:val="0"/>
              </w:rPr>
              <w:t>Internal: Resource — In-memory architecture</w:t>
            </w:r>
            <w:r>
              <w:rPr>
                <w:sz w:val="18"/>
              </w:rPr>
            </w:r>
          </w:p>
        </w:tc>
        <w:tc>
          <w:tcPr>
            <w:tcW w:type="dxa" w:w="6626"/>
          </w:tcPr>
          <w:p>
            <w:r>
              <w:rPr>
                <w:b w:val="0"/>
                <w:i w:val="0"/>
              </w:rPr>
              <w:t>No external database simplifies privacy compliance but limits capacity. MLService uses OrderedDict LRU eviction (max 50 sessions/models). DataService uses unbounded dict, mitigated by sessions being transferred to MLService's LRU store; orphaned DataService entries are garbage-collected. Production would require LRU cap on DataService (identified as risk item for Ch. 4).</w:t>
            </w:r>
            <w:r>
              <w:rPr>
                <w:sz w:val="18"/>
              </w:rPr>
            </w:r>
          </w:p>
        </w:tc>
      </w:tr>
    </w:tbl>
    <w:p w14:paraId="0A651AB4" w14:textId="77777777" w:rsidR="00AC572F" w:rsidRDefault="00000000">
      <w:pPr>
        <w:pStyle w:val="Heading2"/>
      </w:pPr>
      <w:r>
        <w:t>1.4 Stakeholder Register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112"/>
        <w:gridCol w:w="2521"/>
        <w:gridCol w:w="2794"/>
        <w:gridCol w:w="1199"/>
      </w:tblGrid>
      <w:tr w:rsidR="00AC572F" w14:paraId="00EFCAAB" w14:textId="77777777"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F0296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Stakeholder</w:t>
            </w:r>
          </w:p>
        </w:tc>
        <w:tc>
          <w:tcPr>
            <w:tcW w:w="11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2FF6C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Role / Category</w:t>
            </w:r>
          </w:p>
        </w:tc>
        <w:tc>
          <w:tcPr>
            <w:tcW w:w="25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D9E4A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Key Needs &amp; Expectations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E3E5F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How AIMS Addresses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B92E8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Influence</w:t>
            </w:r>
          </w:p>
        </w:tc>
      </w:tr>
      <w:tr w:rsidR="00AC572F" w14:paraId="0DA78194" w14:textId="77777777"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EA351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color w:val="212121"/>
                <w:sz w:val="16"/>
                <w:szCs w:val="16"/>
              </w:rPr>
              <w:t>Healthcare Professionals</w:t>
            </w:r>
          </w:p>
          <w:p w14:paraId="200C1FD0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6"/>
                <w:szCs w:val="16"/>
              </w:rPr>
            </w:r>
          </w:p>
        </w:tc>
        <w:tc>
          <w:tcPr>
            <w:tcW w:w="11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3530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color w:val="212121"/>
                <w:sz w:val="16"/>
                <w:szCs w:val="16"/>
              </w:rPr>
              <w:t>End User</w:t>
            </w:r>
          </w:p>
        </w:tc>
        <w:tc>
          <w:tcPr>
            <w:tcW w:w="25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E1A43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6"/>
                <w:szCs w:val="16"/>
              </w:rPr>
              <w:t>Clinical language; trust model fairness; data privacy; understand AI limitations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257CA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6"/>
                <w:szCs w:val="16"/>
              </w:rPr>
              <w:t>No-code UI; Step 6 SHAP with 251 clinical name mappings; Step 7 subgroup bias audit; privacy notice; clinical disclaimers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EC1A3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color w:val="212121"/>
                <w:sz w:val="16"/>
                <w:szCs w:val="16"/>
              </w:rPr>
              <w:t>High</w:t>
            </w:r>
          </w:p>
        </w:tc>
      </w:tr>
      <w:tr w:rsidR="00AC572F" w14:paraId="16F93AAD" w14:textId="77777777"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2CBCD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color w:val="212121"/>
                <w:sz w:val="16"/>
                <w:szCs w:val="16"/>
              </w:rPr>
              <w:t>Patients (indirect)</w:t>
            </w:r>
          </w:p>
        </w:tc>
        <w:tc>
          <w:tcPr>
            <w:tcW w:w="11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16ACA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color w:val="212121"/>
                <w:sz w:val="16"/>
                <w:szCs w:val="16"/>
              </w:rPr>
              <w:t>Affected Party</w:t>
            </w:r>
          </w:p>
        </w:tc>
        <w:tc>
          <w:tcPr>
            <w:tcW w:w="25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A8FD7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6"/>
                <w:szCs w:val="16"/>
              </w:rPr>
              <w:t>Fair treatment; data not misused; AI not replacing clinical judgment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CF762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6"/>
                <w:szCs w:val="16"/>
              </w:rPr>
              <w:t>Step 7 subgroup analysis (gender, age bands); 10% sensitivity gap threshold; SMOTE; educational-only scope; no PII processing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B40FE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color w:val="212121"/>
                <w:sz w:val="16"/>
                <w:szCs w:val="16"/>
              </w:rPr>
              <w:t>High</w:t>
            </w:r>
          </w:p>
        </w:tc>
      </w:tr>
      <w:tr w:rsidR="00AC572F" w14:paraId="6C1A8809" w14:textId="77777777"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CAFA0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color w:val="212121"/>
                <w:sz w:val="16"/>
                <w:szCs w:val="16"/>
              </w:rPr>
              <w:t>Students / Dev Team</w:t>
              <w:br/>
              <w:t>(5 members)</w:t>
            </w:r>
          </w:p>
          <w:p w14:paraId="02FA707C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6"/>
                <w:szCs w:val="16"/>
              </w:rPr>
            </w:r>
          </w:p>
        </w:tc>
        <w:tc>
          <w:tcPr>
            <w:tcW w:w="11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9F320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color w:val="212121"/>
                <w:sz w:val="16"/>
                <w:szCs w:val="16"/>
              </w:rPr>
              <w:t>Developer</w:t>
            </w:r>
          </w:p>
        </w:tc>
        <w:tc>
          <w:tcPr>
            <w:tcW w:w="25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107AA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6"/>
                <w:szCs w:val="16"/>
              </w:rPr>
              <w:t>Clear requirements; learn responsible AI; feasible workload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FEAF5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6"/>
                <w:szCs w:val="16"/>
              </w:rPr>
              <w:t>User Guide as spec; ISO deliverables as learning; 5-sprint timeline; Jira-tracked task distribution across backend, frontend, and QA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5AFEB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color w:val="212121"/>
                <w:sz w:val="16"/>
                <w:szCs w:val="16"/>
              </w:rPr>
              <w:t>Medium</w:t>
            </w:r>
          </w:p>
        </w:tc>
      </w:tr>
      <w:tr w:rsidR="00AC572F" w14:paraId="5B3B3A1C" w14:textId="77777777"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1ADEA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color w:val="212121"/>
                <w:sz w:val="16"/>
                <w:szCs w:val="16"/>
              </w:rPr>
              <w:t>Instructor</w:t>
              <w:br/>
              <w:t>(Dr. Sevgi Koyuncu Tunç)</w:t>
            </w:r>
          </w:p>
        </w:tc>
        <w:tc>
          <w:tcPr>
            <w:tcW w:w="11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9D288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color w:val="212121"/>
                <w:sz w:val="16"/>
                <w:szCs w:val="16"/>
              </w:rPr>
              <w:t>Governance</w:t>
            </w:r>
          </w:p>
        </w:tc>
        <w:tc>
          <w:tcPr>
            <w:tcW w:w="25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E9428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6"/>
                <w:szCs w:val="16"/>
              </w:rPr>
              <w:t>Quality; curriculum alignment; ethical AI education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99F8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6"/>
                <w:szCs w:val="16"/>
              </w:rPr>
              <w:t>Sprint gates as management review; ISO rubric; peer audit; PDCA cycle documented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DBE53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color w:val="212121"/>
                <w:sz w:val="16"/>
                <w:szCs w:val="16"/>
              </w:rPr>
              <w:t>High</w:t>
            </w:r>
          </w:p>
        </w:tc>
      </w:tr>
      <w:tr w:rsidR="00AC572F" w14:paraId="329BE1B2" w14:textId="77777777"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13AB6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color w:val="212121"/>
                <w:sz w:val="16"/>
                <w:szCs w:val="16"/>
              </w:rPr>
              <w:t>Regulators</w:t>
              <w:br/>
              <w:t>(EU AI Act)</w:t>
            </w:r>
          </w:p>
          <w:p w14:paraId="1DA6193B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6"/>
                <w:szCs w:val="16"/>
              </w:rPr>
            </w:r>
          </w:p>
        </w:tc>
        <w:tc>
          <w:tcPr>
            <w:tcW w:w="11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2C05B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color w:val="212121"/>
                <w:sz w:val="16"/>
                <w:szCs w:val="16"/>
              </w:rPr>
              <w:t>External</w:t>
            </w:r>
          </w:p>
        </w:tc>
        <w:tc>
          <w:tcPr>
            <w:tcW w:w="25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A2752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6"/>
                <w:szCs w:val="16"/>
              </w:rPr>
              <w:t>Transparency; human oversight; bias audit; documentation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33A79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6"/>
                <w:szCs w:val="16"/>
              </w:rPr>
              <w:t>Step 7 EU AI Act checklist (8 items); SHAP explainability; clinical disclaimers; all ISO deliverables as governance evidence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70AF3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color w:val="212121"/>
                <w:sz w:val="16"/>
                <w:szCs w:val="16"/>
              </w:rPr>
              <w:t>High</w:t>
            </w:r>
          </w:p>
        </w:tc>
      </w:tr>
      <w:tr w:rsidR="00AC572F" w14:paraId="2D207568" w14:textId="77777777"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4634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color w:val="212121"/>
                <w:sz w:val="16"/>
                <w:szCs w:val="16"/>
              </w:rPr>
              <w:t>Dataset Providers</w:t>
              <w:br/>
              <w:t>(UCI, Kaggle, etc.)</w:t>
            </w:r>
          </w:p>
          <w:p w14:paraId="0747F8E2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6"/>
                <w:szCs w:val="16"/>
              </w:rPr>
            </w:r>
          </w:p>
        </w:tc>
        <w:tc>
          <w:tcPr>
            <w:tcW w:w="11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3AE38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color w:val="212121"/>
                <w:sz w:val="16"/>
                <w:szCs w:val="16"/>
              </w:rPr>
              <w:t>Supplier</w:t>
            </w:r>
          </w:p>
        </w:tc>
        <w:tc>
          <w:tcPr>
            <w:tcW w:w="25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F9C6B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6"/>
                <w:szCs w:val="16"/>
              </w:rPr>
              <w:t>Proper attribution; ethical use; license compliance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9B4D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6"/>
                <w:szCs w:val="16"/>
              </w:rPr>
              <w:t>Provenance in Section 3.1; DATA_LICENSES.md (per-dataset license categories, DOIs, redistribution rights); ATTRIBUTION.md (CC BY/CC BY-SA attributions); Section 3.4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29810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color w:val="212121"/>
                <w:sz w:val="16"/>
                <w:szCs w:val="16"/>
              </w:rPr>
              <w:t>Low</w:t>
            </w:r>
          </w:p>
        </w:tc>
      </w:tr>
      <w:tr w:rsidR="00AC572F" w14:paraId="468AE2EC" w14:textId="77777777"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D738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6"/>
                <w:szCs w:val="16"/>
              </w:rPr>
              <w:t>General Public</w:t>
            </w:r>
          </w:p>
        </w:tc>
        <w:tc>
          <w:tcPr>
            <w:tcW w:w="11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6146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6"/>
                <w:szCs w:val="16"/>
              </w:rPr>
              <w:t>Societal</w:t>
            </w:r>
          </w:p>
        </w:tc>
        <w:tc>
          <w:tcPr>
            <w:tcW w:w="25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DA3C8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6"/>
                <w:szCs w:val="16"/>
              </w:rPr>
              <w:t>Trust in healthcare AI; transparency about capabilities and limitations</w:t>
            </w:r>
          </w:p>
        </w:tc>
        <w:tc>
          <w:tcPr>
            <w:tcW w:w="2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0F1F8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6"/>
                <w:szCs w:val="16"/>
              </w:rPr>
              <w:t>Open educational tool; Step 7 AI failure case studies; responsible AI principles embedded throughout; fairness analysis promotes equity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F876B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6"/>
                <w:szCs w:val="16"/>
              </w:rPr>
              <w:t>Low</w:t>
            </w:r>
          </w:p>
        </w:tc>
      </w:tr>
    </w:tbl>
    <w:p w14:paraId="59304369" w14:textId="77777777" w:rsidR="00AC572F" w:rsidRDefault="00AC572F">
      <w:pPr>
        <w:spacing w:after="80"/>
      </w:pPr>
    </w:p>
    <w:p w14:paraId="7E0090FF" w14:textId="77777777" w:rsidR="00AC572F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AC572F" w14:paraId="624852C9" w14:textId="77777777">
        <w:tc>
          <w:tcPr>
            <w:tcW w:w="700" w:type="dxa"/>
            <w:tcBorders>
              <w:bottom w:val="single" w:sz="6" w:space="0" w:color="1B5E20"/>
            </w:tcBorders>
            <w:shd w:val="clear" w:color="auto" w:fill="1B5E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C77215" w14:textId="77777777" w:rsidR="00AC572F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2</w:t>
            </w:r>
          </w:p>
        </w:tc>
        <w:tc>
          <w:tcPr>
            <w:tcW w:w="8326" w:type="dxa"/>
            <w:tcBorders>
              <w:bottom w:val="single" w:sz="6" w:space="0" w:color="1B5E20"/>
            </w:tcBorders>
            <w:tcMar>
              <w:top w:w="60" w:type="dxa"/>
              <w:left w:w="140" w:type="dxa"/>
              <w:bottom w:w="60" w:type="dxa"/>
              <w:right w:w="80" w:type="dxa"/>
            </w:tcMar>
            <w:vAlign w:val="center"/>
          </w:tcPr>
          <w:p w14:paraId="5C707BC0" w14:textId="77777777" w:rsidR="00AC572F" w:rsidRDefault="00000000">
            <w:r>
              <w:rPr>
                <w:b/>
                <w:bCs/>
                <w:color w:val="1B5E20"/>
                <w:sz w:val="26"/>
                <w:szCs w:val="26"/>
              </w:rPr>
              <w:t>AI Policy &amp; Governance</w:t>
            </w:r>
          </w:p>
        </w:tc>
      </w:tr>
    </w:tbl>
    <w:p w14:paraId="0B9CC14A" w14:textId="77777777" w:rsidR="00AC572F" w:rsidRDefault="00AC572F">
      <w:pPr>
        <w:spacing w:after="100"/>
      </w:pPr>
    </w:p>
    <w:p w14:paraId="17AFE650" w14:textId="77777777" w:rsidR="00AC572F" w:rsidRDefault="00000000">
      <w:pPr>
        <w:spacing w:after="120" w:line="276" w:lineRule="auto"/>
        <w:jc w:val="both"/>
      </w:pPr>
      <w:r>
        <w:rPr>
          <w:b/>
          <w:bCs/>
          <w:color w:val="212121"/>
        </w:rPr>
        <w:t xml:space="preserve">ISO 42001 Reference: </w:t>
      </w:r>
      <w:r>
        <w:rPr>
          <w:color w:val="212121"/>
        </w:rPr>
        <w:t>Clause 5.1 (Leadership), Clause 5.2 (AI Policy), Clause 5.3 (Roles), Annex A.2.2 (AI Policy), A.3.2 (Roles &amp; Responsibilities)</w:t>
      </w:r>
    </w:p>
    <w:p w14:paraId="2E8A55A4" w14:textId="77777777" w:rsidR="00AC572F" w:rsidRDefault="00000000">
      <w:pPr>
        <w:pStyle w:val="Heading2"/>
      </w:pPr>
      <w:r>
        <w:t>2.1 AI Policy Statement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C572F" w14:paraId="200D0C7D" w14:textId="77777777"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8359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43D90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68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8359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A6DA5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</w:tr>
      <w:tr w:rsidR="00AC572F" w14:paraId="7CC8541C" w14:textId="77777777"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4DE12" w14:textId="77777777" w:rsidR="00AC572F" w:rsidRDefault="00000000">
            <w:pPr>
              <w:spacing w:line="256" w:lineRule="auto"/>
            </w:pPr>
            <w:r>
              <w:rPr>
                <w:b/>
                <w:bCs/>
                <w:color w:val="212121"/>
                <w:sz w:val="17"/>
                <w:szCs w:val="17"/>
              </w:rPr>
              <w:t>Policy Title &amp; Version</w:t>
            </w:r>
          </w:p>
        </w:tc>
        <w:tc>
          <w:tcPr>
            <w:tcW w:w="68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81707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AI Policy for HealthWithSevgi ML Visualization Tool — Version 1.0, April 2026</w:t>
            </w:r>
          </w:p>
        </w:tc>
      </w:tr>
      <w:tr w:rsidR="00AC572F" w14:paraId="6D776534" w14:textId="77777777"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FBDF2" w14:textId="77777777" w:rsidR="00AC572F" w:rsidRDefault="00000000">
            <w:pPr>
              <w:spacing w:line="256" w:lineRule="auto"/>
            </w:pPr>
            <w:r>
              <w:rPr>
                <w:b/>
                <w:bCs/>
                <w:color w:val="212121"/>
                <w:sz w:val="17"/>
                <w:szCs w:val="17"/>
              </w:rPr>
              <w:t>Purpose</w:t>
            </w:r>
          </w:p>
        </w:tc>
        <w:tc>
          <w:tcPr>
            <w:tcW w:w="68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6A57D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This policy establishes the governance framework for responsible development and educational deployment of the HealthWithSevgi ML Visualization Tool. It ensures that all AI-related activities adhere to principles of fairness, transparency, human oversight, privacy, safety, and accountability, in alignment with ISO/IEC 42001:2023 and the EU AI Act.</w:t>
            </w:r>
          </w:p>
        </w:tc>
      </w:tr>
      <w:tr w:rsidR="00AC572F" w14:paraId="52B1914D" w14:textId="77777777"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26FF5" w14:textId="77777777" w:rsidR="00AC572F" w:rsidRDefault="00000000">
            <w:pPr>
              <w:spacing w:line="256" w:lineRule="auto"/>
            </w:pPr>
            <w:r>
              <w:rPr>
                <w:b/>
                <w:bCs/>
                <w:color w:val="212121"/>
                <w:sz w:val="17"/>
                <w:szCs w:val="17"/>
              </w:rPr>
              <w:t>Scope</w:t>
            </w:r>
          </w:p>
        </w:tc>
        <w:tc>
          <w:tcPr>
            <w:tcW w:w="68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DCB6A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This policy governs all AI/ML components as defined in Section 1.2, including: 8 supervised classification algorithms; the SHAP-based explainability engine; the subgroup fairness analysis system; all 20 built-in clinical datasets and user-uploaded CSV processing; the 7-step wizard pipeline; and the Docker-containerised deployment. Applies to all five team members across all five project sprints.</w:t>
            </w:r>
          </w:p>
        </w:tc>
      </w:tr>
      <w:tr w:rsidR="00AC572F" w14:paraId="38B4F7C0" w14:textId="77777777"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0111E" w14:textId="77777777" w:rsidR="00AC572F" w:rsidRDefault="00000000">
            <w:pPr>
              <w:spacing w:line="256" w:lineRule="auto"/>
            </w:pPr>
            <w:r>
              <w:rPr>
                <w:b/>
                <w:bCs/>
                <w:color w:val="212121"/>
                <w:sz w:val="17"/>
                <w:szCs w:val="17"/>
              </w:rPr>
              <w:t>Principle 1: Fairness</w:t>
            </w:r>
          </w:p>
        </w:tc>
        <w:tc>
          <w:tcPr>
            <w:tcW w:w="68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D4CB8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We commit to equitable AI performance across all patient groups. Implementation: Step 7 subgroup fairness audit evaluates sensitivity across gender (Female/Male) and age bands (18–60, 61–75, 76+). 10pp gap triggers 'review' warning; 20pp or sensitivity &lt;50% triggers 'action_needed' alert. Step 3 SMOTE addresses class imbalance with adaptive k_neighbors = max(1, min(5, min_class_count-1)). Three real-world AI failure case studies in Step 7 educate about consequences of unfair AI.</w:t>
            </w:r>
          </w:p>
        </w:tc>
      </w:tr>
      <w:tr w:rsidR="00AC572F" w14:paraId="3B729A77" w14:textId="77777777"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15BF1" w14:textId="77777777" w:rsidR="00AC572F" w:rsidRDefault="00000000">
            <w:pPr>
              <w:spacing w:line="256" w:lineRule="auto"/>
            </w:pPr>
            <w:r>
              <w:rPr>
                <w:b/>
                <w:bCs/>
                <w:color w:val="212121"/>
                <w:sz w:val="17"/>
                <w:szCs w:val="17"/>
              </w:rPr>
              <w:t>Principle 2: Transparency</w:t>
            </w:r>
          </w:p>
        </w:tc>
        <w:tc>
          <w:tcPr>
            <w:tcW w:w="68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0E234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We commit to making AI decisions interpretable for non-technical users. Implementation: Step 5 presents 7 metrics with colour-coded thresholds. Step 6 provides SHAP global feature importance and single-patient waterfall charts. 251 clinical name mappings translate raw variables to clinician-friendly terms. Clinical sense-check notes accompany top features.</w:t>
            </w:r>
          </w:p>
        </w:tc>
      </w:tr>
      <w:tr w:rsidR="00AC572F" w14:paraId="60466B1D" w14:textId="77777777"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C9C33" w14:textId="77777777" w:rsidR="00AC572F" w:rsidRDefault="00000000">
            <w:pPr>
              <w:spacing w:line="256" w:lineRule="auto"/>
            </w:pPr>
            <w:r>
              <w:rPr>
                <w:b/>
                <w:bCs/>
                <w:color w:val="212121"/>
                <w:sz w:val="17"/>
                <w:szCs w:val="17"/>
              </w:rPr>
              <w:t>Principle 3: Human Oversight</w:t>
            </w:r>
          </w:p>
        </w:tc>
        <w:tc>
          <w:tcPr>
            <w:tcW w:w="68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299E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We commit to humans remaining the ultimate decision-makers. Implementation: Step 7 EU AI Act checklist item requires user confirmation of human oversight plan. Step 6 displays: 'A clinician must always decide whether and how to act on any AI prediction. This tool is an educational aid, not a diagnostic device.' No automated clinical actions are triggered.</w:t>
            </w:r>
          </w:p>
        </w:tc>
      </w:tr>
      <w:tr w:rsidR="00AC572F" w14:paraId="1CEB4DC1" w14:textId="77777777"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813C7" w14:textId="77777777" w:rsidR="00AC572F" w:rsidRDefault="00000000">
            <w:pPr>
              <w:spacing w:line="256" w:lineRule="auto"/>
            </w:pPr>
            <w:r>
              <w:rPr>
                <w:b/>
                <w:bCs/>
                <w:color w:val="212121"/>
                <w:sz w:val="17"/>
                <w:szCs w:val="17"/>
              </w:rPr>
              <w:t>Principle 4: Privacy</w:t>
            </w:r>
          </w:p>
        </w:tc>
        <w:tc>
          <w:tcPr>
            <w:tcW w:w="68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B5D68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We commit to privacy-by-design. Implementation: All processing in-memory on FastAPI with OrderedDict LRU eviction (max 50 sessions/models). No database, no disk writes. Footer: 'Patient data is processed locally within this session. No patient data is stored or transmitted.' CORS restricted to localhost. PDF certificate contains only aggregate metrics — no raw patient data.</w:t>
            </w:r>
          </w:p>
        </w:tc>
      </w:tr>
      <w:tr w:rsidR="00AC572F" w14:paraId="6C1EE7E2" w14:textId="77777777"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298F8" w14:textId="77777777" w:rsidR="00AC572F" w:rsidRDefault="00000000">
            <w:pPr>
              <w:spacing w:line="256" w:lineRule="auto"/>
            </w:pPr>
            <w:r>
              <w:rPr>
                <w:b/>
                <w:bCs/>
                <w:color w:val="212121"/>
                <w:sz w:val="17"/>
                <w:szCs w:val="17"/>
              </w:rPr>
              <w:t>Principle 5: Safety</w:t>
            </w:r>
          </w:p>
        </w:tc>
        <w:tc>
          <w:tcPr>
            <w:tcW w:w="68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309E2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We commit to preventing harmful outputs through technical safeguards. Implementation: Backend validates inputs (≥10 rows, ≤50 MB, ≤20 classes, ≥2 columns — HTTP 422 on failure). SHAP fallback chain: TreeExplainer → LinearExplainer → KernelExplainer → permutation importance. Step 5 low-sensitivity warning (&lt;50%) and overfitting warning (train-test gap &gt;10pp). Step 1: 'This is a learning tool. No real patient data leaves your browser session.'</w:t>
            </w:r>
          </w:p>
        </w:tc>
      </w:tr>
      <w:tr w:rsidR="00AC572F" w14:paraId="50464B46" w14:textId="77777777"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2BF8F" w14:textId="77777777" w:rsidR="00AC572F" w:rsidRDefault="00000000">
            <w:pPr>
              <w:spacing w:line="256" w:lineRule="auto"/>
            </w:pPr>
            <w:r>
              <w:rPr>
                <w:b/>
                <w:bCs/>
                <w:color w:val="212121"/>
                <w:sz w:val="17"/>
                <w:szCs w:val="17"/>
              </w:rPr>
              <w:t>Principle 6: Accountability</w:t>
            </w:r>
          </w:p>
        </w:tc>
        <w:tc>
          <w:tcPr>
            <w:tcW w:w="68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BD7E4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We commit to clear responsibility. Implementation: Governance roles mapped in Section 2.2. Sprint gates serve as management review (Clause 9.3). Git version control (101+ commits, 5 members) provides full audit trail. PDCA cycle: Ch.1–3 first submission (Plan) → implementation (Do) → feedback + peer audit (Check) → corrective actions (Act).</w:t>
            </w:r>
          </w:p>
        </w:tc>
      </w:tr>
      <w:tr w:rsidR="00AC572F" w14:paraId="3BFF31D7" w14:textId="77777777"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2A99A" w14:textId="77777777" w:rsidR="00AC572F" w:rsidRDefault="00000000">
            <w:pPr>
              <w:spacing w:line="256" w:lineRule="auto"/>
            </w:pPr>
            <w:r>
              <w:rPr>
                <w:b/>
                <w:bCs/>
                <w:color w:val="212121"/>
                <w:sz w:val="17"/>
                <w:szCs w:val="17"/>
              </w:rPr>
              <w:t>Compliance Commitments</w:t>
            </w:r>
          </w:p>
        </w:tc>
        <w:tc>
          <w:tcPr>
            <w:tcW w:w="68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1455F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ISO/IEC 42001:2023; EU AI Act Regulation 2024/1689 (educational alignment, Art. 6, Annex III); ISO/IEC 25059 (AI system quality); KVKK Law No. 6698 / EU GDPR (data protection alignment through privacy-by-design).</w:t>
            </w:r>
          </w:p>
        </w:tc>
      </w:tr>
      <w:tr w:rsidR="00AC572F" w14:paraId="4DD12CBF" w14:textId="77777777"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7E743" w14:textId="77777777" w:rsidR="00AC572F" w:rsidRDefault="00000000">
            <w:pPr>
              <w:spacing w:line="256" w:lineRule="auto"/>
            </w:pPr>
            <w:r>
              <w:rPr>
                <w:b/>
                <w:bCs/>
                <w:color w:val="212121"/>
                <w:sz w:val="17"/>
                <w:szCs w:val="17"/>
              </w:rPr>
              <w:t>Review Schedule</w:t>
            </w:r>
          </w:p>
        </w:tc>
        <w:tc>
          <w:tcPr>
            <w:tcW w:w="68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CD3B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Reviewed: (1) at project completion (May 2026); (2) when Step 7 detects sensitivity gap ≥20pp ('action_needed'); (3) when AIMS scope changes; (4) when regulations update (EU AI Act enforcement, KVKK amendments).</w:t>
            </w:r>
            <w:proofErr w:type="gramStart"/>
            <w:r>
              <w:rPr>
                <w:i/>
                <w:iCs/>
                <w:color w:val="616161"/>
                <w:sz w:val="17"/>
                <w:szCs w:val="17"/>
              </w:rPr>
            </w:r>
            <w:proofErr w:type="gramEnd"/>
            <w:r>
              <w:rPr>
                <w:i/>
                <w:iCs/>
                <w:color w:val="616161"/>
                <w:sz w:val="17"/>
                <w:szCs w:val="17"/>
              </w:rPr>
            </w:r>
          </w:p>
        </w:tc>
      </w:tr>
      <w:tr w:rsidR="00AC572F" w14:paraId="50D215CF" w14:textId="77777777"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E6CD5" w14:textId="77777777" w:rsidR="00AC572F" w:rsidRDefault="00000000">
            <w:pPr>
              <w:spacing w:line="256" w:lineRule="auto"/>
            </w:pPr>
            <w:r>
              <w:rPr>
                <w:b/>
                <w:bCs/>
                <w:color w:val="212121"/>
                <w:sz w:val="17"/>
                <w:szCs w:val="17"/>
              </w:rPr>
              <w:t>Approval</w:t>
            </w:r>
          </w:p>
        </w:tc>
        <w:tc>
          <w:tcPr>
            <w:tcW w:w="68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21239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Team: HealthWithSevgi, AI System Owner: Efe Çelik (Product Owner), Date: April 2026</w:t>
            </w:r>
          </w:p>
        </w:tc>
      </w:tr>
    </w:tbl>
    <w:p w14:paraId="269B7ED7" w14:textId="77777777" w:rsidR="00AC572F" w:rsidRDefault="00000000">
      <w:pPr>
        <w:pStyle w:val="Heading2"/>
      </w:pPr>
      <w:r>
        <w:t>2.2 AI Governance Roles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1400"/>
        <w:gridCol w:w="4226"/>
      </w:tblGrid>
      <w:tr w:rsidR="00AC572F" w14:paraId="14F0A6C1" w14:textId="77777777"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2D879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AI Governance Role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7888D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Scrum Equivalent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E66F5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Assigned To</w:t>
            </w:r>
          </w:p>
        </w:tc>
        <w:tc>
          <w:tcPr>
            <w:tcW w:w="42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0A7C2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Key Responsibilities</w:t>
            </w:r>
          </w:p>
        </w:tc>
      </w:tr>
      <w:tr w:rsidR="00AC572F" w14:paraId="09D5C79D" w14:textId="77777777"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9F574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color w:val="212121"/>
                <w:sz w:val="16"/>
                <w:szCs w:val="16"/>
              </w:rPr>
              <w:t>AI System Owner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A5DF3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color w:val="212121"/>
                <w:sz w:val="16"/>
                <w:szCs w:val="16"/>
              </w:rPr>
              <w:t>Product Owner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0206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6"/>
                <w:szCs w:val="16"/>
              </w:rPr>
              <w:t>Efe Çelik</w:t>
            </w:r>
          </w:p>
        </w:tc>
        <w:tc>
          <w:tcPr>
            <w:tcW w:w="42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9CB7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6"/>
                <w:szCs w:val="16"/>
              </w:rPr>
              <w:t>Overall accountability for AI system and ISO 42001 compliance. AI policy approval (Section 2.1); AIMS scope decisions (Section 1.2); final authority on risk acceptance; user story prioritisation; stakeholder communication.</w:t>
            </w:r>
          </w:p>
        </w:tc>
      </w:tr>
      <w:tr w:rsidR="00AC572F" w14:paraId="686C8A3F" w14:textId="77777777"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78F2D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color w:val="212121"/>
                <w:sz w:val="16"/>
                <w:szCs w:val="16"/>
              </w:rPr>
              <w:t>Technical Lead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C9394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6"/>
                <w:szCs w:val="16"/>
              </w:rPr>
              <w:t>Scrum Master /</w:t>
              <w:br/>
              <w:t>Lead Developer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6739F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6"/>
                <w:szCs w:val="16"/>
              </w:rPr>
              <w:t>Batuhan Bayazıt</w:t>
            </w:r>
          </w:p>
        </w:tc>
        <w:tc>
          <w:tcPr>
            <w:tcW w:w="42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E9951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6"/>
                <w:szCs w:val="16"/>
              </w:rPr>
              <w:t>Technical oversight of all ML implementations and architecture. 8 algorithm implementations (MLService); SHAP engine quality across 4 explainer types; Docker deployment; CI/CD; session architecture design; code review; sprint facilitation.</w:t>
            </w:r>
          </w:p>
        </w:tc>
      </w:tr>
      <w:tr w:rsidR="00AC572F" w14:paraId="30C356F8" w14:textId="77777777"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07A37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color w:val="212121"/>
                <w:sz w:val="16"/>
                <w:szCs w:val="16"/>
              </w:rPr>
              <w:t>Data Steward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D55F6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6"/>
                <w:szCs w:val="16"/>
              </w:rPr>
              <w:t>Developer</w:t>
              <w:br/>
              <w:t>(Backend)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7B13C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6"/>
                <w:szCs w:val="16"/>
              </w:rPr>
              <w:t>Berat Mert Gökkaya</w:t>
            </w:r>
          </w:p>
        </w:tc>
        <w:tc>
          <w:tcPr>
            <w:tcW w:w="42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70FBC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6"/>
                <w:szCs w:val="16"/>
              </w:rPr>
              <w:t>Data quality across 20 datasets (Section 3.1). Provenance documentation; dataset quality validation; bias/limitation documentation; Jira sprint management; backend ML pipeline implementation.</w:t>
            </w:r>
          </w:p>
        </w:tc>
      </w:tr>
      <w:tr w:rsidR="00AC572F" w14:paraId="51EBA112" w14:textId="77777777"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405C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color w:val="212121"/>
                <w:sz w:val="16"/>
                <w:szCs w:val="16"/>
              </w:rPr>
              <w:t>Ethics &amp; UX</w:t>
              <w:br/>
              <w:t>Reviewer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DE237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color w:val="212121"/>
                <w:sz w:val="16"/>
                <w:szCs w:val="16"/>
              </w:rPr>
              <w:t>UX Designer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14D3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6"/>
                <w:szCs w:val="16"/>
              </w:rPr>
              <w:t>Burak Aydoğmuş</w:t>
            </w:r>
          </w:p>
        </w:tc>
        <w:tc>
          <w:tcPr>
            <w:tcW w:w="42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A903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6"/>
                <w:szCs w:val="16"/>
              </w:rPr>
              <w:t>UX design and ethical AI interface review. Clinical language clarity across all 7 Steps; Step 5 Results visualisation design; ensuring outputs support human oversight; UI accessibility; frontend implementation.</w:t>
            </w:r>
          </w:p>
        </w:tc>
      </w:tr>
      <w:tr w:rsidR="00AC572F" w14:paraId="071DA88C" w14:textId="77777777">
        <w:tc>
          <w:tcPr>
            <w:tcW w:w="1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F063B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6"/>
                <w:szCs w:val="16"/>
              </w:rPr>
              <w:t>QA &amp; Compliance</w:t>
              <w:br/>
              <w:t>Lead</w:t>
            </w:r>
          </w:p>
        </w:tc>
        <w:tc>
          <w:tcPr>
            <w:tcW w:w="16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EE558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6"/>
                <w:szCs w:val="16"/>
              </w:rPr>
              <w:t>QA / Documentation</w:t>
              <w:br/>
              <w:t>Lead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279F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6"/>
                <w:szCs w:val="16"/>
              </w:rPr>
              <w:t>Berfin Duru Alkan</w:t>
            </w:r>
          </w:p>
        </w:tc>
        <w:tc>
          <w:tcPr>
            <w:tcW w:w="42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A09FB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6"/>
                <w:szCs w:val="16"/>
              </w:rPr>
              <w:t>Quality assurance and ISO 42001 compliance documentation. Test report generation; sprint progress reports; ISO report quality; peer audit coordination (Ch. 6); full pipeline test reports; cross-referencing report claims to code artefacts.</w:t>
            </w:r>
          </w:p>
        </w:tc>
      </w:tr>
    </w:tbl>
    <w:p w14:paraId="17D7A57B" w14:textId="77777777" w:rsidR="00AC572F" w:rsidRDefault="00AC572F">
      <w:pPr>
        <w:spacing w:after="80"/>
      </w:pPr>
    </w:p>
    <w:p w14:paraId="581FB0C3" w14:textId="77777777" w:rsidR="00AC572F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26"/>
      </w:tblGrid>
      <w:tr w:rsidR="00AC572F" w14:paraId="2F1F7BBB" w14:textId="77777777">
        <w:tc>
          <w:tcPr>
            <w:tcW w:w="700" w:type="dxa"/>
            <w:tcBorders>
              <w:bottom w:val="single" w:sz="6" w:space="0" w:color="1B5E20"/>
            </w:tcBorders>
            <w:shd w:val="clear" w:color="auto" w:fill="1B5E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CD07FF" w14:textId="77777777" w:rsidR="00AC572F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3</w:t>
            </w:r>
          </w:p>
        </w:tc>
        <w:tc>
          <w:tcPr>
            <w:tcW w:w="8326" w:type="dxa"/>
            <w:tcBorders>
              <w:bottom w:val="single" w:sz="6" w:space="0" w:color="1B5E20"/>
            </w:tcBorders>
            <w:tcMar>
              <w:top w:w="60" w:type="dxa"/>
              <w:left w:w="140" w:type="dxa"/>
              <w:bottom w:w="60" w:type="dxa"/>
              <w:right w:w="80" w:type="dxa"/>
            </w:tcMar>
            <w:vAlign w:val="center"/>
          </w:tcPr>
          <w:p w14:paraId="1EB8B5B4" w14:textId="77777777" w:rsidR="00AC572F" w:rsidRDefault="00000000">
            <w:r>
              <w:rPr>
                <w:b/>
                <w:bCs/>
                <w:color w:val="1B5E20"/>
                <w:sz w:val="26"/>
                <w:szCs w:val="26"/>
              </w:rPr>
              <w:t>Data Governance</w:t>
            </w:r>
          </w:p>
        </w:tc>
      </w:tr>
    </w:tbl>
    <w:p w14:paraId="65DA7765" w14:textId="77777777" w:rsidR="00AC572F" w:rsidRDefault="00AC572F">
      <w:pPr>
        <w:spacing w:after="100"/>
      </w:pPr>
    </w:p>
    <w:p w14:paraId="09233BF4" w14:textId="77777777" w:rsidR="00AC572F" w:rsidRDefault="00000000">
      <w:pPr>
        <w:spacing w:after="120" w:line="276" w:lineRule="auto"/>
        <w:jc w:val="both"/>
      </w:pPr>
      <w:r>
        <w:rPr>
          <w:b/>
          <w:bCs/>
          <w:color w:val="212121"/>
        </w:rPr>
        <w:t xml:space="preserve">ISO 42001 Reference: </w:t>
      </w:r>
      <w:r>
        <w:rPr>
          <w:color w:val="212121"/>
        </w:rPr>
        <w:t>Annex A.6.2 (Data Quality), A.6.3 (Data Provenance), A.6.4 (Data Preparation), Clause 8.2 (AI Risk Assessment)</w:t>
      </w:r>
    </w:p>
    <w:p w14:paraId="032CF635" w14:textId="77777777" w:rsidR="00AC572F" w:rsidRDefault="00000000">
      <w:pPr>
        <w:pStyle w:val="Heading2"/>
      </w:pPr>
      <w:r>
        <w:t>3.1 Data Source Inventory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6"/>
        <w:gridCol w:w="1074"/>
        <w:gridCol w:w="1782"/>
        <w:gridCol w:w="921"/>
        <w:gridCol w:w="951"/>
        <w:gridCol w:w="1374"/>
        <w:gridCol w:w="2558"/>
      </w:tblGrid>
      <w:tr w:rsidR="00AC572F" w14:paraId="605CF314" w14:textId="77777777">
        <w:tc>
          <w:tcPr>
            <w:tcW w:w="35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8359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DFF81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1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8359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FC079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Specialty</w:t>
            </w:r>
          </w:p>
        </w:tc>
        <w:tc>
          <w:tcPr>
            <w:tcW w:w="207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8359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795CF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Dataset Name &amp; Source</w:t>
            </w:r>
          </w:p>
        </w:tc>
        <w:tc>
          <w:tcPr>
            <w:tcW w:w="65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8359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AF459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Records</w:t>
            </w:r>
          </w:p>
        </w:tc>
        <w:tc>
          <w:tcPr>
            <w:tcW w:w="65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8359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CE57B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Features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8359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C6FEF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Target Variable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28359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EEBE7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Known Limitations / Biases</w:t>
            </w:r>
          </w:p>
        </w:tc>
      </w:tr>
      <w:tr w:rsidR="00AC572F" w14:paraId="7E3ED428" w14:textId="77777777">
        <w:tc>
          <w:tcPr>
            <w:tcW w:w="35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63143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color w:val="212121"/>
                <w:sz w:val="15"/>
                <w:szCs w:val="15"/>
              </w:rPr>
              <w:t>1</w:t>
            </w:r>
          </w:p>
        </w:tc>
        <w:tc>
          <w:tcPr>
            <w:tcW w:w="11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CBFDD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color w:val="212121"/>
                <w:sz w:val="15"/>
                <w:szCs w:val="15"/>
              </w:rPr>
              <w:t>Cardiology — Heart Failure</w:t>
            </w:r>
          </w:p>
        </w:tc>
        <w:tc>
          <w:tcPr>
            <w:tcW w:w="207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96A09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5"/>
                <w:szCs w:val="15"/>
              </w:rPr>
              <w:t>Heart Failure Clinical Records (Kaggle, CC BY 4.0)</w:t>
            </w:r>
          </w:p>
        </w:tc>
        <w:tc>
          <w:tcPr>
            <w:tcW w:w="65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B28F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5"/>
                <w:szCs w:val="15"/>
              </w:rPr>
              <w:t>299</w:t>
            </w:r>
          </w:p>
        </w:tc>
        <w:tc>
          <w:tcPr>
            <w:tcW w:w="65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0093D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5"/>
                <w:szCs w:val="15"/>
              </w:rPr>
              <w:t>12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F5B93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5"/>
                <w:szCs w:val="15"/>
              </w:rPr>
              <w:t>DEATH_EVENT (binary)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8FE41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5"/>
                <w:szCs w:val="15"/>
              </w:rPr>
              <w:t>Small sample; ~32% death class imbalance; single-centre (Pakistan); limited demographics. Bundled.</w:t>
            </w:r>
          </w:p>
        </w:tc>
      </w:tr>
      <w:tr w:rsidR="00AC572F" w14:paraId="7ABA9E46" w14:textId="77777777">
        <w:tc>
          <w:tcPr>
            <w:tcW w:w="35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E0CD9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color w:val="212121"/>
                <w:sz w:val="15"/>
                <w:szCs w:val="15"/>
              </w:rPr>
              <w:t>2</w:t>
            </w:r>
          </w:p>
        </w:tc>
        <w:tc>
          <w:tcPr>
            <w:tcW w:w="11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FC6A8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5"/>
                <w:szCs w:val="15"/>
              </w:rPr>
              <w:t>Cardiology — Stroke</w:t>
            </w:r>
          </w:p>
        </w:tc>
        <w:tc>
          <w:tcPr>
            <w:tcW w:w="207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51577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5"/>
                <w:szCs w:val="15"/>
              </w:rPr>
              <w:t>Stroke Prediction Dataset (Kaggle, No license)</w:t>
            </w:r>
          </w:p>
        </w:tc>
        <w:tc>
          <w:tcPr>
            <w:tcW w:w="65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4893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5"/>
                <w:szCs w:val="15"/>
              </w:rPr>
              <w:t>5,110</w:t>
            </w:r>
          </w:p>
        </w:tc>
        <w:tc>
          <w:tcPr>
            <w:tcW w:w="65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E2124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5"/>
                <w:szCs w:val="15"/>
              </w:rPr>
              <w:t>10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5817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5"/>
                <w:szCs w:val="15"/>
              </w:rPr>
              <w:t>stroke (binary)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2476B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5"/>
                <w:szCs w:val="15"/>
              </w:rPr>
              <w:t>Severe imbalance (&lt;5% positive); self-reported data; socioeconomic proxies. NOT bundled — auto-downloaded at runtime.</w:t>
            </w:r>
          </w:p>
        </w:tc>
      </w:tr>
      <w:tr w:rsidR="00AC572F" w14:paraId="00CA5846" w14:textId="77777777">
        <w:tc>
          <w:tcPr>
            <w:tcW w:w="35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6CB6E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color w:val="212121"/>
                <w:sz w:val="15"/>
                <w:szCs w:val="15"/>
              </w:rPr>
              <w:t>3</w:t>
            </w:r>
          </w:p>
        </w:tc>
        <w:tc>
          <w:tcPr>
            <w:tcW w:w="11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7194B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5"/>
                <w:szCs w:val="15"/>
              </w:rPr>
              <w:t>Cardiology — Arrhythmia</w:t>
            </w:r>
          </w:p>
        </w:tc>
        <w:tc>
          <w:tcPr>
            <w:tcW w:w="207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24663" w14:textId="77777777" w:rsidR="00AC572F" w:rsidRDefault="00AC572F">
            <w:pPr>
              <w:spacing w:after="30" w:line="250" w:lineRule="auto"/>
            </w:pPr>
            <w:r>
              <w:rPr>
                <w:b w:val="0"/>
                <w:i w:val="0"/>
              </w:rPr>
              <w:t>UCI Arrhythmia Dataset (UCI, CC BY 4.0)</w:t>
            </w:r>
          </w:p>
        </w:tc>
        <w:tc>
          <w:tcPr>
            <w:tcW w:w="65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30C6C" w14:textId="77777777" w:rsidR="00AC572F" w:rsidRDefault="00AC572F">
            <w:pPr>
              <w:spacing w:after="30" w:line="250" w:lineRule="auto"/>
            </w:pPr>
            <w:r>
              <w:rPr>
                <w:b w:val="0"/>
                <w:i w:val="0"/>
              </w:rPr>
              <w:t>452</w:t>
            </w:r>
          </w:p>
        </w:tc>
        <w:tc>
          <w:tcPr>
            <w:tcW w:w="65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05784" w14:textId="77777777" w:rsidR="00AC572F" w:rsidRDefault="00AC572F">
            <w:pPr>
              <w:spacing w:after="30" w:line="250" w:lineRule="auto"/>
            </w:pPr>
            <w:r>
              <w:rPr>
                <w:b w:val="0"/>
                <w:i w:val="0"/>
              </w:rPr>
              <w:t>33</w:t>
            </w:r>
          </w:p>
        </w:tc>
        <w:tc>
          <w:tcPr>
            <w:tcW w:w="1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A12FB" w14:textId="77777777" w:rsidR="00AC572F" w:rsidRDefault="00AC572F">
            <w:pPr>
              <w:spacing w:after="30" w:line="250" w:lineRule="auto"/>
            </w:pPr>
            <w:r>
              <w:rPr>
                <w:b w:val="0"/>
                <w:i w:val="0"/>
              </w:rPr>
              <w:t>arrhythmia (binary)</w:t>
            </w:r>
          </w:p>
        </w:tc>
        <w:tc>
          <w:tcPr>
            <w:tcW w:w="30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71195" w14:textId="77777777" w:rsidR="00AC572F" w:rsidRDefault="00AC572F">
            <w:pPr>
              <w:spacing w:after="30" w:line="250" w:lineRule="auto"/>
            </w:pPr>
            <w:r>
              <w:rPr>
                <w:b w:val="0"/>
                <w:i w:val="0"/>
              </w:rPr>
              <w:t>High dimensionality; significant missing values; 1980s–90s data; binarised from 16 classes. Bundled.</w:t>
            </w:r>
          </w:p>
        </w:tc>
      </w:tr>
      <w:tr>
        <w:tc>
          <w:tcPr>
            <w:tcW w:type="dxa" w:w="366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074"/>
          </w:tcPr>
          <w:p>
            <w:r/>
            <w:r>
              <w:rPr>
                <w:sz w:val="18"/>
              </w:rPr>
              <w:t>Radiology</w:t>
            </w:r>
          </w:p>
        </w:tc>
        <w:tc>
          <w:tcPr>
            <w:tcW w:type="dxa" w:w="1782"/>
          </w:tcPr>
          <w:p>
            <w:r/>
            <w:r>
              <w:rPr>
                <w:sz w:val="18"/>
              </w:rPr>
              <w:t>NIH Chest X-Ray Metadata (Kaggle, CC0 1.0)</w:t>
            </w:r>
          </w:p>
        </w:tc>
        <w:tc>
          <w:tcPr>
            <w:tcW w:type="dxa" w:w="921"/>
          </w:tcPr>
          <w:p>
            <w:r/>
            <w:r>
              <w:rPr>
                <w:sz w:val="18"/>
              </w:rPr>
              <w:t>100,000+</w:t>
            </w:r>
          </w:p>
        </w:tc>
        <w:tc>
          <w:tcPr>
            <w:tcW w:type="dxa" w:w="951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374"/>
          </w:tcPr>
          <w:p>
            <w:r/>
            <w:r>
              <w:rPr>
                <w:sz w:val="18"/>
              </w:rPr>
              <w:t>Finding_Label (binary)</w:t>
            </w:r>
          </w:p>
        </w:tc>
        <w:tc>
          <w:tcPr>
            <w:tcW w:type="dxa" w:w="2558"/>
          </w:tcPr>
          <w:p>
            <w:r/>
            <w:r>
              <w:rPr>
                <w:sz w:val="18"/>
              </w:rPr>
              <w:t>Metadata only (no images); NLP-extracted labels with noise; institutional bias. Bundled.</w:t>
            </w:r>
          </w:p>
        </w:tc>
      </w:tr>
      <w:tr>
        <w:tc>
          <w:tcPr>
            <w:tcW w:type="dxa" w:w="366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074"/>
          </w:tcPr>
          <w:p>
            <w:r/>
            <w:r>
              <w:rPr>
                <w:sz w:val="18"/>
              </w:rPr>
              <w:t>Nephrology — CKD</w:t>
            </w:r>
          </w:p>
        </w:tc>
        <w:tc>
          <w:tcPr>
            <w:tcW w:type="dxa" w:w="1782"/>
          </w:tcPr>
          <w:p>
            <w:r/>
            <w:r>
              <w:rPr>
                <w:sz w:val="18"/>
              </w:rPr>
              <w:t>UCI CKD Dataset (UCI, CC BY 4.0)</w:t>
            </w:r>
          </w:p>
        </w:tc>
        <w:tc>
          <w:tcPr>
            <w:tcW w:type="dxa" w:w="921"/>
          </w:tcPr>
          <w:p>
            <w:r/>
            <w:r>
              <w:rPr>
                <w:sz w:val="18"/>
              </w:rPr>
              <w:t>400</w:t>
            </w:r>
          </w:p>
        </w:tc>
        <w:tc>
          <w:tcPr>
            <w:tcW w:type="dxa" w:w="951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374"/>
          </w:tcPr>
          <w:p>
            <w:r/>
            <w:r>
              <w:rPr>
                <w:sz w:val="18"/>
              </w:rPr>
              <w:t>classification (binary)</w:t>
            </w:r>
          </w:p>
        </w:tc>
        <w:tc>
          <w:tcPr>
            <w:tcW w:type="dxa" w:w="2558"/>
          </w:tcPr>
          <w:p>
            <w:r/>
            <w:r>
              <w:rPr>
                <w:sz w:val="18"/>
              </w:rPr>
              <w:t>Significant missing values; single-centre (India); small sample for 15 features. Bundled.</w:t>
            </w:r>
          </w:p>
        </w:tc>
      </w:tr>
      <w:tr>
        <w:tc>
          <w:tcPr>
            <w:tcW w:type="dxa" w:w="36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074"/>
          </w:tcPr>
          <w:p>
            <w:r/>
            <w:r>
              <w:rPr>
                <w:sz w:val="18"/>
              </w:rPr>
              <w:t>Oncology — Breast</w:t>
            </w:r>
          </w:p>
        </w:tc>
        <w:tc>
          <w:tcPr>
            <w:tcW w:type="dxa" w:w="1782"/>
          </w:tcPr>
          <w:p>
            <w:r/>
            <w:r>
              <w:rPr>
                <w:sz w:val="18"/>
              </w:rPr>
              <w:t>Breast Cancer Wisconsin (UCI, CC BY 4.0)</w:t>
            </w:r>
          </w:p>
        </w:tc>
        <w:tc>
          <w:tcPr>
            <w:tcW w:type="dxa" w:w="921"/>
          </w:tcPr>
          <w:p>
            <w:r/>
            <w:r>
              <w:rPr>
                <w:sz w:val="18"/>
              </w:rPr>
              <w:t>569</w:t>
            </w:r>
          </w:p>
        </w:tc>
        <w:tc>
          <w:tcPr>
            <w:tcW w:type="dxa" w:w="951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374"/>
          </w:tcPr>
          <w:p>
            <w:r/>
            <w:r>
              <w:rPr>
                <w:sz w:val="18"/>
              </w:rPr>
              <w:t>diagnosis (binary)</w:t>
            </w:r>
          </w:p>
        </w:tc>
        <w:tc>
          <w:tcPr>
            <w:tcW w:type="dxa" w:w="2558"/>
          </w:tcPr>
          <w:p>
            <w:r/>
            <w:r>
              <w:rPr>
                <w:sz w:val="18"/>
              </w:rPr>
              <w:t>FNA-derived features; ~37% malignant; single institution; lacks demographics. Bundled.</w:t>
            </w:r>
          </w:p>
        </w:tc>
      </w:tr>
      <w:tr>
        <w:tc>
          <w:tcPr>
            <w:tcW w:type="dxa" w:w="366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074"/>
          </w:tcPr>
          <w:p>
            <w:r/>
            <w:r>
              <w:rPr>
                <w:sz w:val="18"/>
              </w:rPr>
              <w:t>Oncology — Cervical</w:t>
            </w:r>
          </w:p>
        </w:tc>
        <w:tc>
          <w:tcPr>
            <w:tcW w:type="dxa" w:w="1782"/>
          </w:tcPr>
          <w:p>
            <w:r/>
            <w:r>
              <w:rPr>
                <w:sz w:val="18"/>
              </w:rPr>
              <w:t>Cervical Cancer Risk Factors (UCI, CC BY 4.0)</w:t>
            </w:r>
          </w:p>
        </w:tc>
        <w:tc>
          <w:tcPr>
            <w:tcW w:type="dxa" w:w="921"/>
          </w:tcPr>
          <w:p>
            <w:r/>
            <w:r>
              <w:rPr>
                <w:sz w:val="18"/>
              </w:rPr>
              <w:t>858</w:t>
            </w:r>
          </w:p>
        </w:tc>
        <w:tc>
          <w:tcPr>
            <w:tcW w:type="dxa" w:w="951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374"/>
          </w:tcPr>
          <w:p>
            <w:r/>
            <w:r>
              <w:rPr>
                <w:sz w:val="18"/>
              </w:rPr>
              <w:t>Biopsy (binary)</w:t>
            </w:r>
          </w:p>
        </w:tc>
        <w:tc>
          <w:tcPr>
            <w:tcW w:type="dxa" w:w="2558"/>
          </w:tcPr>
          <w:p>
            <w:r/>
            <w:r>
              <w:rPr>
                <w:sz w:val="18"/>
              </w:rPr>
              <w:t>Extensive missing values; &lt;10% positive; self-reported behavioural data; single country. Bundled.</w:t>
            </w:r>
          </w:p>
        </w:tc>
      </w:tr>
      <w:tr>
        <w:tc>
          <w:tcPr>
            <w:tcW w:type="dxa" w:w="366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074"/>
          </w:tcPr>
          <w:p>
            <w:r/>
            <w:r>
              <w:rPr>
                <w:sz w:val="18"/>
              </w:rPr>
              <w:t>Neurology — Parkinson's</w:t>
            </w:r>
          </w:p>
        </w:tc>
        <w:tc>
          <w:tcPr>
            <w:tcW w:type="dxa" w:w="1782"/>
          </w:tcPr>
          <w:p>
            <w:r/>
            <w:r>
              <w:rPr>
                <w:sz w:val="18"/>
              </w:rPr>
              <w:t>UCI Parkinson's Dataset (UCI, CC BY 4.0)</w:t>
            </w:r>
          </w:p>
        </w:tc>
        <w:tc>
          <w:tcPr>
            <w:tcW w:type="dxa" w:w="921"/>
          </w:tcPr>
          <w:p>
            <w:r/>
            <w:r>
              <w:rPr>
                <w:sz w:val="18"/>
              </w:rPr>
              <w:t>195</w:t>
            </w:r>
          </w:p>
        </w:tc>
        <w:tc>
          <w:tcPr>
            <w:tcW w:type="dxa" w:w="951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374"/>
          </w:tcPr>
          <w:p>
            <w:r/>
            <w:r>
              <w:rPr>
                <w:sz w:val="18"/>
              </w:rPr>
              <w:t>status (binary)</w:t>
            </w:r>
          </w:p>
        </w:tc>
        <w:tc>
          <w:tcPr>
            <w:tcW w:type="dxa" w:w="2558"/>
          </w:tcPr>
          <w:p>
            <w:r/>
            <w:r>
              <w:rPr>
                <w:sz w:val="18"/>
              </w:rPr>
              <w:t>Very small (n=195); ~75% PD positive; voice-only features; single session. Bundled.</w:t>
            </w:r>
          </w:p>
        </w:tc>
      </w:tr>
      <w:tr>
        <w:tc>
          <w:tcPr>
            <w:tcW w:type="dxa" w:w="366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074"/>
          </w:tcPr>
          <w:p>
            <w:r/>
            <w:r>
              <w:rPr>
                <w:sz w:val="18"/>
              </w:rPr>
              <w:t>Endocrinology — Diabetes</w:t>
            </w:r>
          </w:p>
        </w:tc>
        <w:tc>
          <w:tcPr>
            <w:tcW w:type="dxa" w:w="1782"/>
          </w:tcPr>
          <w:p>
            <w:r/>
            <w:r>
              <w:rPr>
                <w:sz w:val="18"/>
              </w:rPr>
              <w:t>Pima Indians Diabetes (Kaggle, CC0/CC BY 4.0)</w:t>
            </w:r>
          </w:p>
        </w:tc>
        <w:tc>
          <w:tcPr>
            <w:tcW w:type="dxa" w:w="921"/>
          </w:tcPr>
          <w:p>
            <w:r/>
            <w:r>
              <w:rPr>
                <w:sz w:val="18"/>
              </w:rPr>
              <w:t>768</w:t>
            </w:r>
          </w:p>
        </w:tc>
        <w:tc>
          <w:tcPr>
            <w:tcW w:type="dxa" w:w="951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374"/>
          </w:tcPr>
          <w:p>
            <w:r/>
            <w:r>
              <w:rPr>
                <w:sz w:val="18"/>
              </w:rPr>
              <w:t>Outcome (binary)</w:t>
            </w:r>
          </w:p>
        </w:tc>
        <w:tc>
          <w:tcPr>
            <w:tcW w:type="dxa" w:w="2558"/>
          </w:tcPr>
          <w:p>
            <w:r/>
            <w:r>
              <w:rPr>
                <w:sz w:val="18"/>
              </w:rPr>
              <w:t>Only Pima Indian women ≥21; zero values = missing; severely limits generalisability. Bundled.</w:t>
            </w:r>
          </w:p>
        </w:tc>
      </w:tr>
      <w:tr>
        <w:tc>
          <w:tcPr>
            <w:tcW w:type="dxa" w:w="366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074"/>
          </w:tcPr>
          <w:p>
            <w:r/>
            <w:r>
              <w:rPr>
                <w:sz w:val="18"/>
              </w:rPr>
              <w:t>Endocrinology — Thyroid</w:t>
            </w:r>
          </w:p>
        </w:tc>
        <w:tc>
          <w:tcPr>
            <w:tcW w:type="dxa" w:w="1782"/>
          </w:tcPr>
          <w:p>
            <w:r/>
            <w:r>
              <w:rPr>
                <w:sz w:val="18"/>
              </w:rPr>
              <w:t>UCI New Thyroid Dataset (UCI, CC BY 4.0)</w:t>
            </w:r>
          </w:p>
        </w:tc>
        <w:tc>
          <w:tcPr>
            <w:tcW w:type="dxa" w:w="921"/>
          </w:tcPr>
          <w:p>
            <w:r/>
            <w:r>
              <w:rPr>
                <w:sz w:val="18"/>
              </w:rPr>
              <w:t>215</w:t>
            </w:r>
          </w:p>
        </w:tc>
        <w:tc>
          <w:tcPr>
            <w:tcW w:type="dxa" w:w="951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74"/>
          </w:tcPr>
          <w:p>
            <w:r/>
            <w:r>
              <w:rPr>
                <w:sz w:val="18"/>
              </w:rPr>
              <w:t>class (multiclass)</w:t>
            </w:r>
          </w:p>
        </w:tc>
        <w:tc>
          <w:tcPr>
            <w:tcW w:type="dxa" w:w="2558"/>
          </w:tcPr>
          <w:p>
            <w:r/>
            <w:r>
              <w:rPr>
                <w:sz w:val="18"/>
              </w:rPr>
              <w:t>Very small (n=215); only 5 features; 1980s data; reference ranges may differ. Bundled.</w:t>
            </w:r>
          </w:p>
        </w:tc>
      </w:tr>
      <w:tr>
        <w:tc>
          <w:tcPr>
            <w:tcW w:type="dxa" w:w="366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074"/>
          </w:tcPr>
          <w:p>
            <w:r/>
            <w:r>
              <w:rPr>
                <w:sz w:val="18"/>
              </w:rPr>
              <w:t>Hepatology — Liver</w:t>
            </w:r>
          </w:p>
        </w:tc>
        <w:tc>
          <w:tcPr>
            <w:tcW w:type="dxa" w:w="1782"/>
          </w:tcPr>
          <w:p>
            <w:r/>
            <w:r>
              <w:rPr>
                <w:sz w:val="18"/>
              </w:rPr>
              <w:t>Indian Liver Patient (UCI, CC BY 4.0)</w:t>
            </w:r>
          </w:p>
        </w:tc>
        <w:tc>
          <w:tcPr>
            <w:tcW w:type="dxa" w:w="921"/>
          </w:tcPr>
          <w:p>
            <w:r/>
            <w:r>
              <w:rPr>
                <w:sz w:val="18"/>
              </w:rPr>
              <w:t>583</w:t>
            </w:r>
          </w:p>
        </w:tc>
        <w:tc>
          <w:tcPr>
            <w:tcW w:type="dxa" w:w="951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374"/>
          </w:tcPr>
          <w:p>
            <w:r/>
            <w:r>
              <w:rPr>
                <w:sz w:val="18"/>
              </w:rPr>
              <w:t>Dataset (binary)</w:t>
            </w:r>
          </w:p>
        </w:tc>
        <w:tc>
          <w:tcPr>
            <w:tcW w:type="dxa" w:w="2558"/>
          </w:tcPr>
          <w:p>
            <w:r/>
            <w:r>
              <w:rPr>
                <w:sz w:val="18"/>
              </w:rPr>
              <w:t>Single country (India); 75% male; ~72% positive; no aetiology info. Bundled.</w:t>
            </w:r>
          </w:p>
        </w:tc>
      </w:tr>
      <w:tr>
        <w:tc>
          <w:tcPr>
            <w:tcW w:type="dxa" w:w="366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074"/>
          </w:tcPr>
          <w:p>
            <w:r/>
            <w:r>
              <w:rPr>
                <w:sz w:val="18"/>
              </w:rPr>
              <w:t>Mental Health — Depression</w:t>
            </w:r>
          </w:p>
        </w:tc>
        <w:tc>
          <w:tcPr>
            <w:tcW w:type="dxa" w:w="1782"/>
          </w:tcPr>
          <w:p>
            <w:r/>
            <w:r>
              <w:rPr>
                <w:sz w:val="18"/>
              </w:rPr>
              <w:t>Depression Dataset (Kaggle, CC BY-SA 4.0)</w:t>
            </w:r>
          </w:p>
        </w:tc>
        <w:tc>
          <w:tcPr>
            <w:tcW w:type="dxa" w:w="921"/>
          </w:tcPr>
          <w:p>
            <w:r/>
            <w:r>
              <w:rPr>
                <w:sz w:val="18"/>
              </w:rPr>
              <w:t>~2,000</w:t>
            </w:r>
          </w:p>
        </w:tc>
        <w:tc>
          <w:tcPr>
            <w:tcW w:type="dxa" w:w="951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374"/>
          </w:tcPr>
          <w:p>
            <w:r/>
            <w:r>
              <w:rPr>
                <w:sz w:val="18"/>
              </w:rPr>
              <w:t>severity_class (binary)</w:t>
            </w:r>
          </w:p>
        </w:tc>
        <w:tc>
          <w:tcPr>
            <w:tcW w:type="dxa" w:w="2558"/>
          </w:tcPr>
          <w:p>
            <w:r/>
            <w:r>
              <w:rPr>
                <w:sz w:val="18"/>
              </w:rPr>
              <w:t>Self-reported; oversimplifies severity; no DSM-5 criteria; weak provenance — pedagogical example. ShareAlike applies. Bundled.</w:t>
            </w:r>
          </w:p>
        </w:tc>
      </w:tr>
      <w:tr>
        <w:tc>
          <w:tcPr>
            <w:tcW w:type="dxa" w:w="366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074"/>
          </w:tcPr>
          <w:p>
            <w:r/>
            <w:r>
              <w:rPr>
                <w:sz w:val="18"/>
              </w:rPr>
              <w:t>Pulmonology — COPD</w:t>
            </w:r>
          </w:p>
        </w:tc>
        <w:tc>
          <w:tcPr>
            <w:tcW w:type="dxa" w:w="1782"/>
          </w:tcPr>
          <w:p>
            <w:r/>
            <w:r>
              <w:rPr>
                <w:sz w:val="18"/>
              </w:rPr>
              <w:t>COPD Student Dataset (Kaggle, CC0 1.0)</w:t>
            </w:r>
          </w:p>
        </w:tc>
        <w:tc>
          <w:tcPr>
            <w:tcW w:type="dxa" w:w="921"/>
          </w:tcPr>
          <w:p>
            <w:r/>
            <w:r>
              <w:rPr>
                <w:sz w:val="18"/>
              </w:rPr>
              <w:t>101</w:t>
            </w:r>
          </w:p>
        </w:tc>
        <w:tc>
          <w:tcPr>
            <w:tcW w:type="dxa" w:w="951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374"/>
          </w:tcPr>
          <w:p>
            <w:r/>
            <w:r>
              <w:rPr>
                <w:sz w:val="18"/>
              </w:rPr>
              <w:t>exacerbation (binary)</w:t>
            </w:r>
          </w:p>
        </w:tc>
        <w:tc>
          <w:tcPr>
            <w:tcW w:type="dxa" w:w="2558"/>
          </w:tcPr>
          <w:p>
            <w:r/>
            <w:r>
              <w:rPr>
                <w:sz w:val="18"/>
              </w:rPr>
              <w:t>Very small sample (n=101); compiled from UCL Datasets Library; spirometry effort-dependent. Bundled.</w:t>
            </w:r>
          </w:p>
        </w:tc>
      </w:tr>
      <w:tr>
        <w:tc>
          <w:tcPr>
            <w:tcW w:type="dxa" w:w="366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074"/>
          </w:tcPr>
          <w:p>
            <w:r/>
            <w:r>
              <w:rPr>
                <w:sz w:val="18"/>
              </w:rPr>
              <w:t>Haematology — Anaemia</w:t>
            </w:r>
          </w:p>
        </w:tc>
        <w:tc>
          <w:tcPr>
            <w:tcW w:type="dxa" w:w="1782"/>
          </w:tcPr>
          <w:p>
            <w:r/>
            <w:r>
              <w:rPr>
                <w:sz w:val="18"/>
              </w:rPr>
              <w:t>Anaemia Detection Dataset (Kaggle, Unknown)</w:t>
            </w:r>
          </w:p>
        </w:tc>
        <w:tc>
          <w:tcPr>
            <w:tcW w:type="dxa" w:w="921"/>
          </w:tcPr>
          <w:p>
            <w:r/>
            <w:r>
              <w:rPr>
                <w:sz w:val="18"/>
              </w:rPr>
              <w:t>~400</w:t>
            </w:r>
          </w:p>
        </w:tc>
        <w:tc>
          <w:tcPr>
            <w:tcW w:type="dxa" w:w="951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374"/>
          </w:tcPr>
          <w:p>
            <w:r/>
            <w:r>
              <w:rPr>
                <w:sz w:val="18"/>
              </w:rPr>
              <w:t>anemia_type (multiclass)</w:t>
            </w:r>
          </w:p>
        </w:tc>
        <w:tc>
          <w:tcPr>
            <w:tcW w:type="dxa" w:w="2558"/>
          </w:tcPr>
          <w:p>
            <w:r/>
            <w:r>
              <w:rPr>
                <w:sz w:val="18"/>
              </w:rPr>
              <w:t>Only 5 features (Hb, MCV, MCH, MCHC, gender); no iron/ferritin/B12; multiclass (iron deficiency, megaloblastic, normocytic, normal). NOT bundled — license unverified; auto-downloaded at runtime.</w:t>
            </w:r>
          </w:p>
        </w:tc>
      </w:tr>
      <w:tr>
        <w:tc>
          <w:tcPr>
            <w:tcW w:type="dxa" w:w="366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074"/>
          </w:tcPr>
          <w:p>
            <w:r/>
            <w:r>
              <w:rPr>
                <w:sz w:val="18"/>
              </w:rPr>
              <w:t>Dermatology</w:t>
            </w:r>
          </w:p>
        </w:tc>
        <w:tc>
          <w:tcPr>
            <w:tcW w:type="dxa" w:w="1782"/>
          </w:tcPr>
          <w:p>
            <w:r/>
            <w:r>
              <w:rPr>
                <w:sz w:val="18"/>
              </w:rPr>
              <w:t>HAM10000 Metadata (Harvard Dataverse, CC BY-NC 4.0)</w:t>
            </w:r>
          </w:p>
        </w:tc>
        <w:tc>
          <w:tcPr>
            <w:tcW w:type="dxa" w:w="921"/>
          </w:tcPr>
          <w:p>
            <w:r/>
            <w:r>
              <w:rPr>
                <w:sz w:val="18"/>
              </w:rPr>
              <w:t>10,015</w:t>
            </w:r>
          </w:p>
        </w:tc>
        <w:tc>
          <w:tcPr>
            <w:tcW w:type="dxa" w:w="951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374"/>
          </w:tcPr>
          <w:p>
            <w:r/>
            <w:r>
              <w:rPr>
                <w:sz w:val="18"/>
              </w:rPr>
              <w:t>dx_type (binary)</w:t>
            </w:r>
          </w:p>
        </w:tc>
        <w:tc>
          <w:tcPr>
            <w:tcW w:type="dxa" w:w="2558"/>
          </w:tcPr>
          <w:p>
            <w:r/>
            <w:r>
              <w:rPr>
                <w:sz w:val="18"/>
              </w:rPr>
              <w:t>Metadata only; 3 features; ~10% melanoma; predominantly light-skinned (Vienna, Queensland). Non-commercial use only. Bundled.</w:t>
            </w:r>
          </w:p>
        </w:tc>
      </w:tr>
      <w:tr>
        <w:tc>
          <w:tcPr>
            <w:tcW w:type="dxa" w:w="366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074"/>
          </w:tcPr>
          <w:p>
            <w:r/>
            <w:r>
              <w:rPr>
                <w:sz w:val="18"/>
              </w:rPr>
              <w:t>Ophthalmology — DR</w:t>
            </w:r>
          </w:p>
        </w:tc>
        <w:tc>
          <w:tcPr>
            <w:tcW w:type="dxa" w:w="1782"/>
          </w:tcPr>
          <w:p>
            <w:r/>
            <w:r>
              <w:rPr>
                <w:sz w:val="18"/>
              </w:rPr>
              <w:t>Diabetic Retinopathy Debrecen (UCI, CC BY 4.0)</w:t>
            </w:r>
          </w:p>
        </w:tc>
        <w:tc>
          <w:tcPr>
            <w:tcW w:type="dxa" w:w="921"/>
          </w:tcPr>
          <w:p>
            <w:r/>
            <w:r>
              <w:rPr>
                <w:sz w:val="18"/>
              </w:rPr>
              <w:t>1,151</w:t>
            </w:r>
          </w:p>
        </w:tc>
        <w:tc>
          <w:tcPr>
            <w:tcW w:type="dxa" w:w="951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374"/>
          </w:tcPr>
          <w:p>
            <w:r/>
            <w:r>
              <w:rPr>
                <w:sz w:val="18"/>
              </w:rPr>
              <w:t>severity_grade (binary)</w:t>
            </w:r>
          </w:p>
        </w:tc>
        <w:tc>
          <w:tcPr>
            <w:tcW w:type="dxa" w:w="2558"/>
          </w:tcPr>
          <w:p>
            <w:r/>
            <w:r>
              <w:rPr>
                <w:sz w:val="18"/>
              </w:rPr>
              <w:t>Automated image features; single institution (Hungary); binarised from multi-grade. Bundled.</w:t>
            </w:r>
          </w:p>
        </w:tc>
      </w:tr>
      <w:tr>
        <w:tc>
          <w:tcPr>
            <w:tcW w:type="dxa" w:w="366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074"/>
          </w:tcPr>
          <w:p>
            <w:r/>
            <w:r>
              <w:rPr>
                <w:sz w:val="18"/>
              </w:rPr>
              <w:t>Orthopaedics — Spine</w:t>
            </w:r>
          </w:p>
        </w:tc>
        <w:tc>
          <w:tcPr>
            <w:tcW w:type="dxa" w:w="1782"/>
          </w:tcPr>
          <w:p>
            <w:r/>
            <w:r>
              <w:rPr>
                <w:sz w:val="18"/>
              </w:rPr>
              <w:t>Vertebral Column Dataset (UCI, CC BY 4.0)</w:t>
            </w:r>
          </w:p>
        </w:tc>
        <w:tc>
          <w:tcPr>
            <w:tcW w:type="dxa" w:w="921"/>
          </w:tcPr>
          <w:p>
            <w:r/>
            <w:r>
              <w:rPr>
                <w:sz w:val="18"/>
              </w:rPr>
              <w:t>310</w:t>
            </w:r>
          </w:p>
        </w:tc>
        <w:tc>
          <w:tcPr>
            <w:tcW w:type="dxa" w:w="951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374"/>
          </w:tcPr>
          <w:p>
            <w:r/>
            <w:r>
              <w:rPr>
                <w:sz w:val="18"/>
              </w:rPr>
              <w:t>class (binary)</w:t>
            </w:r>
          </w:p>
        </w:tc>
        <w:tc>
          <w:tcPr>
            <w:tcW w:type="dxa" w:w="2558"/>
          </w:tcPr>
          <w:p>
            <w:r/>
            <w:r>
              <w:rPr>
                <w:sz w:val="18"/>
              </w:rPr>
              <w:t>Only 6 features; small (n=310); no age/gender; examiner-dependent measurements. Bundled.</w:t>
            </w:r>
          </w:p>
        </w:tc>
      </w:tr>
      <w:tr>
        <w:tc>
          <w:tcPr>
            <w:tcW w:type="dxa" w:w="366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074"/>
          </w:tcPr>
          <w:p>
            <w:r/>
            <w:r>
              <w:rPr>
                <w:sz w:val="18"/>
              </w:rPr>
              <w:t>ICU / Sepsis</w:t>
            </w:r>
          </w:p>
        </w:tc>
        <w:tc>
          <w:tcPr>
            <w:tcW w:type="dxa" w:w="1782"/>
          </w:tcPr>
          <w:p>
            <w:r/>
            <w:r>
              <w:rPr>
                <w:sz w:val="18"/>
              </w:rPr>
              <w:t>PhysioNet Sepsis Challenge 2019 (CC BY 4.0)</w:t>
            </w:r>
          </w:p>
        </w:tc>
        <w:tc>
          <w:tcPr>
            <w:tcW w:type="dxa" w:w="921"/>
          </w:tcPr>
          <w:p>
            <w:r/>
            <w:r>
              <w:rPr>
                <w:sz w:val="18"/>
              </w:rPr>
              <w:t>~40,000</w:t>
            </w:r>
          </w:p>
        </w:tc>
        <w:tc>
          <w:tcPr>
            <w:tcW w:type="dxa" w:w="951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374"/>
          </w:tcPr>
          <w:p>
            <w:r/>
            <w:r>
              <w:rPr>
                <w:sz w:val="18"/>
              </w:rPr>
              <w:t>SepsisLabel (binary)</w:t>
            </w:r>
          </w:p>
        </w:tc>
        <w:tc>
          <w:tcPr>
            <w:tcW w:type="dxa" w:w="2558"/>
          </w:tcPr>
          <w:p>
            <w:r/>
            <w:r>
              <w:rPr>
                <w:sz w:val="18"/>
              </w:rPr>
              <w:t>~10% positive; missing values clinically meaningful; credentialed access. Bundled.</w:t>
            </w:r>
          </w:p>
        </w:tc>
      </w:tr>
      <w:tr>
        <w:tc>
          <w:tcPr>
            <w:tcW w:type="dxa" w:w="366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074"/>
          </w:tcPr>
          <w:p>
            <w:r/>
            <w:r>
              <w:rPr>
                <w:sz w:val="18"/>
              </w:rPr>
              <w:t>Obstetrics — Fetal</w:t>
            </w:r>
          </w:p>
        </w:tc>
        <w:tc>
          <w:tcPr>
            <w:tcW w:type="dxa" w:w="1782"/>
          </w:tcPr>
          <w:p>
            <w:r/>
            <w:r>
              <w:rPr>
                <w:sz w:val="18"/>
              </w:rPr>
              <w:t>Cardiotocography Dataset (UCI, CC BY 4.0)</w:t>
            </w:r>
          </w:p>
        </w:tc>
        <w:tc>
          <w:tcPr>
            <w:tcW w:type="dxa" w:w="921"/>
          </w:tcPr>
          <w:p>
            <w:r/>
            <w:r>
              <w:rPr>
                <w:sz w:val="18"/>
              </w:rPr>
              <w:t>2,126</w:t>
            </w:r>
          </w:p>
        </w:tc>
        <w:tc>
          <w:tcPr>
            <w:tcW w:type="dxa" w:w="951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374"/>
          </w:tcPr>
          <w:p>
            <w:r/>
            <w:r>
              <w:rPr>
                <w:sz w:val="18"/>
              </w:rPr>
              <w:t>fetal_health (multiclass)</w:t>
            </w:r>
          </w:p>
        </w:tc>
        <w:tc>
          <w:tcPr>
            <w:tcW w:type="dxa" w:w="2558"/>
          </w:tcPr>
          <w:p>
            <w:r/>
            <w:r>
              <w:rPr>
                <w:sz w:val="18"/>
              </w:rPr>
              <w:t>~8% pathological; inter-observer variability; software-derived features. Bundled.</w:t>
            </w:r>
          </w:p>
        </w:tc>
      </w:tr>
      <w:tr>
        <w:tc>
          <w:tcPr>
            <w:tcW w:type="dxa" w:w="366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074"/>
          </w:tcPr>
          <w:p>
            <w:r/>
            <w:r>
              <w:rPr>
                <w:sz w:val="18"/>
              </w:rPr>
              <w:t>Pharmacy — Readmission</w:t>
            </w:r>
          </w:p>
        </w:tc>
        <w:tc>
          <w:tcPr>
            <w:tcW w:type="dxa" w:w="1782"/>
          </w:tcPr>
          <w:p>
            <w:r/>
            <w:r>
              <w:rPr>
                <w:sz w:val="18"/>
              </w:rPr>
              <w:t>Diabetes 130-US Hospitals (UCI, CC BY 4.0)</w:t>
            </w:r>
          </w:p>
        </w:tc>
        <w:tc>
          <w:tcPr>
            <w:tcW w:type="dxa" w:w="921"/>
          </w:tcPr>
          <w:p>
            <w:r/>
            <w:r>
              <w:rPr>
                <w:sz w:val="18"/>
              </w:rPr>
              <w:t>100,000+</w:t>
            </w:r>
          </w:p>
        </w:tc>
        <w:tc>
          <w:tcPr>
            <w:tcW w:type="dxa" w:w="951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374"/>
          </w:tcPr>
          <w:p>
            <w:r/>
            <w:r>
              <w:rPr>
                <w:sz w:val="18"/>
              </w:rPr>
              <w:t>readmitted (multiclass)</w:t>
            </w:r>
          </w:p>
        </w:tc>
        <w:tc>
          <w:tcPr>
            <w:tcW w:type="dxa" w:w="2558"/>
          </w:tcPr>
          <w:p>
            <w:r/>
            <w:r>
              <w:rPr>
                <w:sz w:val="18"/>
              </w:rPr>
              <w:t>1999–2008 data; US-specific; encounter-level; outdated treatment protocols. Bundled.</w:t>
            </w:r>
          </w:p>
        </w:tc>
      </w:tr>
    </w:tbl>
    <w:p w14:paraId="6DA9326B" w14:textId="77777777" w:rsidR="00AC572F" w:rsidRDefault="00000000">
      <w:pPr>
        <w:pStyle w:val="Heading2"/>
      </w:pPr>
      <w:r>
        <w:t>3.2 Data Quality &amp; Validation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C572F" w14:paraId="5E419DD6" w14:textId="77777777"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02D88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68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F86C3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Your Documentation</w:t>
            </w:r>
          </w:p>
        </w:tc>
      </w:tr>
      <w:tr w:rsidR="00AC572F" w14:paraId="245F3072" w14:textId="77777777"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10106" w14:textId="77777777" w:rsidR="00AC572F" w:rsidRDefault="00000000">
            <w:pPr>
              <w:spacing w:line="256" w:lineRule="auto"/>
            </w:pPr>
            <w:r>
              <w:rPr>
                <w:b/>
                <w:bCs/>
                <w:i w:val="0"/>
                <w:color w:val="212121"/>
                <w:sz w:val="17"/>
                <w:szCs w:val="17"/>
              </w:rPr>
              <w:t>Quality Criteria</w:t>
            </w:r>
          </w:p>
        </w:tc>
        <w:tc>
          <w:tcPr>
            <w:tcW w:w="68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0F455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• Minimum rows: ≥10 patients (MIN_ROWS=10)</w:t>
              <w:br/>
              <w:t>• Required columns: ≥2 (1 feature + 1 target)</w:t>
              <w:br/>
              <w:t>• File format: .csv only</w:t>
              <w:br/>
              <w:t>• Max file size: ≤50 MB (MAX_UPLOAD_MB=50)</w:t>
              <w:br/>
              <w:t>• Max target classes: ≤20 (MAX_TARGET_CLASSES=20)</w:t>
              <w:br/>
              <w:t>• Imbalance warning: ratio &gt;1.5:1 triggers alert in Step 2</w:t>
              <w:br/>
              <w:t>• Target: selected via Column Mapper in Step 2</w:t>
              <w:br/>
              <w:t>• On failure: HTTP 422 with specific error → inline alert in Step 2 UI</w:t>
            </w:r>
          </w:p>
          <w:p w14:paraId="05CA40B7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  <w:p w14:paraId="3B216C2C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  <w:p w14:paraId="0C3F9699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  <w:p w14:paraId="7E813169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  <w:p w14:paraId="3D519470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  <w:p w14:paraId="7DB859EF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  <w:proofErr w:type="spellStart"/>
            <w:r>
              <w:rPr>
                <w:color w:val="212121"/>
                <w:sz w:val="17"/>
                <w:szCs w:val="17"/>
              </w:rPr>
            </w:r>
            <w:proofErr w:type="spellEnd"/>
            <w:r>
              <w:rPr>
                <w:color w:val="212121"/>
                <w:sz w:val="17"/>
                <w:szCs w:val="17"/>
              </w:rPr>
            </w:r>
          </w:p>
        </w:tc>
      </w:tr>
      <w:tr w:rsidR="00AC572F" w14:paraId="494FEA9E" w14:textId="77777777"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23A63" w14:textId="77777777" w:rsidR="00AC572F" w:rsidRDefault="00000000">
            <w:pPr>
              <w:spacing w:line="256" w:lineRule="auto"/>
            </w:pPr>
            <w:r>
              <w:rPr>
                <w:b/>
                <w:bCs/>
                <w:i w:val="0"/>
                <w:color w:val="212121"/>
                <w:sz w:val="17"/>
                <w:szCs w:val="17"/>
              </w:rPr>
              <w:t>Missing Value</w:t>
              <w:br/>
              <w:t>Handling</w:t>
            </w:r>
          </w:p>
        </w:tc>
        <w:tc>
          <w:tcPr>
            <w:tcW w:w="68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6D1EB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• Median (default): Robust to outliers in clinical data (e.g., extreme creatinine in renal failure). Computed from training set only, applied to both sets to prevent leakage. Clinically preserves central tendency.</w:t>
              <w:br/>
              <w:t>• Mode: For categorical variables (gender, diagnosis codes). train_df.mode().iloc[0] with fallback to median.</w:t>
              <w:br/>
              <w:t>• Drop rows: Only when missingness is MCAR and dataset large enough. Risk: systematic missingness biases toward sicker patients who received more testing.</w:t>
            </w:r>
          </w:p>
          <w:p w14:paraId="347FD1DB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  <w:p w14:paraId="26A27BDA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  <w:p w14:paraId="42762400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</w:tc>
      </w:tr>
      <w:tr w:rsidR="00AC572F" w14:paraId="7E16AB99" w14:textId="77777777"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88857" w14:textId="77777777" w:rsidR="00AC572F" w:rsidRDefault="00000000">
            <w:pPr>
              <w:spacing w:line="256" w:lineRule="auto"/>
            </w:pPr>
            <w:r>
              <w:rPr>
                <w:b/>
                <w:bCs/>
                <w:i w:val="0"/>
                <w:color w:val="212121"/>
                <w:sz w:val="17"/>
                <w:szCs w:val="17"/>
              </w:rPr>
              <w:t>Normalisation</w:t>
            </w:r>
          </w:p>
        </w:tc>
        <w:tc>
          <w:tcPr>
            <w:tcW w:w="68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33C63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• Z-score (default): StandardScaler — zero mean, unit variance. Essential for KNN/SVM where magnitude affects distance. Intuitive for clinicians (standard deviations from mean).</w:t>
              <w:br/>
              <w:t>• Min-Max: MinMaxScaler — [0,1] range. For bounded features. Less robust to outliers.</w:t>
              <w:br/>
              <w:t>• None: Acceptable for tree-based models (DT, RF, XGBoost, LightGBM) which are scale-invariant. Risk: KNN/SVM dominated by high-magnitude features.</w:t>
            </w:r>
          </w:p>
          <w:p w14:paraId="44F06015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  <w:p w14:paraId="54A2CF5B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  <w:p w14:paraId="04F9CC13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</w:tc>
      </w:tr>
      <w:tr w:rsidR="00AC572F" w14:paraId="4D4A3B0A" w14:textId="77777777"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1FD59" w14:textId="77777777" w:rsidR="00AC572F" w:rsidRDefault="00000000">
            <w:pPr>
              <w:spacing w:line="256" w:lineRule="auto"/>
            </w:pPr>
            <w:r>
              <w:rPr>
                <w:b/>
                <w:bCs/>
                <w:i w:val="0"/>
                <w:color w:val="212121"/>
                <w:sz w:val="17"/>
                <w:szCs w:val="17"/>
              </w:rPr>
              <w:t>Class Imbalance</w:t>
              <w:br/>
              <w:t>(SMOTE)</w:t>
            </w:r>
          </w:p>
        </w:tc>
        <w:tc>
          <w:tcPr>
            <w:tcW w:w="68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12769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• What: Generates synthetic minority samples by interpolating between k nearest minority neighbours.</w:t>
              <w:br/>
              <w:t>• Why needed: Clinical datasets often have severe imbalance (sepsis ~10%, stroke &lt;5%). Without SMOTE, models optimise for majority class — high accuracy but 0% sensitivity for clinically important minority.</w:t>
              <w:br/>
              <w:t>• Adaptive k: max(1, min(5, min_class_count-1)) for small classes.</w:t>
              <w:br/>
              <w:t>• Training data only: Test set must reflect real-world distribution for honest metrics (ISO 42001 Annex A.6.4).</w:t>
              <w:br/>
              <w:t>• Step 3 displays: before/after class distribution comparison chart.</w:t>
            </w:r>
          </w:p>
          <w:p w14:paraId="61F1A615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  <w:p w14:paraId="0E7D63A6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  <w:p w14:paraId="7B649FFB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  <w:p w14:paraId="5E5A67BA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</w:tc>
      </w:tr>
    </w:tbl>
    <w:p w14:paraId="33C7BAC3" w14:textId="77777777" w:rsidR="00AC572F" w:rsidRDefault="00000000">
      <w:pPr>
        <w:pStyle w:val="Heading2"/>
      </w:pPr>
      <w:r>
        <w:t>3.3 Data Privacy &amp; Provenance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C572F" w14:paraId="79E058DB" w14:textId="77777777"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4934C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68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396E4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Your Documentation</w:t>
            </w:r>
          </w:p>
        </w:tc>
      </w:tr>
      <w:tr w:rsidR="00AC572F" w14:paraId="3E02BF6B" w14:textId="77777777"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DB3F5" w14:textId="77777777" w:rsidR="00AC572F" w:rsidRDefault="00000000">
            <w:pPr>
              <w:spacing w:line="256" w:lineRule="auto"/>
            </w:pPr>
            <w:r>
              <w:rPr>
                <w:b/>
                <w:bCs/>
                <w:i w:val="0"/>
                <w:color w:val="212121"/>
                <w:sz w:val="17"/>
                <w:szCs w:val="17"/>
              </w:rPr>
              <w:t>Privacy</w:t>
              <w:br/>
              <w:t>Architecture</w:t>
            </w:r>
          </w:p>
        </w:tc>
        <w:tc>
          <w:tcPr>
            <w:tcW w:w="68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9525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• In-memory processing: CSV → pandas DataFrame in server memory. No disk, no database, no external APIs.</w:t>
              <w:br/>
              <w:t>• Session-only lifecycle: UUID per session. MLService uses OrderedDict LRU eviction (max 50 sessions, 50 models). Auto-eviction on 51st entry.</w:t>
              <w:br/>
              <w:t>• Privacy notice (footer): 'Patient data is processed locally within this session. No patient data is stored or transmitted.'</w:t>
              <w:br/>
              <w:t>• CORS: localhost:5173 only (dev). Docker production: same-origin.</w:t>
              <w:br/>
              <w:t>• Certificate: aggregate metrics only — no raw patient data.</w:t>
              <w:br/>
              <w:t>• For real data under KVKK/GDPR: explicit consent (Art. 5/6), DPIA (Art. 35), encryption (AES-256/TLS 1.3), right-to-deletion, DPO, DPA, audit trail.</w:t>
            </w:r>
          </w:p>
          <w:p w14:paraId="243F8FCC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  <w:p w14:paraId="357C5968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  <w:p w14:paraId="7E7EAB84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  <w:p w14:paraId="5C86E4C2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</w:tc>
      </w:tr>
      <w:tr w:rsidR="00AC572F" w14:paraId="27759E4E" w14:textId="77777777"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636A7" w14:textId="77777777" w:rsidR="00AC572F" w:rsidRDefault="00000000">
            <w:pPr>
              <w:spacing w:line="256" w:lineRule="auto"/>
            </w:pPr>
            <w:r>
              <w:rPr>
                <w:b/>
                <w:bCs/>
                <w:i w:val="0"/>
                <w:color w:val="212121"/>
                <w:sz w:val="17"/>
                <w:szCs w:val="17"/>
              </w:rPr>
              <w:t>Provenance</w:t>
              <w:br/>
              <w:t>Tracking</w:t>
            </w:r>
          </w:p>
        </w:tc>
        <w:tc>
          <w:tcPr>
            <w:tcW w:w="68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B62C8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• Built-in datasets: Source URL, description, license type, and DOI in specialty registry. Step 2 displays dataset attribution.</w:t>
              <w:br/>
              <w:t>• Licensing documentation: DATA_LICENSES.md provides full per-dataset inventory with license categories, DOIs, citations, modification records, redistribution rights, and EU AI Act Art. 10/11/52 compliance tables (ISO/IEC 25012 compliant). ATTRIBUTION.md lists required CC BY/CC BY-SA attributions.</w:t>
              <w:br/>
              <w:t>• Docker bundling: 18/20 datasets bundled based on verified redistribution rights. 2 datasets (Stroke, Anaemia) auto-downloaded at runtime — licenses unverified.</w:t>
              <w:br/>
              <w:t>• User uploads: filename, row/column counts, types, class distribution captured per session. No persistent lineage (educational scope).</w:t>
              <w:br/>
              <w:t>• Clinical deployment would need: Apache Atlas / OpenLineage, immutable provenance records, version control for dataset updates, source-to-prediction traceability.</w:t>
            </w:r>
          </w:p>
          <w:p w14:paraId="59A982BF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  <w:p w14:paraId="5709CF66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  <w:p w14:paraId="2E66591E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</w:tc>
      </w:tr>
      <w:tr w:rsidR="00AC572F" w14:paraId="125E04A5" w14:textId="77777777"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6D7F9" w14:textId="77777777" w:rsidR="00AC572F" w:rsidRDefault="00000000">
            <w:pPr>
              <w:spacing w:line="256" w:lineRule="auto"/>
            </w:pPr>
            <w:r>
              <w:rPr>
                <w:b/>
                <w:bCs/>
                <w:i w:val="0"/>
                <w:color w:val="212121"/>
                <w:sz w:val="17"/>
                <w:szCs w:val="17"/>
              </w:rPr>
              <w:t>Bias in Data</w:t>
            </w:r>
          </w:p>
        </w:tc>
        <w:tc>
          <w:tcPr>
            <w:tcW w:w="68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849CB" w14:textId="77777777" w:rsidR="00AC572F" w:rsidRDefault="00000000">
            <w:pPr>
              <w:spacing w:after="30" w:line="250" w:lineRule="auto"/>
            </w:pPr>
            <w:r>
              <w:rPr>
                <w:b w:val="0"/>
                <w:i w:val="0"/>
                <w:iCs/>
                <w:color w:val="616161"/>
                <w:sz w:val="17"/>
                <w:szCs w:val="17"/>
              </w:rPr>
              <w:t>• Class imbalance: Stroke (&lt;5%), Sepsis (~10%), Cervical Cancer (&lt;10%), CTG (~8% pathological). Step 2 auto-warns at ratio &gt;1.5:1. Step 3 offers SMOTE.</w:t>
              <w:br/>
              <w:t>• Demographic gaps: Pima diabetes = only Pima Indian women; ILPD = 75% male, India-only; HAM10000 = light-skinned (Austria/Australia).</w:t>
              <w:br/>
              <w:t>• Historical disparities: Missing labs may reflect under-testing of low-risk patients; Pharmacy dataset (1999–2008) reflects outdated protocols.</w:t>
              <w:br/>
              <w:t>• Step 7: Gender distribution chart vs. population norms (50/50); age-band analysis; subgroup performance table shows per-group sensitivity/specificity.</w:t>
            </w:r>
          </w:p>
          <w:p w14:paraId="7293BE85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  <w:p w14:paraId="2900E2FD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  <w:p w14:paraId="2210C254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  <w:p w14:paraId="77FBCFC1" w14:textId="77777777" w:rsidR="00AC572F" w:rsidRDefault="00000000">
            <w:pPr>
              <w:spacing w:after="30" w:line="250" w:lineRule="auto"/>
            </w:pPr>
            <w:r>
              <w:rPr>
                <w:color w:val="212121"/>
                <w:sz w:val="17"/>
                <w:szCs w:val="17"/>
              </w:rPr>
            </w:r>
          </w:p>
        </w:tc>
      </w:tr>
    </w:tbl>
    <w:p w14:paraId="3BE4E637" w14:textId="77777777" w:rsidR="00AC572F" w:rsidRDefault="00000000">
      <w:pPr>
        <w:pStyle w:val="Heading2"/>
      </w:pPr>
      <w:r>
        <w:t>3.4 Third-Party &amp; Dependency Register</w:t>
      </w:r>
    </w:p>
    <w:p w14:paraId="57608F44" w14:textId="77777777" w:rsidR="00AC572F" w:rsidRDefault="00000000">
      <w:pPr>
        <w:spacing w:after="120" w:line="276" w:lineRule="auto"/>
        <w:jc w:val="both"/>
      </w:pPr>
      <w:r>
        <w:rPr>
          <w:b/>
          <w:bCs/>
          <w:color w:val="212121"/>
        </w:rPr>
        <w:t xml:space="preserve">ISO 42001 Reference: </w:t>
      </w:r>
      <w:r>
        <w:rPr>
          <w:color w:val="212121"/>
        </w:rPr>
        <w:t>Annex A.9.2 (Monitoring Third-Party Services), A.9.4 (AI System Component Sourcing)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9"/>
        <w:gridCol w:w="821"/>
        <w:gridCol w:w="861"/>
        <w:gridCol w:w="888"/>
        <w:gridCol w:w="1418"/>
        <w:gridCol w:w="810"/>
        <w:gridCol w:w="1131"/>
        <w:gridCol w:w="1838"/>
      </w:tblGrid>
      <w:tr w:rsidR="00AC572F" w14:paraId="54F41120" w14:textId="77777777"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83BAC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5F326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DE574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85526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License</w:t>
            </w:r>
          </w:p>
        </w:tc>
        <w:tc>
          <w:tcPr>
            <w:tcW w:w="15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793FC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Security Assessment</w:t>
            </w:r>
          </w:p>
        </w:tc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4E3B7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Risk Level (H/M/L)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0D407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Alternative Available?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2BD46" w14:textId="77777777" w:rsidR="00AC572F" w:rsidRDefault="00000000">
            <w:r>
              <w:rPr>
                <w:b/>
                <w:bCs/>
                <w:color w:val="FFFFFF"/>
                <w:sz w:val="18"/>
                <w:szCs w:val="18"/>
              </w:rPr>
              <w:t>Monitoring Plan</w:t>
            </w:r>
          </w:p>
        </w:tc>
      </w:tr>
      <w:tr w:rsidR="00AC572F" w14:paraId="21512556" w14:textId="77777777"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41EBA4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color w:val="212121"/>
                <w:sz w:val="14"/>
                <w:szCs w:val="14"/>
              </w:rPr>
              <w:t>scikit-learn</w:t>
            </w:r>
          </w:p>
        </w:tc>
        <w:tc>
          <w:tcPr>
            <w:tcW w:w="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F9C573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color w:val="212121"/>
                <w:sz w:val="14"/>
                <w:szCs w:val="14"/>
              </w:rPr>
              <w:t>ML Library</w:t>
            </w:r>
          </w:p>
        </w:tc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18A291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≥1.4.0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21940E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BSD-3-Clause</w:t>
            </w:r>
          </w:p>
        </w:tc>
        <w:tc>
          <w:tcPr>
            <w:tcW w:w="15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39AED6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No critical CVEs; NumFOCUS-sponsored; 60k+ stars</w:t>
            </w:r>
          </w:p>
        </w:tc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F501BE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L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5079C4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TensorFlow, PyTorch</w:t>
            </w:r>
            <w:proofErr w:type="spellStart"/>
            <w:r>
              <w:rPr>
                <w:i/>
                <w:iCs/>
                <w:color w:val="616161"/>
                <w:sz w:val="14"/>
                <w:szCs w:val="14"/>
              </w:rPr>
            </w:r>
            <w:proofErr w:type="spellEnd"/>
            <w:r>
              <w:rPr>
                <w:i/>
                <w:iCs/>
                <w:color w:val="616161"/>
                <w:sz w:val="14"/>
                <w:szCs w:val="14"/>
              </w:rPr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5C2055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Pin version; check PyPI releases each sprint</w:t>
            </w:r>
          </w:p>
        </w:tc>
      </w:tr>
      <w:tr w:rsidR="00AC572F" w14:paraId="0E985E73" w14:textId="77777777"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122085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color w:val="212121"/>
                <w:sz w:val="14"/>
                <w:szCs w:val="14"/>
              </w:rPr>
              <w:t>XGBoost</w:t>
            </w:r>
          </w:p>
        </w:tc>
        <w:tc>
          <w:tcPr>
            <w:tcW w:w="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7664B5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color w:val="212121"/>
                <w:sz w:val="14"/>
                <w:szCs w:val="14"/>
              </w:rPr>
              <w:t>ML Library</w:t>
            </w:r>
          </w:p>
        </w:tc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025E27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≥2.0.0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E2D54F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Apache 2.0</w:t>
            </w:r>
          </w:p>
        </w:tc>
        <w:tc>
          <w:tcPr>
            <w:tcW w:w="15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1E1B0E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DMLC foundation; regular patches; enterprise adoption</w:t>
            </w:r>
          </w:p>
        </w:tc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00BC87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L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4D7C14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LightGBM, CatBoost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9E00F9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Pin version; monitor GitHub advisories</w:t>
            </w:r>
          </w:p>
        </w:tc>
      </w:tr>
      <w:tr w:rsidR="00AC572F" w14:paraId="7C232F5F" w14:textId="77777777"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6C1D59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color w:val="212121"/>
                <w:sz w:val="14"/>
                <w:szCs w:val="14"/>
              </w:rPr>
              <w:t>LightGBM</w:t>
            </w:r>
          </w:p>
        </w:tc>
        <w:tc>
          <w:tcPr>
            <w:tcW w:w="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AEA251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color w:val="212121"/>
                <w:sz w:val="14"/>
                <w:szCs w:val="14"/>
              </w:rPr>
              <w:t>ML Library</w:t>
            </w:r>
          </w:p>
        </w:tc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95E61A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≥4.3.0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A943D8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MIT</w:t>
            </w:r>
          </w:p>
        </w:tc>
        <w:tc>
          <w:tcPr>
            <w:tcW w:w="15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9C8B7D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Microsoft-maintained; requires libgomp1; no known CVEs</w:t>
            </w:r>
          </w:p>
        </w:tc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A001F8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L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784C7A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XGBoost, CatBoost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1AC5CD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Pin version; monitor MSRC</w:t>
            </w:r>
          </w:p>
        </w:tc>
      </w:tr>
      <w:tr w:rsidR="00AC572F" w14:paraId="072563C1" w14:textId="77777777"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DD50E9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color w:val="212121"/>
                <w:sz w:val="14"/>
                <w:szCs w:val="14"/>
              </w:rPr>
              <w:t>SHAP</w:t>
            </w:r>
          </w:p>
        </w:tc>
        <w:tc>
          <w:tcPr>
            <w:tcW w:w="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75EF2A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color w:val="212121"/>
                <w:sz w:val="14"/>
                <w:szCs w:val="14"/>
              </w:rPr>
              <w:t>Explainability</w:t>
            </w:r>
          </w:p>
        </w:tc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64BCC1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≥0.45.0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AA0F2E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MIT</w:t>
            </w:r>
          </w:p>
        </w:tc>
        <w:tc>
          <w:tcPr>
            <w:tcW w:w="15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153F99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Academic origin (Lundberg); 18k+ citations; transitive dep chain (NumPy/SciPy) increases vulnerability surface; not enterprise-backed</w:t>
            </w:r>
          </w:p>
        </w:tc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35B7AE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M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D48C03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LIME, ELI5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0C4E52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Pin version; monitor API changes; scan transitive deps with pip-audit</w:t>
            </w:r>
          </w:p>
        </w:tc>
      </w:tr>
      <w:tr w:rsidR="00AC572F" w14:paraId="3EDE7F5C" w14:textId="77777777"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708CEC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color w:val="212121"/>
                <w:sz w:val="14"/>
                <w:szCs w:val="14"/>
              </w:rPr>
              <w:t>pandas</w:t>
            </w:r>
          </w:p>
        </w:tc>
        <w:tc>
          <w:tcPr>
            <w:tcW w:w="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DB2136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color w:val="212121"/>
                <w:sz w:val="14"/>
                <w:szCs w:val="14"/>
              </w:rPr>
              <w:t>Data Processing</w:t>
            </w:r>
          </w:p>
        </w:tc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95E889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≥2.2.0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06BA65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BSD-3-Clause</w:t>
            </w:r>
          </w:p>
        </w:tc>
        <w:tc>
          <w:tcPr>
            <w:tcW w:w="15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297A5F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NumFOCUS; enterprise-grade; no critical vulns; 40k+ stars</w:t>
            </w:r>
            <w:proofErr w:type="spellStart"/>
            <w:r>
              <w:rPr>
                <w:i/>
                <w:iCs/>
                <w:color w:val="616161"/>
                <w:sz w:val="14"/>
                <w:szCs w:val="14"/>
              </w:rPr>
            </w:r>
            <w:proofErr w:type="spellEnd"/>
            <w:r>
              <w:rPr>
                <w:i/>
                <w:iCs/>
                <w:color w:val="616161"/>
                <w:sz w:val="14"/>
                <w:szCs w:val="14"/>
              </w:rPr>
            </w:r>
          </w:p>
        </w:tc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488BDD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L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2A9923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Polars, Modin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41DD96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Pin version; ecosystem stable</w:t>
            </w:r>
          </w:p>
        </w:tc>
      </w:tr>
      <w:tr w:rsidR="00AC572F" w14:paraId="34943160" w14:textId="77777777"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C8CB47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imbalanced-learn</w:t>
            </w:r>
          </w:p>
        </w:tc>
        <w:tc>
          <w:tcPr>
            <w:tcW w:w="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2B6159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color w:val="212121"/>
                <w:sz w:val="14"/>
                <w:szCs w:val="14"/>
              </w:rPr>
              <w:t>ML (SMOTE)</w:t>
            </w:r>
          </w:p>
        </w:tc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42653A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≥0.12.0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32505D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MIT</w:t>
            </w:r>
          </w:p>
        </w:tc>
        <w:tc>
          <w:tcPr>
            <w:tcW w:w="15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41E802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scikit-learn-contrib; quarterly releases = slower patches; directly affects training output via synthetic data</w:t>
            </w:r>
          </w:p>
        </w:tc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6E880A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M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65D661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Custom SMOTE, ADASYN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DE0C8B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Pin exact version; verify SMOTE output consistency across upgrades</w:t>
            </w:r>
          </w:p>
        </w:tc>
      </w:tr>
      <w:tr w:rsidR="00AC572F" w14:paraId="6F9F4802" w14:textId="77777777">
        <w:tc>
          <w:tcPr>
            <w:tcW w:w="13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36F389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FastAPI</w:t>
            </w:r>
          </w:p>
        </w:tc>
        <w:tc>
          <w:tcPr>
            <w:tcW w:w="8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29A96F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Web Framework</w:t>
            </w:r>
          </w:p>
        </w:tc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55D8EC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≥0.110.0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6FA828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MIT</w:t>
            </w:r>
          </w:p>
        </w:tc>
        <w:tc>
          <w:tcPr>
            <w:tcW w:w="1526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92D8E0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Active maintenance; Starlette/Pydantic; production-proven</w:t>
            </w:r>
          </w:p>
        </w:tc>
        <w:tc>
          <w:tcPr>
            <w:tcW w:w="7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96FB1D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L</w:t>
            </w:r>
          </w:p>
        </w:tc>
        <w:tc>
          <w:tcPr>
            <w:tcW w:w="9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2C7D8D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Flask, Django REST</w:t>
            </w:r>
          </w:p>
        </w:tc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D940FE" w14:textId="77777777" w:rsidR="00AC572F" w:rsidRDefault="00000000">
            <w:pPr>
              <w:spacing w:after="20" w:line="230" w:lineRule="auto"/>
            </w:pPr>
            <w:r>
              <w:rPr>
                <w:b w:val="0"/>
                <w:i w:val="0"/>
                <w:iCs/>
                <w:color w:val="616161"/>
                <w:sz w:val="14"/>
                <w:szCs w:val="14"/>
              </w:rPr>
              <w:t>Pin version; monitor advisories</w:t>
            </w:r>
          </w:p>
        </w:tc>
      </w:tr>
      <w:tr>
        <w:tc>
          <w:tcPr>
            <w:tcW w:type="dxa" w:w="1259"/>
          </w:tcPr>
          <w:p>
            <w:r/>
            <w:r>
              <w:rPr>
                <w:sz w:val="18"/>
              </w:rPr>
              <w:t>ReportLab</w:t>
            </w:r>
          </w:p>
        </w:tc>
        <w:tc>
          <w:tcPr>
            <w:tcW w:type="dxa" w:w="821"/>
          </w:tcPr>
          <w:p>
            <w:r/>
            <w:r>
              <w:rPr>
                <w:sz w:val="18"/>
              </w:rPr>
              <w:t>PDF Generation</w:t>
            </w:r>
          </w:p>
        </w:tc>
        <w:tc>
          <w:tcPr>
            <w:tcW w:type="dxa" w:w="861"/>
          </w:tcPr>
          <w:p>
            <w:r/>
            <w:r>
              <w:rPr>
                <w:sz w:val="18"/>
              </w:rPr>
              <w:t>≥4.1.0</w:t>
            </w:r>
          </w:p>
        </w:tc>
        <w:tc>
          <w:tcPr>
            <w:tcW w:type="dxa" w:w="888"/>
          </w:tcPr>
          <w:p>
            <w:r/>
            <w:r>
              <w:rPr>
                <w:sz w:val="18"/>
              </w:rPr>
              <w:t>BSD</w:t>
            </w:r>
          </w:p>
        </w:tc>
        <w:tc>
          <w:tcPr>
            <w:tcW w:type="dxa" w:w="1418"/>
          </w:tcPr>
          <w:p>
            <w:r/>
            <w:r>
              <w:rPr>
                <w:sz w:val="18"/>
              </w:rPr>
              <w:t>Enterprise PDF (20+ years); occasional CVE patches</w:t>
            </w:r>
          </w:p>
        </w:tc>
        <w:tc>
          <w:tcPr>
            <w:tcW w:type="dxa" w:w="810"/>
          </w:tcPr>
          <w:p>
            <w:r/>
            <w:r>
              <w:rPr>
                <w:sz w:val="18"/>
              </w:rPr>
              <w:t>L</w:t>
            </w:r>
          </w:p>
        </w:tc>
        <w:tc>
          <w:tcPr>
            <w:tcW w:type="dxa" w:w="1131"/>
          </w:tcPr>
          <w:p>
            <w:r/>
            <w:r>
              <w:rPr>
                <w:sz w:val="18"/>
              </w:rPr>
              <w:t>WeasyPrint, FPDF2</w:t>
            </w:r>
          </w:p>
        </w:tc>
        <w:tc>
          <w:tcPr>
            <w:tcW w:type="dxa" w:w="1838"/>
          </w:tcPr>
          <w:p>
            <w:r/>
            <w:r>
              <w:rPr>
                <w:sz w:val="18"/>
              </w:rPr>
              <w:t>Pin; scan with pip-audit</w:t>
            </w:r>
          </w:p>
        </w:tc>
      </w:tr>
      <w:tr>
        <w:tc>
          <w:tcPr>
            <w:tcW w:type="dxa" w:w="1259"/>
          </w:tcPr>
          <w:p>
            <w:r/>
            <w:r>
              <w:rPr>
                <w:sz w:val="18"/>
              </w:rPr>
              <w:t>React</w:t>
            </w:r>
          </w:p>
        </w:tc>
        <w:tc>
          <w:tcPr>
            <w:tcW w:type="dxa" w:w="821"/>
          </w:tcPr>
          <w:p>
            <w:r/>
            <w:r>
              <w:rPr>
                <w:sz w:val="18"/>
              </w:rPr>
              <w:t>Frontend</w:t>
            </w:r>
          </w:p>
        </w:tc>
        <w:tc>
          <w:tcPr>
            <w:tcW w:type="dxa" w:w="861"/>
          </w:tcPr>
          <w:p>
            <w:r/>
            <w:r>
              <w:rPr>
                <w:sz w:val="18"/>
              </w:rPr>
              <w:t>^18.3.0</w:t>
            </w:r>
          </w:p>
        </w:tc>
        <w:tc>
          <w:tcPr>
            <w:tcW w:type="dxa" w:w="888"/>
          </w:tcPr>
          <w:p>
            <w:r/>
            <w:r>
              <w:rPr>
                <w:sz w:val="18"/>
              </w:rPr>
              <w:t>MIT</w:t>
            </w:r>
          </w:p>
        </w:tc>
        <w:tc>
          <w:tcPr>
            <w:tcW w:type="dxa" w:w="1418"/>
          </w:tcPr>
          <w:p>
            <w:r/>
            <w:r>
              <w:rPr>
                <w:sz w:val="18"/>
              </w:rPr>
              <w:t>Meta-maintained; dedicated security team; 220k+ stars</w:t>
            </w:r>
          </w:p>
        </w:tc>
        <w:tc>
          <w:tcPr>
            <w:tcW w:type="dxa" w:w="810"/>
          </w:tcPr>
          <w:p>
            <w:r/>
            <w:r>
              <w:rPr>
                <w:sz w:val="18"/>
              </w:rPr>
              <w:t>L</w:t>
            </w:r>
          </w:p>
        </w:tc>
        <w:tc>
          <w:tcPr>
            <w:tcW w:type="dxa" w:w="1131"/>
          </w:tcPr>
          <w:p>
            <w:r/>
            <w:r>
              <w:rPr>
                <w:sz w:val="18"/>
              </w:rPr>
              <w:t>Vue, Svelte, Angular</w:t>
            </w:r>
          </w:p>
        </w:tc>
        <w:tc>
          <w:tcPr>
            <w:tcW w:type="dxa" w:w="1838"/>
          </w:tcPr>
          <w:p>
            <w:r/>
            <w:r>
              <w:rPr>
                <w:sz w:val="18"/>
              </w:rPr>
              <w:t>Pin major; monitor security blog</w:t>
            </w:r>
          </w:p>
        </w:tc>
      </w:tr>
      <w:tr>
        <w:tc>
          <w:tcPr>
            <w:tcW w:type="dxa" w:w="1259"/>
          </w:tcPr>
          <w:p>
            <w:r/>
            <w:r>
              <w:rPr>
                <w:sz w:val="18"/>
              </w:rPr>
              <w:t>Vite</w:t>
            </w:r>
          </w:p>
        </w:tc>
        <w:tc>
          <w:tcPr>
            <w:tcW w:type="dxa" w:w="821"/>
          </w:tcPr>
          <w:p>
            <w:r/>
            <w:r>
              <w:rPr>
                <w:sz w:val="18"/>
              </w:rPr>
              <w:t>Build Tool</w:t>
            </w:r>
          </w:p>
        </w:tc>
        <w:tc>
          <w:tcPr>
            <w:tcW w:type="dxa" w:w="861"/>
          </w:tcPr>
          <w:p>
            <w:r/>
            <w:r>
              <w:rPr>
                <w:sz w:val="18"/>
              </w:rPr>
              <w:t>^5.3.0</w:t>
            </w:r>
          </w:p>
        </w:tc>
        <w:tc>
          <w:tcPr>
            <w:tcW w:type="dxa" w:w="888"/>
          </w:tcPr>
          <w:p>
            <w:r/>
            <w:r>
              <w:rPr>
                <w:sz w:val="18"/>
              </w:rPr>
              <w:t>MIT</w:t>
            </w:r>
          </w:p>
        </w:tc>
        <w:tc>
          <w:tcPr>
            <w:tcW w:type="dxa" w:w="1418"/>
          </w:tcPr>
          <w:p>
            <w:r/>
            <w:r>
              <w:rPr>
                <w:sz w:val="18"/>
              </w:rPr>
              <w:t>Evan You / team; fast HMR; dev-only (not in runtime)</w:t>
            </w:r>
          </w:p>
        </w:tc>
        <w:tc>
          <w:tcPr>
            <w:tcW w:type="dxa" w:w="810"/>
          </w:tcPr>
          <w:p>
            <w:r/>
            <w:r>
              <w:rPr>
                <w:sz w:val="18"/>
              </w:rPr>
              <w:t>L</w:t>
            </w:r>
          </w:p>
        </w:tc>
        <w:tc>
          <w:tcPr>
            <w:tcW w:type="dxa" w:w="1131"/>
          </w:tcPr>
          <w:p>
            <w:r/>
            <w:r>
              <w:rPr>
                <w:sz w:val="18"/>
              </w:rPr>
              <w:t>Webpack, Turbopack</w:t>
            </w:r>
          </w:p>
        </w:tc>
        <w:tc>
          <w:tcPr>
            <w:tcW w:type="dxa" w:w="1838"/>
          </w:tcPr>
          <w:p>
            <w:r/>
            <w:r>
              <w:rPr>
                <w:sz w:val="18"/>
              </w:rPr>
              <w:t>Pin; monitor GitHub advisories</w:t>
            </w:r>
          </w:p>
        </w:tc>
      </w:tr>
      <w:tr>
        <w:tc>
          <w:tcPr>
            <w:tcW w:type="dxa" w:w="1259"/>
          </w:tcPr>
          <w:p>
            <w:r/>
            <w:r>
              <w:rPr>
                <w:sz w:val="18"/>
              </w:rPr>
              <w:t>Recharts</w:t>
            </w:r>
          </w:p>
        </w:tc>
        <w:tc>
          <w:tcPr>
            <w:tcW w:type="dxa" w:w="821"/>
          </w:tcPr>
          <w:p>
            <w:r/>
            <w:r>
              <w:rPr>
                <w:sz w:val="18"/>
              </w:rPr>
              <w:t>Charting</w:t>
            </w:r>
          </w:p>
        </w:tc>
        <w:tc>
          <w:tcPr>
            <w:tcW w:type="dxa" w:w="861"/>
          </w:tcPr>
          <w:p>
            <w:r/>
            <w:r>
              <w:rPr>
                <w:sz w:val="18"/>
              </w:rPr>
              <w:t>^2.12.0</w:t>
            </w:r>
          </w:p>
        </w:tc>
        <w:tc>
          <w:tcPr>
            <w:tcW w:type="dxa" w:w="888"/>
          </w:tcPr>
          <w:p>
            <w:r/>
            <w:r>
              <w:rPr>
                <w:sz w:val="18"/>
              </w:rPr>
              <w:t>MIT</w:t>
            </w:r>
          </w:p>
        </w:tc>
        <w:tc>
          <w:tcPr>
            <w:tcW w:type="dxa" w:w="1418"/>
          </w:tcPr>
          <w:p>
            <w:r/>
            <w:r>
              <w:rPr>
                <w:sz w:val="18"/>
              </w:rPr>
              <w:t>React-specific on D3; ROC, PR, SHAP charts; 23k+ stars</w:t>
            </w:r>
          </w:p>
        </w:tc>
        <w:tc>
          <w:tcPr>
            <w:tcW w:type="dxa" w:w="810"/>
          </w:tcPr>
          <w:p>
            <w:r/>
            <w:r>
              <w:rPr>
                <w:sz w:val="18"/>
              </w:rPr>
              <w:t>L</w:t>
            </w:r>
          </w:p>
        </w:tc>
        <w:tc>
          <w:tcPr>
            <w:tcW w:type="dxa" w:w="1131"/>
          </w:tcPr>
          <w:p>
            <w:r/>
            <w:r>
              <w:rPr>
                <w:sz w:val="18"/>
              </w:rPr>
              <w:t>@nivo, Plotly, Chart.js</w:t>
            </w:r>
          </w:p>
        </w:tc>
        <w:tc>
          <w:tcPr>
            <w:tcW w:type="dxa" w:w="1838"/>
          </w:tcPr>
          <w:p>
            <w:r/>
            <w:r>
              <w:rPr>
                <w:sz w:val="18"/>
              </w:rPr>
              <w:t>Pin; monitor npm advisories</w:t>
            </w:r>
          </w:p>
        </w:tc>
      </w:tr>
      <w:tr>
        <w:tc>
          <w:tcPr>
            <w:tcW w:type="dxa" w:w="1259"/>
          </w:tcPr>
          <w:p>
            <w:r/>
            <w:r>
              <w:rPr>
                <w:sz w:val="18"/>
              </w:rPr>
              <w:t>Axios</w:t>
            </w:r>
          </w:p>
        </w:tc>
        <w:tc>
          <w:tcPr>
            <w:tcW w:type="dxa" w:w="821"/>
          </w:tcPr>
          <w:p>
            <w:r/>
            <w:r>
              <w:rPr>
                <w:sz w:val="18"/>
              </w:rPr>
              <w:t>HTTP Client</w:t>
            </w:r>
          </w:p>
        </w:tc>
        <w:tc>
          <w:tcPr>
            <w:tcW w:type="dxa" w:w="861"/>
          </w:tcPr>
          <w:p>
            <w:r/>
            <w:r>
              <w:rPr>
                <w:sz w:val="18"/>
              </w:rPr>
              <w:t>^1.7.0</w:t>
            </w:r>
          </w:p>
        </w:tc>
        <w:tc>
          <w:tcPr>
            <w:tcW w:type="dxa" w:w="888"/>
          </w:tcPr>
          <w:p>
            <w:r/>
            <w:r>
              <w:rPr>
                <w:sz w:val="18"/>
              </w:rPr>
              <w:t>MIT</w:t>
            </w:r>
          </w:p>
        </w:tc>
        <w:tc>
          <w:tcPr>
            <w:tcW w:type="dxa" w:w="1418"/>
          </w:tcPr>
          <w:p>
            <w:r/>
            <w:r>
              <w:rPr>
                <w:sz w:val="18"/>
              </w:rPr>
              <w:t>Frontend API client; 120s timeout; /api baseURL; 100k+ stars</w:t>
            </w:r>
          </w:p>
        </w:tc>
        <w:tc>
          <w:tcPr>
            <w:tcW w:type="dxa" w:w="810"/>
          </w:tcPr>
          <w:p>
            <w:r/>
            <w:r>
              <w:rPr>
                <w:sz w:val="18"/>
              </w:rPr>
              <w:t>L</w:t>
            </w:r>
          </w:p>
        </w:tc>
        <w:tc>
          <w:tcPr>
            <w:tcW w:type="dxa" w:w="1131"/>
          </w:tcPr>
          <w:p>
            <w:r/>
            <w:r>
              <w:rPr>
                <w:sz w:val="18"/>
              </w:rPr>
              <w:t>fetch API, ky</w:t>
            </w:r>
          </w:p>
        </w:tc>
        <w:tc>
          <w:tcPr>
            <w:tcW w:type="dxa" w:w="1838"/>
          </w:tcPr>
          <w:p>
            <w:r/>
            <w:r>
              <w:rPr>
                <w:sz w:val="18"/>
              </w:rPr>
              <w:t>Pin; monitor npm advisories</w:t>
            </w:r>
          </w:p>
        </w:tc>
      </w:tr>
      <w:tr>
        <w:tc>
          <w:tcPr>
            <w:tcW w:type="dxa" w:w="1259"/>
          </w:tcPr>
          <w:p>
            <w:r/>
            <w:r>
              <w:rPr>
                <w:sz w:val="18"/>
              </w:rPr>
              <w:t>python:3.12-slim</w:t>
            </w:r>
          </w:p>
        </w:tc>
        <w:tc>
          <w:tcPr>
            <w:tcW w:type="dxa" w:w="821"/>
          </w:tcPr>
          <w:p>
            <w:r/>
            <w:r>
              <w:rPr>
                <w:sz w:val="18"/>
              </w:rPr>
              <w:t>Docker Base</w:t>
            </w:r>
          </w:p>
        </w:tc>
        <w:tc>
          <w:tcPr>
            <w:tcW w:type="dxa" w:w="861"/>
          </w:tcPr>
          <w:p>
            <w:r/>
            <w:r>
              <w:rPr>
                <w:sz w:val="18"/>
              </w:rPr>
              <w:t>3.12</w:t>
            </w:r>
          </w:p>
        </w:tc>
        <w:tc>
          <w:tcPr>
            <w:tcW w:type="dxa" w:w="888"/>
          </w:tcPr>
          <w:p>
            <w:r/>
            <w:r>
              <w:rPr>
                <w:sz w:val="18"/>
              </w:rPr>
              <w:t>PSF</w:t>
            </w:r>
          </w:p>
        </w:tc>
        <w:tc>
          <w:tcPr>
            <w:tcW w:type="dxa" w:w="1418"/>
          </w:tcPr>
          <w:p>
            <w:r/>
            <w:r>
              <w:rPr>
                <w:sz w:val="18"/>
              </w:rPr>
              <w:t>Official image; regular rebuilds; slim still ships ~80MB system pkgs (glibc, openssl) whose CVEs propagate</w:t>
            </w:r>
          </w:p>
        </w:tc>
        <w:tc>
          <w:tcPr>
            <w:tcW w:type="dxa" w:w="810"/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1131"/>
          </w:tcPr>
          <w:p>
            <w:r/>
            <w:r>
              <w:rPr>
                <w:sz w:val="18"/>
              </w:rPr>
              <w:t>python:3.12-alpine</w:t>
            </w:r>
          </w:p>
        </w:tc>
        <w:tc>
          <w:tcPr>
            <w:tcW w:type="dxa" w:w="1838"/>
          </w:tcPr>
          <w:p>
            <w:r/>
            <w:r>
              <w:rPr>
                <w:sz w:val="18"/>
              </w:rPr>
              <w:t>Rebuild on advisories; scan with Trivy/Docker Scout; monitor Debian tracker</w:t>
            </w:r>
          </w:p>
        </w:tc>
      </w:tr>
      <w:tr>
        <w:tc>
          <w:tcPr>
            <w:tcW w:type="dxa" w:w="1259"/>
          </w:tcPr>
          <w:p>
            <w:r/>
            <w:r>
              <w:rPr>
                <w:sz w:val="18"/>
              </w:rPr>
              <w:t>UCI ML Repository</w:t>
            </w:r>
          </w:p>
        </w:tc>
        <w:tc>
          <w:tcPr>
            <w:tcW w:type="dxa" w:w="821"/>
          </w:tcPr>
          <w:p>
            <w:r/>
            <w:r>
              <w:rPr>
                <w:sz w:val="18"/>
              </w:rPr>
              <w:t>Data Source</w:t>
            </w:r>
          </w:p>
        </w:tc>
        <w:tc>
          <w:tcPr>
            <w:tcW w:type="dxa" w:w="861"/>
          </w:tcPr>
          <w:p>
            <w:r/>
            <w:r>
              <w:rPr>
                <w:sz w:val="18"/>
              </w:rPr>
              <w:t>N/A</w:t>
            </w:r>
          </w:p>
        </w:tc>
        <w:tc>
          <w:tcPr>
            <w:tcW w:type="dxa" w:w="888"/>
          </w:tcPr>
          <w:p>
            <w:r/>
            <w:r>
              <w:rPr>
                <w:sz w:val="18"/>
              </w:rPr>
              <w:t>CC BY 4.0</w:t>
            </w:r>
          </w:p>
        </w:tc>
        <w:tc>
          <w:tcPr>
            <w:tcW w:type="dxa" w:w="1418"/>
          </w:tcPr>
          <w:p>
            <w:r/>
            <w:r>
              <w:rPr>
                <w:sz w:val="18"/>
              </w:rPr>
              <w:t>Peer-reviewed; UC Irvine since 1987; benchmark standard</w:t>
            </w:r>
          </w:p>
        </w:tc>
        <w:tc>
          <w:tcPr>
            <w:tcW w:type="dxa" w:w="810"/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1131"/>
          </w:tcPr>
          <w:p>
            <w:r/>
            <w:r>
              <w:rPr>
                <w:sz w:val="18"/>
              </w:rPr>
              <w:t>Kaggle, PhysioNet</w:t>
            </w:r>
          </w:p>
        </w:tc>
        <w:tc>
          <w:tcPr>
            <w:tcW w:type="dxa" w:w="1838"/>
          </w:tcPr>
          <w:p>
            <w:r/>
            <w:r>
              <w:rPr>
                <w:sz w:val="18"/>
              </w:rPr>
              <w:t>Check for corrections/retractions</w:t>
            </w:r>
          </w:p>
        </w:tc>
      </w:tr>
      <w:tr>
        <w:tc>
          <w:tcPr>
            <w:tcW w:type="dxa" w:w="1259"/>
          </w:tcPr>
          <w:p>
            <w:r/>
            <w:r>
              <w:rPr>
                <w:sz w:val="18"/>
              </w:rPr>
              <w:t>Kaggle</w:t>
            </w:r>
          </w:p>
        </w:tc>
        <w:tc>
          <w:tcPr>
            <w:tcW w:type="dxa" w:w="821"/>
          </w:tcPr>
          <w:p>
            <w:r/>
            <w:r>
              <w:rPr>
                <w:sz w:val="18"/>
              </w:rPr>
              <w:t>Data Source</w:t>
            </w:r>
          </w:p>
        </w:tc>
        <w:tc>
          <w:tcPr>
            <w:tcW w:type="dxa" w:w="861"/>
          </w:tcPr>
          <w:p>
            <w:r/>
            <w:r>
              <w:rPr>
                <w:sz w:val="18"/>
              </w:rPr>
              <w:t>N/A</w:t>
            </w:r>
          </w:p>
        </w:tc>
        <w:tc>
          <w:tcPr>
            <w:tcW w:type="dxa" w:w="888"/>
          </w:tcPr>
          <w:p>
            <w:r/>
            <w:r>
              <w:rPr>
                <w:sz w:val="18"/>
              </w:rPr>
              <w:t>Various</w:t>
            </w:r>
          </w:p>
        </w:tc>
        <w:tc>
          <w:tcPr>
            <w:tcW w:type="dxa" w:w="1418"/>
          </w:tcPr>
          <w:p>
            <w:r/>
            <w:r>
              <w:rPr>
                <w:sz w:val="18"/>
              </w:rPr>
              <w:t>Community-sourced; quality varies; cross-reference papers</w:t>
            </w:r>
          </w:p>
        </w:tc>
        <w:tc>
          <w:tcPr>
            <w:tcW w:type="dxa" w:w="810"/>
          </w:tcPr>
          <w:p>
            <w:r/>
            <w:r>
              <w:rPr>
                <w:sz w:val="18"/>
              </w:rPr>
              <w:t>M</w:t>
            </w:r>
          </w:p>
        </w:tc>
        <w:tc>
          <w:tcPr>
            <w:tcW w:type="dxa" w:w="1131"/>
          </w:tcPr>
          <w:p>
            <w:r/>
            <w:r>
              <w:rPr>
                <w:sz w:val="18"/>
              </w:rPr>
              <w:t>UCI, govt data portals</w:t>
            </w:r>
          </w:p>
        </w:tc>
        <w:tc>
          <w:tcPr>
            <w:tcW w:type="dxa" w:w="1838"/>
          </w:tcPr>
          <w:p>
            <w:r/>
            <w:r>
              <w:rPr>
                <w:sz w:val="18"/>
              </w:rPr>
              <w:t>Verify license per dataset</w:t>
            </w:r>
          </w:p>
        </w:tc>
      </w:tr>
      <w:tr>
        <w:tc>
          <w:tcPr>
            <w:tcW w:type="dxa" w:w="1259"/>
          </w:tcPr>
          <w:p>
            <w:r/>
            <w:r>
              <w:rPr>
                <w:sz w:val="18"/>
              </w:rPr>
              <w:t>PhysioNet</w:t>
            </w:r>
          </w:p>
        </w:tc>
        <w:tc>
          <w:tcPr>
            <w:tcW w:type="dxa" w:w="821"/>
          </w:tcPr>
          <w:p>
            <w:r/>
            <w:r>
              <w:rPr>
                <w:sz w:val="18"/>
              </w:rPr>
              <w:t>Data Source</w:t>
            </w:r>
          </w:p>
        </w:tc>
        <w:tc>
          <w:tcPr>
            <w:tcW w:type="dxa" w:w="861"/>
          </w:tcPr>
          <w:p>
            <w:r/>
            <w:r>
              <w:rPr>
                <w:sz w:val="18"/>
              </w:rPr>
              <w:t>N/A</w:t>
            </w:r>
          </w:p>
        </w:tc>
        <w:tc>
          <w:tcPr>
            <w:tcW w:type="dxa" w:w="888"/>
          </w:tcPr>
          <w:p>
            <w:r/>
            <w:r>
              <w:rPr>
                <w:sz w:val="18"/>
              </w:rPr>
              <w:t>PhysioNet License</w:t>
            </w:r>
          </w:p>
        </w:tc>
        <w:tc>
          <w:tcPr>
            <w:tcW w:type="dxa" w:w="1418"/>
          </w:tcPr>
          <w:p>
            <w:r/>
            <w:r>
              <w:rPr>
                <w:sz w:val="18"/>
              </w:rPr>
              <w:t>Credentialed access; HIPAA de-identified; peer-reviewed</w:t>
            </w:r>
          </w:p>
        </w:tc>
        <w:tc>
          <w:tcPr>
            <w:tcW w:type="dxa" w:w="810"/>
          </w:tcPr>
          <w:p>
            <w:r/>
            <w:r>
              <w:rPr>
                <w:sz w:val="18"/>
              </w:rPr>
              <w:t>L</w:t>
            </w:r>
          </w:p>
        </w:tc>
        <w:tc>
          <w:tcPr>
            <w:tcW w:type="dxa" w:w="1131"/>
          </w:tcPr>
          <w:p>
            <w:r/>
            <w:r>
              <w:rPr>
                <w:sz w:val="18"/>
              </w:rPr>
              <w:t>MIMIC alternatives</w:t>
            </w:r>
          </w:p>
        </w:tc>
        <w:tc>
          <w:tcPr>
            <w:tcW w:type="dxa" w:w="1838"/>
          </w:tcPr>
          <w:p>
            <w:r/>
            <w:r>
              <w:rPr>
                <w:sz w:val="18"/>
              </w:rPr>
              <w:t>Monitor for corrections</w:t>
            </w:r>
          </w:p>
        </w:tc>
      </w:tr>
      <w:tr>
        <w:tc>
          <w:tcPr>
            <w:tcW w:type="dxa" w:w="1259"/>
          </w:tcPr>
          <w:p>
            <w:r/>
            <w:r>
              <w:rPr>
                <w:sz w:val="18"/>
              </w:rPr>
              <w:t>Harvard Dataverse</w:t>
            </w:r>
          </w:p>
        </w:tc>
        <w:tc>
          <w:tcPr>
            <w:tcW w:type="dxa" w:w="821"/>
          </w:tcPr>
          <w:p>
            <w:r/>
            <w:r>
              <w:rPr>
                <w:sz w:val="18"/>
              </w:rPr>
              <w:t>Data Source</w:t>
            </w:r>
          </w:p>
        </w:tc>
        <w:tc>
          <w:tcPr>
            <w:tcW w:type="dxa" w:w="861"/>
          </w:tcPr>
          <w:p>
            <w:r/>
            <w:r>
              <w:rPr>
                <w:sz w:val="18"/>
              </w:rPr>
              <w:t>N/A</w:t>
            </w:r>
          </w:p>
        </w:tc>
        <w:tc>
          <w:tcPr>
            <w:tcW w:type="dxa" w:w="888"/>
          </w:tcPr>
          <w:p>
            <w:r/>
            <w:r>
              <w:rPr>
                <w:sz w:val="18"/>
              </w:rPr>
              <w:t>CC BY 4.0</w:t>
            </w:r>
          </w:p>
        </w:tc>
        <w:tc>
          <w:tcPr>
            <w:tcW w:type="dxa" w:w="1418"/>
          </w:tcPr>
          <w:p>
            <w:r/>
            <w:r>
              <w:rPr>
                <w:sz w:val="18"/>
              </w:rPr>
              <w:t>DOI-based; Harvard-maintained; persistent identifiers</w:t>
            </w:r>
          </w:p>
        </w:tc>
        <w:tc>
          <w:tcPr>
            <w:tcW w:type="dxa" w:w="810"/>
          </w:tcPr>
          <w:p>
            <w:r/>
            <w:r>
              <w:rPr>
                <w:sz w:val="18"/>
              </w:rPr>
              <w:t>L</w:t>
            </w:r>
          </w:p>
        </w:tc>
        <w:tc>
          <w:tcPr>
            <w:tcW w:type="dxa" w:w="1131"/>
          </w:tcPr>
          <w:p>
            <w:r/>
            <w:r>
              <w:rPr>
                <w:sz w:val="18"/>
              </w:rPr>
              <w:t>ISIC Archive, Kaggle</w:t>
            </w:r>
          </w:p>
        </w:tc>
        <w:tc>
          <w:tcPr>
            <w:tcW w:type="dxa" w:w="1838"/>
          </w:tcPr>
          <w:p>
            <w:r/>
            <w:r>
              <w:rPr>
                <w:sz w:val="18"/>
              </w:rPr>
              <w:t>Monitor via DOI resolver</w:t>
            </w:r>
          </w:p>
        </w:tc>
      </w:tr>
    </w:tbl>
    <w:sectPr w:rsidR="000C5FE2">
      <w:headerReference w:type="default" r:id="rId7"/>
      <w:footerReference w:type="default" r:id="rId8"/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77656" w14:textId="77777777" w:rsidR="00815C15" w:rsidRDefault="00815C15">
      <w:r>
        <w:separator/>
      </w:r>
    </w:p>
  </w:endnote>
  <w:endnote w:type="continuationSeparator" w:id="0">
    <w:p w14:paraId="1050B95F" w14:textId="77777777" w:rsidR="00815C15" w:rsidRDefault="00815C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78FDC" w14:textId="77777777" w:rsidR="00AC572F" w:rsidRDefault="00000000">
    <w:pPr>
      <w:jc w:val="center"/>
    </w:pPr>
    <w:r>
      <w:rPr>
        <w:color w:val="616161"/>
        <w:sz w:val="16"/>
        <w:szCs w:val="16"/>
      </w:rPr>
      <w:t xml:space="preserve">— </w:t>
    </w:r>
    <w:r>
      <w:rPr>
        <w:color w:val="616161"/>
        <w:sz w:val="16"/>
        <w:szCs w:val="16"/>
      </w:rPr>
      <w:fldChar w:fldCharType="begin"/>
    </w:r>
    <w:r>
      <w:rPr>
        <w:color w:val="616161"/>
        <w:sz w:val="16"/>
        <w:szCs w:val="16"/>
      </w:rPr>
      <w:instrText>PAGE</w:instrText>
    </w:r>
    <w:r>
      <w:rPr>
        <w:color w:val="616161"/>
        <w:sz w:val="16"/>
        <w:szCs w:val="16"/>
      </w:rPr>
      <w:fldChar w:fldCharType="separate"/>
    </w:r>
    <w:r w:rsidR="00FA1877">
      <w:rPr>
        <w:noProof/>
        <w:color w:val="616161"/>
        <w:sz w:val="16"/>
        <w:szCs w:val="16"/>
      </w:rPr>
      <w:t>1</w:t>
    </w:r>
    <w:r>
      <w:rPr>
        <w:color w:val="616161"/>
        <w:sz w:val="16"/>
        <w:szCs w:val="16"/>
      </w:rPr>
      <w:fldChar w:fldCharType="end"/>
    </w:r>
    <w:r>
      <w:rPr>
        <w:color w:val="616161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E003B" w14:textId="77777777" w:rsidR="00815C15" w:rsidRDefault="00815C15">
      <w:r>
        <w:separator/>
      </w:r>
    </w:p>
  </w:footnote>
  <w:footnote w:type="continuationSeparator" w:id="0">
    <w:p w14:paraId="6FCB7C15" w14:textId="77777777" w:rsidR="00815C15" w:rsidRDefault="00815C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47B86" w14:textId="2B36D89D" w:rsidR="00AC572F" w:rsidRDefault="00000000">
    <w:pPr>
      <w:jc w:val="right"/>
    </w:pPr>
    <w:r>
      <w:rPr>
        <w:i/>
        <w:iCs/>
        <w:color w:val="616161"/>
        <w:sz w:val="16"/>
        <w:szCs w:val="16"/>
      </w:rPr>
      <w:t xml:space="preserve">SENG </w:t>
    </w:r>
    <w:r w:rsidR="00FA1877">
      <w:rPr>
        <w:i/>
        <w:iCs/>
        <w:color w:val="616161"/>
        <w:sz w:val="16"/>
        <w:szCs w:val="16"/>
      </w:rPr>
      <w:t>430</w:t>
    </w:r>
    <w:r>
      <w:rPr>
        <w:i/>
        <w:iCs/>
        <w:color w:val="616161"/>
        <w:sz w:val="16"/>
        <w:szCs w:val="16"/>
      </w:rPr>
      <w:t xml:space="preserve"> — ISO/IEC 42001 Compliance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C3635"/>
    <w:multiLevelType w:val="hybridMultilevel"/>
    <w:tmpl w:val="9BC432DE"/>
    <w:lvl w:ilvl="0" w:tplc="EFF06E90">
      <w:start w:val="1"/>
      <w:numFmt w:val="bullet"/>
      <w:lvlText w:val="●"/>
      <w:lvlJc w:val="left"/>
      <w:pPr>
        <w:ind w:left="720" w:hanging="360"/>
      </w:pPr>
    </w:lvl>
    <w:lvl w:ilvl="1" w:tplc="2C10C930">
      <w:start w:val="1"/>
      <w:numFmt w:val="bullet"/>
      <w:lvlText w:val="○"/>
      <w:lvlJc w:val="left"/>
      <w:pPr>
        <w:ind w:left="1440" w:hanging="360"/>
      </w:pPr>
    </w:lvl>
    <w:lvl w:ilvl="2" w:tplc="BA6441C8">
      <w:start w:val="1"/>
      <w:numFmt w:val="bullet"/>
      <w:lvlText w:val="■"/>
      <w:lvlJc w:val="left"/>
      <w:pPr>
        <w:ind w:left="2160" w:hanging="360"/>
      </w:pPr>
    </w:lvl>
    <w:lvl w:ilvl="3" w:tplc="187236C0">
      <w:start w:val="1"/>
      <w:numFmt w:val="bullet"/>
      <w:lvlText w:val="●"/>
      <w:lvlJc w:val="left"/>
      <w:pPr>
        <w:ind w:left="2880" w:hanging="360"/>
      </w:pPr>
    </w:lvl>
    <w:lvl w:ilvl="4" w:tplc="C720CAB2">
      <w:start w:val="1"/>
      <w:numFmt w:val="bullet"/>
      <w:lvlText w:val="○"/>
      <w:lvlJc w:val="left"/>
      <w:pPr>
        <w:ind w:left="3600" w:hanging="360"/>
      </w:pPr>
    </w:lvl>
    <w:lvl w:ilvl="5" w:tplc="88C0B154">
      <w:start w:val="1"/>
      <w:numFmt w:val="bullet"/>
      <w:lvlText w:val="■"/>
      <w:lvlJc w:val="left"/>
      <w:pPr>
        <w:ind w:left="4320" w:hanging="360"/>
      </w:pPr>
    </w:lvl>
    <w:lvl w:ilvl="6" w:tplc="7A2C8932">
      <w:start w:val="1"/>
      <w:numFmt w:val="bullet"/>
      <w:lvlText w:val="●"/>
      <w:lvlJc w:val="left"/>
      <w:pPr>
        <w:ind w:left="5040" w:hanging="360"/>
      </w:pPr>
    </w:lvl>
    <w:lvl w:ilvl="7" w:tplc="E65E2664">
      <w:start w:val="1"/>
      <w:numFmt w:val="bullet"/>
      <w:lvlText w:val="●"/>
      <w:lvlJc w:val="left"/>
      <w:pPr>
        <w:ind w:left="5760" w:hanging="360"/>
      </w:pPr>
    </w:lvl>
    <w:lvl w:ilvl="8" w:tplc="43963B8E">
      <w:start w:val="1"/>
      <w:numFmt w:val="bullet"/>
      <w:lvlText w:val="●"/>
      <w:lvlJc w:val="left"/>
      <w:pPr>
        <w:ind w:left="6480" w:hanging="360"/>
      </w:pPr>
    </w:lvl>
  </w:abstractNum>
  <w:num w:numId="1" w16cid:durableId="16641217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72F"/>
    <w:rsid w:val="00024DEF"/>
    <w:rsid w:val="0004720E"/>
    <w:rsid w:val="00054B47"/>
    <w:rsid w:val="000C5FE2"/>
    <w:rsid w:val="000E33BF"/>
    <w:rsid w:val="00107A69"/>
    <w:rsid w:val="00162922"/>
    <w:rsid w:val="001B7B2C"/>
    <w:rsid w:val="002E6C5E"/>
    <w:rsid w:val="00737028"/>
    <w:rsid w:val="00815C15"/>
    <w:rsid w:val="00820CCB"/>
    <w:rsid w:val="00890EF2"/>
    <w:rsid w:val="008F7059"/>
    <w:rsid w:val="00912235"/>
    <w:rsid w:val="00AC572F"/>
    <w:rsid w:val="00D912BD"/>
    <w:rsid w:val="00D95E0B"/>
    <w:rsid w:val="00FA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813C68"/>
  <w15:docId w15:val="{73BCDD9D-3A99-4101-BBB2-1E616FE85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5E20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8359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A187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1877"/>
  </w:style>
  <w:style w:type="paragraph" w:styleId="Footer">
    <w:name w:val="footer"/>
    <w:basedOn w:val="Normal"/>
    <w:link w:val="FooterChar"/>
    <w:uiPriority w:val="99"/>
    <w:unhideWhenUsed/>
    <w:rsid w:val="00FA187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1877"/>
  </w:style>
  <w:style w:type="paragraph" w:styleId="Revision">
    <w:name w:val="Revision"/>
    <w:hidden/>
    <w:uiPriority w:val="99"/>
    <w:semiHidden/>
    <w:rsid w:val="000E33BF"/>
  </w:style>
  <w:style w:type="character" w:styleId="HTMLCode">
    <w:name w:val="HTML Code"/>
    <w:basedOn w:val="DefaultParagraphFont"/>
    <w:uiPriority w:val="99"/>
    <w:semiHidden/>
    <w:unhideWhenUsed/>
    <w:rsid w:val="000E33BF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122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223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223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22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22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22</Pages>
  <Words>6611</Words>
  <Characters>37689</Characters>
  <Application>Microsoft Office Word</Application>
  <DocSecurity>0</DocSecurity>
  <Lines>314</Lines>
  <Paragraphs>88</Paragraphs>
  <ScaleCrop>false</ScaleCrop>
  <Company/>
  <LinksUpToDate>false</LinksUpToDate>
  <CharactersWithSpaces>44212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sevgi koyuncu</cp:lastModifiedBy>
  <cp:revision>4</cp:revision>
  <dcterms:created xsi:type="dcterms:W3CDTF">2026-03-25T07:36:00Z</dcterms:created>
  <dcterms:modified xsi:type="dcterms:W3CDTF">2026-03-25T11:43:00Z</dcterms:modified>
</cp:coreProperties>
</file>