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F793B" w14:textId="77777777" w:rsidR="00AC572F" w:rsidRDefault="00AC572F">
      <w:pPr>
        <w:spacing w:after="2000"/>
      </w:pPr>
    </w:p>
    <w:p w14:paraId="5A2AB4F5" w14:textId="7D1139E1" w:rsidR="00AC572F" w:rsidRDefault="00000000">
      <w:pPr>
        <w:spacing w:after="80"/>
        <w:jc w:val="center"/>
      </w:pPr>
      <w:r>
        <w:rPr>
          <w:color w:val="616161"/>
          <w:sz w:val="22"/>
          <w:szCs w:val="22"/>
        </w:rPr>
        <w:t xml:space="preserve">SENG </w:t>
      </w:r>
      <w:r w:rsidR="00FA1877">
        <w:rPr>
          <w:color w:val="616161"/>
          <w:sz w:val="22"/>
          <w:szCs w:val="22"/>
        </w:rPr>
        <w:t>430</w:t>
      </w:r>
      <w:r>
        <w:rPr>
          <w:color w:val="616161"/>
          <w:sz w:val="22"/>
          <w:szCs w:val="22"/>
        </w:rPr>
        <w:t xml:space="preserve"> — Software Quality Assurance Laboratory</w:t>
      </w:r>
    </w:p>
    <w:p w14:paraId="336D03C1" w14:textId="77777777" w:rsidR="00AC572F" w:rsidRDefault="00AC572F">
      <w:pPr>
        <w:spacing w:after="200"/>
      </w:pPr>
    </w:p>
    <w:p w14:paraId="7835DA67" w14:textId="77777777" w:rsidR="00AC572F" w:rsidRDefault="00000000">
      <w:pPr>
        <w:spacing w:after="160"/>
        <w:jc w:val="center"/>
      </w:pPr>
      <w:r>
        <w:rPr>
          <w:b/>
          <w:bCs/>
          <w:color w:val="1B5E20"/>
          <w:sz w:val="40"/>
          <w:szCs w:val="40"/>
        </w:rPr>
        <w:t>ISO/IEC 42001:2023</w:t>
      </w:r>
    </w:p>
    <w:p w14:paraId="450892B6" w14:textId="77777777" w:rsidR="00AC572F" w:rsidRDefault="00000000">
      <w:pPr>
        <w:spacing w:after="120"/>
        <w:jc w:val="center"/>
      </w:pPr>
      <w:r>
        <w:rPr>
          <w:b/>
          <w:bCs/>
          <w:color w:val="283593"/>
          <w:sz w:val="32"/>
          <w:szCs w:val="32"/>
        </w:rPr>
        <w:t>AI Management System Compliance Report</w:t>
      </w:r>
    </w:p>
    <w:p w14:paraId="74F11C2B" w14:textId="77777777" w:rsidR="00AC572F" w:rsidRDefault="00000000">
      <w:pPr>
        <w:spacing w:after="300"/>
        <w:jc w:val="center"/>
      </w:pPr>
      <w:r>
        <w:rPr>
          <w:i/>
          <w:iCs/>
          <w:color w:val="616161"/>
          <w:sz w:val="24"/>
          <w:szCs w:val="24"/>
        </w:rPr>
        <w:t>ML Visualization Tool for Healthcare Professionals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</w:tblGrid>
      <w:tr w:rsidR="00AC572F" w14:paraId="39C58FD1" w14:textId="77777777">
        <w:tc>
          <w:tcPr>
            <w:tcW w:w="2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28578" w14:textId="77777777" w:rsidR="00AC572F" w:rsidRDefault="00000000">
            <w:r>
              <w:rPr>
                <w:b/>
                <w:bCs/>
                <w:color w:val="1B5E20"/>
                <w:sz w:val="19"/>
                <w:szCs w:val="19"/>
              </w:rPr>
              <w:t>Team Name:</w:t>
            </w:r>
          </w:p>
        </w:tc>
        <w:tc>
          <w:tcPr>
            <w:tcW w:w="3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74382" w14:textId="77777777" w:rsidR="00AC572F" w:rsidRDefault="00000000">
            <w:r>
              <w:rPr>
                <w:b w:val="0"/>
                <w:i/>
                <w:iCs/>
                <w:color w:val="616161"/>
                <w:sz w:val="19"/>
                <w:szCs w:val="19"/>
              </w:rPr>
              <w:t>HealthWithSevgi</w:t>
            </w:r>
          </w:p>
        </w:tc>
      </w:tr>
      <w:tr w:rsidR="00AC572F" w14:paraId="2817C37E" w14:textId="77777777">
        <w:tc>
          <w:tcPr>
            <w:tcW w:w="2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B2A9A" w14:textId="77777777" w:rsidR="00AC572F" w:rsidRDefault="00000000">
            <w:r>
              <w:rPr>
                <w:b/>
                <w:bCs/>
                <w:color w:val="1B5E20"/>
                <w:sz w:val="19"/>
                <w:szCs w:val="19"/>
              </w:rPr>
              <w:t>Team Members:</w:t>
            </w:r>
          </w:p>
        </w:tc>
        <w:tc>
          <w:tcPr>
            <w:tcW w:w="3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E4270" w14:textId="77777777" w:rsidR="00AC572F" w:rsidRDefault="00000000">
            <w:r>
              <w:rPr>
                <w:b w:val="0"/>
                <w:i/>
                <w:iCs/>
                <w:color w:val="616161"/>
                <w:sz w:val="19"/>
                <w:szCs w:val="19"/>
              </w:rPr>
              <w:t>Batuhan Bayazıt (202228008), Efe Çelik (202128016), Berat Mert Gökkaya (202228019), Burak Aydoğmuş (202128028), Berfin Duru Alkan (202228005)</w:t>
            </w:r>
          </w:p>
        </w:tc>
      </w:tr>
      <w:tr w:rsidR="00AC572F" w14:paraId="637A0779" w14:textId="77777777">
        <w:tc>
          <w:tcPr>
            <w:tcW w:w="2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9ADA6" w14:textId="77777777" w:rsidR="00AC572F" w:rsidRDefault="00000000">
            <w:r>
              <w:rPr>
                <w:b/>
                <w:bCs/>
                <w:color w:val="1B5E20"/>
                <w:sz w:val="19"/>
                <w:szCs w:val="19"/>
              </w:rPr>
              <w:t>Instructor:</w:t>
            </w:r>
          </w:p>
        </w:tc>
        <w:tc>
          <w:tcPr>
            <w:tcW w:w="3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79133" w14:textId="77777777" w:rsidR="00AC572F" w:rsidRDefault="00000000">
            <w:r>
              <w:rPr>
                <w:b w:val="0"/>
                <w:i w:val="0"/>
                <w:color w:val="212121"/>
                <w:sz w:val="19"/>
                <w:szCs w:val="19"/>
              </w:rPr>
              <w:t>Dr. Sevgi Koyuncu Tunç</w:t>
            </w:r>
          </w:p>
        </w:tc>
      </w:tr>
    </w:tbl>
    <w:p w14:paraId="02518EC5" w14:textId="77777777" w:rsidR="00AC572F" w:rsidRDefault="00AC572F">
      <w:pPr>
        <w:spacing w:after="300"/>
      </w:pPr>
    </w:p>
    <w:p w14:paraId="57B7877D" w14:textId="77777777" w:rsidR="00AC572F" w:rsidRDefault="00AC572F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600"/>
        <w:gridCol w:w="4526"/>
        <w:gridCol w:w="1700"/>
      </w:tblGrid>
      <w:tr w:rsidR="00AC572F" w14:paraId="09C8551D" w14:textId="77777777"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5A798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Tarih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B3C40" w14:textId="77777777" w:rsidR="00AC572F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Asamak</w:t>
            </w:r>
            <w:proofErr w:type="spellEnd"/>
          </w:p>
        </w:tc>
        <w:tc>
          <w:tcPr>
            <w:tcW w:w="4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32869" w14:textId="77777777" w:rsidR="00AC572F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Aciklama</w:t>
            </w:r>
            <w:proofErr w:type="spellEnd"/>
          </w:p>
        </w:tc>
        <w:tc>
          <w:tcPr>
            <w:tcW w:w="1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210B9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PDCA</w:t>
            </w:r>
          </w:p>
        </w:tc>
      </w:tr>
      <w:tr w:rsidR="00AC572F" w14:paraId="587D9A42" w14:textId="77777777"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5ED15" w14:textId="2B6E52A9" w:rsidR="00AC572F" w:rsidRDefault="00FA1877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8 Nisan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53DA1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Ilk Teslim</w:t>
            </w:r>
          </w:p>
        </w:tc>
        <w:tc>
          <w:tcPr>
            <w:tcW w:w="4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A451E" w14:textId="77777777" w:rsidR="00AC572F" w:rsidRDefault="00000000">
            <w:pPr>
              <w:spacing w:line="256" w:lineRule="auto"/>
            </w:pPr>
            <w:proofErr w:type="spellStart"/>
            <w:r>
              <w:rPr>
                <w:color w:val="212121"/>
                <w:sz w:val="17"/>
                <w:szCs w:val="17"/>
              </w:rPr>
              <w:t>Bolum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1-3 (Scope, Policy, Data Gov.) </w:t>
            </w:r>
            <w:proofErr w:type="spellStart"/>
            <w:r>
              <w:rPr>
                <w:color w:val="212121"/>
                <w:sz w:val="17"/>
                <w:szCs w:val="17"/>
              </w:rPr>
              <w:t>teslim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edilir</w:t>
            </w:r>
            <w:proofErr w:type="spellEnd"/>
          </w:p>
        </w:tc>
        <w:tc>
          <w:tcPr>
            <w:tcW w:w="1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A8502" w14:textId="77777777" w:rsidR="00AC572F" w:rsidRDefault="00000000">
            <w:pPr>
              <w:jc w:val="center"/>
            </w:pPr>
            <w:r>
              <w:rPr>
                <w:b/>
                <w:bCs/>
                <w:color w:val="616161"/>
                <w:sz w:val="17"/>
                <w:szCs w:val="17"/>
              </w:rPr>
              <w:t>PLAN</w:t>
            </w:r>
          </w:p>
        </w:tc>
      </w:tr>
      <w:tr w:rsidR="00AC572F" w14:paraId="0117B28A" w14:textId="77777777"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3AB9E" w14:textId="13CCE5A2" w:rsidR="00AC572F" w:rsidRDefault="00FA1877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8-15 Nisan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BBDD6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Instructor Review</w:t>
            </w:r>
          </w:p>
        </w:tc>
        <w:tc>
          <w:tcPr>
            <w:tcW w:w="4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EBB18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7"/>
                <w:szCs w:val="17"/>
              </w:rPr>
              <w:t xml:space="preserve">Instructor/TA </w:t>
            </w:r>
            <w:proofErr w:type="spellStart"/>
            <w:r>
              <w:rPr>
                <w:color w:val="212121"/>
                <w:sz w:val="17"/>
                <w:szCs w:val="17"/>
              </w:rPr>
              <w:t>yapilandirilmis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geri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bildirim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verir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(Appendix B)</w:t>
            </w:r>
          </w:p>
        </w:tc>
        <w:tc>
          <w:tcPr>
            <w:tcW w:w="1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6767" w14:textId="77777777" w:rsidR="00AC572F" w:rsidRDefault="00000000">
            <w:pPr>
              <w:jc w:val="center"/>
            </w:pPr>
            <w:r>
              <w:rPr>
                <w:b/>
                <w:bCs/>
                <w:color w:val="E65100"/>
                <w:sz w:val="17"/>
                <w:szCs w:val="17"/>
              </w:rPr>
              <w:t>CHECK</w:t>
            </w:r>
          </w:p>
        </w:tc>
      </w:tr>
      <w:tr w:rsidR="00AC572F" w14:paraId="26AE90DF" w14:textId="77777777"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8FCA0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15 Nisan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04B37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Sprint 4 Gate</w:t>
            </w:r>
          </w:p>
        </w:tc>
        <w:tc>
          <w:tcPr>
            <w:tcW w:w="4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227B9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7"/>
                <w:szCs w:val="17"/>
              </w:rPr>
              <w:t xml:space="preserve">Full pipeline </w:t>
            </w:r>
            <w:proofErr w:type="spellStart"/>
            <w:r>
              <w:rPr>
                <w:color w:val="212121"/>
                <w:sz w:val="17"/>
                <w:szCs w:val="17"/>
              </w:rPr>
              <w:t>tamamlandi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; Risk </w:t>
            </w:r>
            <w:proofErr w:type="spellStart"/>
            <w:r>
              <w:rPr>
                <w:color w:val="212121"/>
                <w:sz w:val="17"/>
                <w:szCs w:val="17"/>
              </w:rPr>
              <w:t>ve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Impact </w:t>
            </w:r>
            <w:proofErr w:type="spellStart"/>
            <w:r>
              <w:rPr>
                <w:color w:val="212121"/>
                <w:sz w:val="17"/>
                <w:szCs w:val="17"/>
              </w:rPr>
              <w:t>artik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yazilabilir</w:t>
            </w:r>
            <w:proofErr w:type="spellEnd"/>
          </w:p>
        </w:tc>
        <w:tc>
          <w:tcPr>
            <w:tcW w:w="1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ABB41" w14:textId="77777777" w:rsidR="00AC572F" w:rsidRDefault="00000000">
            <w:pPr>
              <w:jc w:val="center"/>
            </w:pPr>
            <w:r>
              <w:rPr>
                <w:b/>
                <w:bCs/>
                <w:color w:val="616161"/>
                <w:sz w:val="17"/>
                <w:szCs w:val="17"/>
              </w:rPr>
              <w:t>DO</w:t>
            </w:r>
          </w:p>
        </w:tc>
      </w:tr>
      <w:tr w:rsidR="00AC572F" w14:paraId="7E0A0977" w14:textId="77777777"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6FD7" w14:textId="37D51E14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2</w:t>
            </w:r>
            <w:r w:rsidR="00FA1877">
              <w:rPr>
                <w:b/>
                <w:bCs/>
                <w:color w:val="212121"/>
                <w:sz w:val="17"/>
                <w:szCs w:val="17"/>
              </w:rPr>
              <w:t>9</w:t>
            </w:r>
            <w:r>
              <w:rPr>
                <w:b/>
                <w:bCs/>
                <w:color w:val="212121"/>
                <w:sz w:val="17"/>
                <w:szCs w:val="17"/>
              </w:rPr>
              <w:t xml:space="preserve"> Nisan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740C2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Peer Audit</w:t>
            </w:r>
          </w:p>
        </w:tc>
        <w:tc>
          <w:tcPr>
            <w:tcW w:w="4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C080C" w14:textId="77777777" w:rsidR="00AC572F" w:rsidRDefault="00000000">
            <w:pPr>
              <w:spacing w:line="256" w:lineRule="auto"/>
            </w:pPr>
            <w:proofErr w:type="spellStart"/>
            <w:r>
              <w:rPr>
                <w:color w:val="212121"/>
                <w:sz w:val="17"/>
                <w:szCs w:val="17"/>
              </w:rPr>
              <w:t>Takimlar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birbirinin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tam </w:t>
            </w:r>
            <w:proofErr w:type="spellStart"/>
            <w:r>
              <w:rPr>
                <w:color w:val="212121"/>
                <w:sz w:val="17"/>
                <w:szCs w:val="17"/>
              </w:rPr>
              <w:t>taslak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raporunu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(Ch. 1-6) </w:t>
            </w:r>
            <w:proofErr w:type="spellStart"/>
            <w:r>
              <w:rPr>
                <w:color w:val="212121"/>
                <w:sz w:val="17"/>
                <w:szCs w:val="17"/>
              </w:rPr>
              <w:t>denetler</w:t>
            </w:r>
            <w:proofErr w:type="spellEnd"/>
          </w:p>
        </w:tc>
        <w:tc>
          <w:tcPr>
            <w:tcW w:w="1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DAFB1" w14:textId="77777777" w:rsidR="00AC572F" w:rsidRDefault="00000000">
            <w:pPr>
              <w:jc w:val="center"/>
            </w:pPr>
            <w:r>
              <w:rPr>
                <w:b/>
                <w:bCs/>
                <w:color w:val="E65100"/>
                <w:sz w:val="17"/>
                <w:szCs w:val="17"/>
              </w:rPr>
              <w:t>CHECK</w:t>
            </w:r>
          </w:p>
        </w:tc>
      </w:tr>
      <w:tr w:rsidR="00AC572F" w14:paraId="128F871A" w14:textId="77777777"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A1749" w14:textId="30492C55" w:rsidR="00AC572F" w:rsidRDefault="00FA1877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 xml:space="preserve">5 </w:t>
            </w:r>
            <w:proofErr w:type="spellStart"/>
            <w:r>
              <w:rPr>
                <w:b/>
                <w:bCs/>
                <w:color w:val="212121"/>
                <w:sz w:val="17"/>
                <w:szCs w:val="17"/>
              </w:rPr>
              <w:t>Mayis</w:t>
            </w:r>
            <w:proofErr w:type="spellEnd"/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C2B81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Final Teslim</w:t>
            </w:r>
          </w:p>
        </w:tc>
        <w:tc>
          <w:tcPr>
            <w:tcW w:w="4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C17D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7"/>
                <w:szCs w:val="17"/>
              </w:rPr>
              <w:t xml:space="preserve">Tum </w:t>
            </w:r>
            <w:proofErr w:type="spellStart"/>
            <w:r>
              <w:rPr>
                <w:color w:val="212121"/>
                <w:sz w:val="17"/>
                <w:szCs w:val="17"/>
              </w:rPr>
              <w:t>bolumler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(1-7 + App. A) + </w:t>
            </w:r>
            <w:proofErr w:type="spellStart"/>
            <w:r>
              <w:rPr>
                <w:color w:val="212121"/>
                <w:sz w:val="17"/>
                <w:szCs w:val="17"/>
              </w:rPr>
              <w:t>revizyonlar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+ peer audit </w:t>
            </w:r>
            <w:proofErr w:type="spellStart"/>
            <w:r>
              <w:rPr>
                <w:color w:val="212121"/>
                <w:sz w:val="17"/>
                <w:szCs w:val="17"/>
              </w:rPr>
              <w:t>bulgulari</w:t>
            </w:r>
            <w:proofErr w:type="spellEnd"/>
          </w:p>
        </w:tc>
        <w:tc>
          <w:tcPr>
            <w:tcW w:w="1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4B925" w14:textId="77777777" w:rsidR="00AC572F" w:rsidRDefault="00000000">
            <w:pPr>
              <w:jc w:val="center"/>
            </w:pPr>
            <w:r>
              <w:rPr>
                <w:b/>
                <w:bCs/>
                <w:color w:val="6A1B9A"/>
                <w:sz w:val="17"/>
                <w:szCs w:val="17"/>
              </w:rPr>
              <w:t>ACT</w:t>
            </w:r>
          </w:p>
        </w:tc>
      </w:tr>
      <w:tr w:rsidR="00AC572F" w14:paraId="4047C19D" w14:textId="77777777"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EAEF0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 xml:space="preserve">6 </w:t>
            </w:r>
            <w:proofErr w:type="spellStart"/>
            <w:r>
              <w:rPr>
                <w:b/>
                <w:bCs/>
                <w:color w:val="212121"/>
                <w:sz w:val="17"/>
                <w:szCs w:val="17"/>
              </w:rPr>
              <w:t>Mayis</w:t>
            </w:r>
            <w:proofErr w:type="spellEnd"/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9F366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Jury Day</w:t>
            </w:r>
          </w:p>
        </w:tc>
        <w:tc>
          <w:tcPr>
            <w:tcW w:w="4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B4B1A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7"/>
                <w:szCs w:val="17"/>
              </w:rPr>
              <w:t xml:space="preserve">Final </w:t>
            </w:r>
            <w:proofErr w:type="spellStart"/>
            <w:r>
              <w:rPr>
                <w:color w:val="212121"/>
                <w:sz w:val="17"/>
                <w:szCs w:val="17"/>
              </w:rPr>
              <w:t>sunum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-- </w:t>
            </w:r>
            <w:proofErr w:type="spellStart"/>
            <w:r>
              <w:rPr>
                <w:color w:val="212121"/>
                <w:sz w:val="17"/>
                <w:szCs w:val="17"/>
              </w:rPr>
              <w:t>rapor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ayri</w:t>
            </w:r>
            <w:proofErr w:type="spellEnd"/>
            <w:r>
              <w:rPr>
                <w:color w:val="212121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212121"/>
                <w:sz w:val="17"/>
                <w:szCs w:val="17"/>
              </w:rPr>
              <w:t>degerlendirilir</w:t>
            </w:r>
            <w:proofErr w:type="spellEnd"/>
          </w:p>
        </w:tc>
        <w:tc>
          <w:tcPr>
            <w:tcW w:w="1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CDD05" w14:textId="77777777" w:rsidR="00AC572F" w:rsidRDefault="00000000">
            <w:pPr>
              <w:jc w:val="center"/>
            </w:pPr>
            <w:r>
              <w:rPr>
                <w:b/>
                <w:bCs/>
                <w:color w:val="616161"/>
                <w:sz w:val="17"/>
                <w:szCs w:val="17"/>
              </w:rPr>
              <w:t>--</w:t>
            </w:r>
          </w:p>
        </w:tc>
      </w:tr>
    </w:tbl>
    <w:p w14:paraId="1BDB71BD" w14:textId="77777777" w:rsidR="00AC572F" w:rsidRDefault="00000000">
      <w:r>
        <w:br w:type="page"/>
      </w:r>
    </w:p>
    <w:p w14:paraId="4CA720FF" w14:textId="77777777" w:rsidR="00AC572F" w:rsidRDefault="00000000">
      <w:pPr>
        <w:pStyle w:val="Heading1"/>
      </w:pPr>
      <w:r>
        <w:lastRenderedPageBreak/>
        <w:t>Table of Contents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526"/>
        <w:gridCol w:w="3000"/>
      </w:tblGrid>
      <w:tr w:rsidR="00AC572F" w14:paraId="7589A689" w14:textId="77777777">
        <w:tc>
          <w:tcPr>
            <w:tcW w:w="5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5E2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9BF76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5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5E2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2F022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Chapter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5E2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2E8CC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ISO 42001 Coverage</w:t>
            </w:r>
          </w:p>
        </w:tc>
      </w:tr>
      <w:tr w:rsidR="00AC572F" w14:paraId="20D886B3" w14:textId="77777777">
        <w:tc>
          <w:tcPr>
            <w:tcW w:w="5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362ED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1</w:t>
            </w:r>
          </w:p>
        </w:tc>
        <w:tc>
          <w:tcPr>
            <w:tcW w:w="5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CFEE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8"/>
                <w:szCs w:val="18"/>
              </w:rPr>
              <w:t>AIMS Scope, Context &amp; Stakeholders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88EC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7"/>
                <w:szCs w:val="17"/>
              </w:rPr>
              <w:t>Clause 4</w:t>
            </w:r>
          </w:p>
        </w:tc>
      </w:tr>
      <w:tr w:rsidR="00AC572F" w14:paraId="04AB6C35" w14:textId="77777777">
        <w:tc>
          <w:tcPr>
            <w:tcW w:w="5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44703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2</w:t>
            </w:r>
          </w:p>
        </w:tc>
        <w:tc>
          <w:tcPr>
            <w:tcW w:w="5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50A97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8"/>
                <w:szCs w:val="18"/>
              </w:rPr>
              <w:t>AI Policy &amp; Governance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42E27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7"/>
                <w:szCs w:val="17"/>
              </w:rPr>
              <w:t>Clause 5, Annex A.2-A.3</w:t>
            </w:r>
          </w:p>
        </w:tc>
      </w:tr>
      <w:tr w:rsidR="00AC572F" w14:paraId="0B8C22FF" w14:textId="77777777">
        <w:tc>
          <w:tcPr>
            <w:tcW w:w="5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2DF28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3</w:t>
            </w:r>
          </w:p>
        </w:tc>
        <w:tc>
          <w:tcPr>
            <w:tcW w:w="5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7DA52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8"/>
                <w:szCs w:val="18"/>
              </w:rPr>
              <w:t>Data Governance &amp; Third-Party Management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F5EFE" w14:textId="77777777" w:rsidR="00AC572F" w:rsidRDefault="00000000">
            <w:pPr>
              <w:spacing w:line="256" w:lineRule="auto"/>
            </w:pPr>
            <w:r>
              <w:rPr>
                <w:color w:val="212121"/>
                <w:sz w:val="17"/>
                <w:szCs w:val="17"/>
              </w:rPr>
              <w:t>Annex A.6, A.9, Clause 8.2</w:t>
            </w:r>
          </w:p>
        </w:tc>
      </w:tr>
    </w:tbl>
    <w:p w14:paraId="1FB5C25B" w14:textId="77777777" w:rsidR="00AC572F" w:rsidRDefault="00AC572F">
      <w:pPr>
        <w:spacing w:after="200"/>
      </w:pPr>
    </w:p>
    <w:p w14:paraId="6BAB6D4B" w14:textId="77777777" w:rsidR="00AC572F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26"/>
      </w:tblGrid>
      <w:tr w:rsidR="00AC572F" w14:paraId="2F79262E" w14:textId="77777777">
        <w:tc>
          <w:tcPr>
            <w:tcW w:w="700" w:type="dxa"/>
            <w:tcBorders>
              <w:bottom w:val="single" w:sz="6" w:space="0" w:color="1B5E20"/>
            </w:tcBorders>
            <w:shd w:val="clear" w:color="auto" w:fill="1B5E2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CB6D5" w14:textId="77777777" w:rsidR="00AC572F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1</w:t>
            </w:r>
          </w:p>
        </w:tc>
        <w:tc>
          <w:tcPr>
            <w:tcW w:w="8326" w:type="dxa"/>
            <w:tcBorders>
              <w:bottom w:val="single" w:sz="6" w:space="0" w:color="1B5E20"/>
            </w:tcBorders>
            <w:tcMar>
              <w:top w:w="60" w:type="dxa"/>
              <w:left w:w="140" w:type="dxa"/>
              <w:bottom w:w="60" w:type="dxa"/>
              <w:right w:w="80" w:type="dxa"/>
            </w:tcMar>
            <w:vAlign w:val="center"/>
          </w:tcPr>
          <w:p w14:paraId="734EC219" w14:textId="77777777" w:rsidR="00AC572F" w:rsidRDefault="00000000">
            <w:r>
              <w:rPr>
                <w:b/>
                <w:bCs/>
                <w:color w:val="1B5E20"/>
                <w:sz w:val="26"/>
                <w:szCs w:val="26"/>
              </w:rPr>
              <w:t>AIMS Scope, Context &amp; Stakeholders</w:t>
            </w:r>
          </w:p>
        </w:tc>
      </w:tr>
    </w:tbl>
    <w:p w14:paraId="55BA782B" w14:textId="77777777" w:rsidR="00AC572F" w:rsidRDefault="00AC572F">
      <w:pPr>
        <w:spacing w:after="100"/>
      </w:pPr>
    </w:p>
    <w:p w14:paraId="6DA0F212" w14:textId="77777777" w:rsidR="00AC572F" w:rsidRDefault="00000000">
      <w:pPr>
        <w:spacing w:after="120" w:line="276" w:lineRule="auto"/>
        <w:jc w:val="both"/>
      </w:pPr>
      <w:r>
        <w:rPr>
          <w:b/>
          <w:bCs/>
          <w:color w:val="212121"/>
        </w:rPr>
        <w:t xml:space="preserve">ISO 42001 Reference: </w:t>
      </w:r>
      <w:r>
        <w:rPr>
          <w:color w:val="212121"/>
        </w:rPr>
        <w:t>Clause 4.1 (Internal/External Issues), Clause 4.2 (Interested Parties), Clause 4.3 (Scope), Clause 4.4 (AIMS)</w:t>
      </w:r>
    </w:p>
    <w:p w14:paraId="33C1EB47" w14:textId="77777777" w:rsidR="00AC572F" w:rsidRDefault="00000000">
      <w:pPr>
        <w:pStyle w:val="Heading2"/>
      </w:pPr>
      <w:r>
        <w:t>1.1 AI System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AC572F" w14:paraId="3BBE7835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BD451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CF2E2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Your Content</w:t>
            </w:r>
          </w:p>
        </w:tc>
      </w:tr>
      <w:tr w:rsidR="00AC572F" w14:paraId="08032C5F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65443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System Name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B3B0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HealthWithSevgi — ML Visualization Tool for Healthcare Professionals</w:t>
            </w:r>
          </w:p>
        </w:tc>
      </w:tr>
      <w:tr w:rsidR="00AC572F" w14:paraId="471392D3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E2EB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Purpose (2–3 sentences)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34A3A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HealthWithSevgi is a browser-based educational tool that enables healthcare professionals and medical students to learn machine learning concepts through a guided 7-step wizard pipeline (Clinical Context, Data Exploration, Data Preparation, Model Selection &amp; Parameters, Results Evaluation, Explainability via SHAP, and Ethics &amp; Bias Assessment) using real clinical datasets across 20 medical specialties. It does not make clinical decisions — it teaches ML literacy in a healthcare context.</w:t>
            </w:r>
          </w:p>
        </w:tc>
      </w:tr>
      <w:tr w:rsidR="00AC572F" w14:paraId="1B85EAC1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476E0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AI Techniques Used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1617E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8 supervised classification algorithms: K-Nearest Neighbors (KNN), Support Vector Machine (SVM), Decision Tree, Random Forest, Logistic Regression, Naive Bayes, XGBoost, and LightGBM. Supporting techniques: SMOTE for class imbalance correction, SHAP (TreeExplainer, LinearExplainer, KernelExplainer) for model explainability, and subgroup fairness analysis for bias detection.</w:t>
            </w:r>
          </w:p>
        </w:tc>
      </w:tr>
      <w:tr w:rsidR="00AC572F" w14:paraId="6D46C927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BA8A1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Deployment Context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1235F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Browser-based SPA (React 18 + FastAPI), Docker-containerised for HuggingFace Spaces deployment. Educational use only — no clinical decision-making. All data processing occurs in-memory with no persistent database.</w:t>
            </w:r>
          </w:p>
        </w:tc>
      </w:tr>
      <w:tr w:rsidR="00AC572F" w14:paraId="097FC2BF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CE9C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8"/>
                <w:szCs w:val="18"/>
              </w:rPr>
              <w:t>Lifecycle Stage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10D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Design, development, and educational deployment — NOT clinical production. Course project lifecycle aligned with SENG 430 (5 sprints, February–May 2026).</w:t>
            </w:r>
          </w:p>
        </w:tc>
      </w:tr>
    </w:tbl>
    <w:p w14:paraId="055EE24C" w14:textId="77777777" w:rsidR="00AC572F" w:rsidRDefault="00000000">
      <w:pPr>
        <w:pStyle w:val="Heading2"/>
      </w:pPr>
      <w:r>
        <w:t>1.2 AIMS Scope Statement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AC572F" w14:paraId="4ED9048E" w14:textId="77777777">
        <w:tc>
          <w:tcPr>
            <w:tcW w:w="2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C26F9" w14:textId="77777777" w:rsidR="00AC572F" w:rsidRDefault="00000000">
            <w:r>
              <w:rPr>
                <w:b/>
                <w:bCs/>
                <w:color w:val="1B5E20"/>
                <w:sz w:val="19"/>
                <w:szCs w:val="19"/>
              </w:rPr>
              <w:t>IN SCOPE</w:t>
            </w:r>
          </w:p>
        </w:tc>
        <w:tc>
          <w:tcPr>
            <w:tcW w:w="70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FDC1F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Pipeline Steps: All 7 steps — Clinical Context, Data Exploration, Data Preparation (train/test split, missing value handling, normalisation, SMOTE), Model Selection &amp; Hyperparameter Tuning, Results &amp; Metrics Evaluation, Explainability (SHAP), Ethics &amp; Bias Assessment + EU AI Act Compliance</w:t>
              <w:br/>
              <w:t>• Clinical Domains: 20 medical specialties — Cardiology (Heart Failure, Stroke, Arrhythmia), Radiology, Nephrology, Oncology (Breast Cancer, Cervical Cancer), Neurology, Endocrinology (Diabetes, Thyroid), Hepatology, Mental Health, Pulmonology, Haematology, Dermatology, Ophthalmology, Orthopaedics, ICU/Sepsis, Obstetrics, Pharmacy</w:t>
              <w:br/>
              <w:t>• ML Models: 8 classification algorithms (KNN, SVM, Decision Tree, Random Forest, Logistic Regression, Naive Bayes, XGBoost, LightGBM) with hyperparameter tuning via RandomizedSearchCV (20 iterations, 3-fold stratified CV)</w:t>
              <w:br/>
              <w:t>• Users: Healthcare professionals, medical/nursing students, SENG 430 course participants and instructors</w:t>
              <w:br/>
              <w:t>• Lifecycle: Design through educational deployment on HuggingFace Spaces</w:t>
              <w:br/>
              <w:t>• Data: 20 published, de-identified clinical datasets (UCI, Kaggle, PhysioNet, Harvard Dataverse) + user-uploaded CSV files</w:t>
              <w:br/>
              <w:t>• Explainability: SHAP-based global feature importance and single-patient waterfall with 251 clinical name mappings</w:t>
              <w:br/>
              <w:t>• Ethics: Subgroup fairness audit (gender, age bands), 10% sensitivity gap threshold, EU AI Act checklist (8 items), 3 real-world AI failure case studies</w:t>
            </w:r>
          </w:p>
          <w:p w14:paraId="667C7DE8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50F715A8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3206A8D8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44884601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3AF25E8B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7F21CD97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  <w:tr w:rsidR="00AC572F" w14:paraId="5A076D1A" w14:textId="77777777">
        <w:tc>
          <w:tcPr>
            <w:tcW w:w="2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0883C" w14:textId="77777777" w:rsidR="00AC572F" w:rsidRDefault="00000000">
            <w:r>
              <w:rPr>
                <w:b/>
                <w:bCs/>
                <w:color w:val="B71C1C"/>
                <w:sz w:val="19"/>
                <w:szCs w:val="19"/>
              </w:rPr>
              <w:t>OUT OF SCOPE</w:t>
            </w:r>
          </w:p>
        </w:tc>
        <w:tc>
          <w:tcPr>
            <w:tcW w:w="70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75F0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Clinical diagnosis or treatment decisions — WHY: Educational tool only; no clinical validation performed; clinical disclaimers displayed in Steps 6 and 7</w:t>
              <w:br/>
              <w:t>• Real patient-identifiable data (PII/PHI) — WHY: Privacy by design; only published de-identified datasets; in-memory processing; no server persistence</w:t>
              <w:br/>
              <w:t>• Production hospital deployment — WHY: No regulatory approval (CE marking, FDA); no prospective clinical validation study</w:t>
              <w:br/>
              <w:t>• Post-deployment production monitoring — WHY: Educational lifecycle ends May 2026; theoretical monitoring plan in Ch. 5.3 (final submission)</w:t>
              <w:br/>
              <w:t>• Deep learning / neural networks — WHY: Out of pedagogical scope; tool focuses on interpretable classical ML for SHAP-based explainability</w:t>
              <w:br/>
              <w:t>• Real-time streaming data or IoT — WHY: Not applicable to educational CSV-based analysis workflow</w:t>
              <w:br/>
              <w:t>• Regression or unsupervised learning — WHY: Scope limited to supervised classification for focused learning objectives</w:t>
              <w:br/>
              <w:t>• Multi-language / internationalisation — WHY: English-only; single-locale deployment for university course context</w:t>
            </w:r>
          </w:p>
          <w:p w14:paraId="78958BD9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1C22EAC9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0295EAAE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4C58B787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0285973B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</w:tbl>
    <w:p w14:paraId="69F160E7" w14:textId="780F3AE1" w:rsidR="00AC572F" w:rsidRDefault="00000000">
      <w:pPr>
        <w:pStyle w:val="Heading2"/>
      </w:pPr>
      <w:r>
        <w:t>1.3 Internal &amp; External Issues</w:t>
      </w:r>
      <w:r w:rsidR="00024DEF">
        <w:t>/Challenges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AC572F" w14:paraId="5EC100DA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F6252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BCCEB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 &amp; Relevance to AIMS</w:t>
            </w:r>
          </w:p>
        </w:tc>
      </w:tr>
      <w:tr w:rsidR="00AC572F" w14:paraId="464DD59E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A8EDA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External: Regulatory — EU AI Act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70B0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EU AI Act (Regulation 2024/1689) classifies healthcare AI as high-risk under Article 6 and Annex III. Though educational, Step 7 includes an 8-item EU AI Act compliance checklist covering explainability, data documentation, bias auditing, human oversight, GDPR, monitoring, incident reporting, and clinical validation.</w:t>
            </w:r>
          </w:p>
        </w:tc>
      </w:tr>
      <w:tr w:rsidR="00AC572F" w14:paraId="467DF715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E757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External: Regulatory — GDPR/KVKK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FBF61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Turkish KVKK (Law No. 6698) and EU GDPR require data protection impact assessments for health data. Mitigated by processing only published, de-identified datasets with no persistent storage. In-memory session architecture with automatic LRU eviction.</w:t>
            </w:r>
          </w:p>
        </w:tc>
      </w:tr>
      <w:tr w:rsidR="00AC572F" w14:paraId="0719087F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CAA6E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External: Societal — Public concern about healthcare AI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33AF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Growing distrust fuelled by documented failures: racially biased pulse oximeters (2020), over-alerting sepsis systems (2021), dermatology AI underperforming on dark skin (2019). Step 7 includes these as educational case studies.</w:t>
            </w:r>
          </w:p>
        </w:tc>
      </w:tr>
      <w:tr w:rsidR="00AC572F" w14:paraId="3D1F3203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794A0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External: Technological — Rapid evolution of XAI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DA99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XAI methods evolve rapidly (SHAP, LIME, counterfactual explanations). Our SHAP implementation covers TreeExplainer, LinearExplainer, and KernelExplainer. Modular ExplainService architecture allows future integration of alternatives.</w:t>
            </w:r>
          </w:p>
        </w:tc>
      </w:tr>
      <w:tr w:rsidR="00AC572F" w14:paraId="49477424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E6D1C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External: Market — Demand for AI-literate clinicians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CCB1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WHO Global Strategy on Digital Health and EU policy emphasise AI literacy for healthcare workers. Our tool serves this need across 20 specialties.</w:t>
            </w:r>
          </w:p>
        </w:tc>
      </w:tr>
      <w:tr w:rsidR="00AC572F" w14:paraId="2692EACD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F538E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Internal: Competence — Team ML/AI experience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55D8D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5 software engineering students with varying ML expertise. Mitigated by: structured 7-step wizard, well-established libraries (scikit-learn, XGBoost, LightGBM, SHAP), iterative development across 5 sprints with instructor feedback.</w:t>
            </w:r>
          </w:p>
        </w:tc>
      </w:tr>
      <w:tr w:rsidR="00AC572F" w14:paraId="428588E5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6889F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Internal: Infrastructure — No GPU, browser-based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26E9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All ML computation on CPU via FastAPI. Docker containerisation (python:3.12-slim) for HuggingFace Spaces. OrderedDict-based LRU eviction (max 50 sessions/models).</w:t>
            </w:r>
          </w:p>
        </w:tc>
      </w:tr>
      <w:tr w:rsidR="00AC572F" w14:paraId="6345DE11" w14:textId="77777777"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18146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Internal: Timeline — 10-week sprint cycle</w:t>
            </w:r>
          </w:p>
        </w:tc>
        <w:tc>
          <w:tcPr>
            <w:tcW w:w="66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92A3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5 sprints with competing coursework. Mitigated by progressive delivery: Sprint 1 (Steps 1–2), Sprint 2 (Steps 3–4), Sprint 3 (Steps 5–6), Sprint 4 (Step 7 + Docker), Sprint 5 (user testing + ISO report + presentation).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i w:val="0"/>
              </w:rPr>
              <w:t>Internal: Resource — In-memory architecture</w:t>
            </w:r>
            <w:r>
              <w:rPr>
                <w:sz w:val="18"/>
              </w:rPr>
            </w:r>
          </w:p>
        </w:tc>
        <w:tc>
          <w:tcPr>
            <w:tcW w:type="dxa" w:w="6626"/>
          </w:tcPr>
          <w:p>
            <w:r>
              <w:rPr>
                <w:b w:val="0"/>
                <w:i w:val="0"/>
              </w:rPr>
              <w:t>No external database simplifies privacy compliance but limits capacity. MLService uses OrderedDict LRU eviction (max 50 sessions/models). DataService uses unbounded dict, mitigated by sessions being transferred to MLService's LRU store; orphaned DataService entries are garbage-collected. Production would require LRU cap on DataService (identified as risk item for Ch. 4).</w:t>
            </w:r>
            <w:r>
              <w:rPr>
                <w:sz w:val="18"/>
              </w:rPr>
            </w:r>
          </w:p>
        </w:tc>
      </w:tr>
    </w:tbl>
    <w:p w14:paraId="0A651AB4" w14:textId="77777777" w:rsidR="00AC572F" w:rsidRDefault="00000000">
      <w:pPr>
        <w:pStyle w:val="Heading2"/>
      </w:pPr>
      <w:r>
        <w:t>1.4 Stakeholder Register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112"/>
        <w:gridCol w:w="2521"/>
        <w:gridCol w:w="2794"/>
        <w:gridCol w:w="1199"/>
      </w:tblGrid>
      <w:tr w:rsidR="00AC572F" w14:paraId="00EFCAAB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F0296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Stakeholder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2FF6C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Role / Category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D9E4A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Key Needs &amp; Expectations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E3E5F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How AIMS Addresses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B92E8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Influence</w:t>
            </w:r>
          </w:p>
        </w:tc>
      </w:tr>
      <w:tr w:rsidR="00AC572F" w14:paraId="0DA78194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EA351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Healthcare Professionals</w:t>
            </w:r>
          </w:p>
          <w:p w14:paraId="200C1FD0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6"/>
                <w:szCs w:val="16"/>
              </w:rPr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353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End User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E1A4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Clinical language; trust model fairness; data privacy; understand AI limitations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257CA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No-code UI; Step 6 SHAP with 251 clinical name mappings; Step 7 subgroup bias audit; privacy notice; clinical disclaimers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EC1A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High</w:t>
            </w:r>
          </w:p>
        </w:tc>
      </w:tr>
      <w:tr w:rsidR="00AC572F" w14:paraId="16F93AAD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CBCD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Patients (indirect)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16ACA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Affected Party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A8FD7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Fair treatment; data not misused; AI not replacing clinical judgment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CF762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Step 7 subgroup analysis (gender, age bands); 10% sensitivity gap threshold; SMOTE; educational-only scope; no PII processing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B40FE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High</w:t>
            </w:r>
          </w:p>
        </w:tc>
      </w:tr>
      <w:tr w:rsidR="00AC572F" w14:paraId="6C1A8809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CAFA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Students / Dev Team</w:t>
              <w:br/>
              <w:t>(5 members)</w:t>
            </w:r>
          </w:p>
          <w:p w14:paraId="02FA707C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6"/>
                <w:szCs w:val="16"/>
              </w:rPr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9F32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Developer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07AA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Clear requirements; learn responsible AI; feasible workload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EAF5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User Guide as spec; ISO deliverables as learning; 5-sprint timeline; Jira-tracked task distribution across backend, frontend, and QA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5AFE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Medium</w:t>
            </w:r>
          </w:p>
        </w:tc>
      </w:tr>
      <w:tr w:rsidR="00AC572F" w14:paraId="5B3B3A1C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1ADEA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Instructor</w:t>
              <w:br/>
              <w:t>(Dr. Sevgi Koyuncu Tunç)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9D28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Governance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E942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Quality; curriculum alignment; ethical AI education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99F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Sprint gates as management review; ISO rubric; peer audit; PDCA cycle documented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DBE5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High</w:t>
            </w:r>
          </w:p>
        </w:tc>
      </w:tr>
      <w:tr w:rsidR="00AC572F" w14:paraId="329BE1B2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13AB6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Regulators</w:t>
              <w:br/>
              <w:t>(EU AI Act)</w:t>
            </w:r>
          </w:p>
          <w:p w14:paraId="1DA6193B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6"/>
                <w:szCs w:val="16"/>
              </w:rPr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2C05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External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A2752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Transparency; human oversight; bias audit; documentation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33A79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Step 7 EU AI Act checklist (8 items); SHAP explainability; clinical disclaimers; all ISO deliverables as governance evidence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70AF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High</w:t>
            </w:r>
          </w:p>
        </w:tc>
      </w:tr>
      <w:tr w:rsidR="00AC572F" w14:paraId="2D207568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E4634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Dataset Providers</w:t>
              <w:br/>
              <w:t>(UCI, Kaggle, etc.)</w:t>
            </w:r>
          </w:p>
          <w:p w14:paraId="0747F8E2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6"/>
                <w:szCs w:val="16"/>
              </w:rPr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3AE3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Supplier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9C6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Proper attribution; ethical use; license compliance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09B4D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Provenance documentation in Section 3.1; educational-use scope; license compliance in Section 3.4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29810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Low</w:t>
            </w:r>
          </w:p>
        </w:tc>
      </w:tr>
      <w:tr w:rsidR="00AC572F" w14:paraId="468AE2EC" w14:textId="77777777"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D73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General Public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6146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Societal</w:t>
            </w:r>
          </w:p>
        </w:tc>
        <w:tc>
          <w:tcPr>
            <w:tcW w:w="2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DA3C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Trust in healthcare AI; transparency about capabilities and limitations</w:t>
            </w:r>
          </w:p>
        </w:tc>
        <w:tc>
          <w:tcPr>
            <w:tcW w:w="2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0F1F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Open educational tool; Step 7 AI failure case studies; responsible AI principles embedded throughout; fairness analysis promotes equity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876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Low</w:t>
            </w:r>
          </w:p>
        </w:tc>
      </w:tr>
    </w:tbl>
    <w:p w14:paraId="59304369" w14:textId="77777777" w:rsidR="00AC572F" w:rsidRDefault="00AC572F">
      <w:pPr>
        <w:spacing w:after="80"/>
      </w:pPr>
    </w:p>
    <w:p w14:paraId="7E0090FF" w14:textId="77777777" w:rsidR="00AC572F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26"/>
      </w:tblGrid>
      <w:tr w:rsidR="00AC572F" w14:paraId="624852C9" w14:textId="77777777">
        <w:tc>
          <w:tcPr>
            <w:tcW w:w="700" w:type="dxa"/>
            <w:tcBorders>
              <w:bottom w:val="single" w:sz="6" w:space="0" w:color="1B5E20"/>
            </w:tcBorders>
            <w:shd w:val="clear" w:color="auto" w:fill="1B5E2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77215" w14:textId="77777777" w:rsidR="00AC572F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2</w:t>
            </w:r>
          </w:p>
        </w:tc>
        <w:tc>
          <w:tcPr>
            <w:tcW w:w="8326" w:type="dxa"/>
            <w:tcBorders>
              <w:bottom w:val="single" w:sz="6" w:space="0" w:color="1B5E20"/>
            </w:tcBorders>
            <w:tcMar>
              <w:top w:w="60" w:type="dxa"/>
              <w:left w:w="140" w:type="dxa"/>
              <w:bottom w:w="60" w:type="dxa"/>
              <w:right w:w="80" w:type="dxa"/>
            </w:tcMar>
            <w:vAlign w:val="center"/>
          </w:tcPr>
          <w:p w14:paraId="5C707BC0" w14:textId="77777777" w:rsidR="00AC572F" w:rsidRDefault="00000000">
            <w:r>
              <w:rPr>
                <w:b/>
                <w:bCs/>
                <w:color w:val="1B5E20"/>
                <w:sz w:val="26"/>
                <w:szCs w:val="26"/>
              </w:rPr>
              <w:t>AI Policy &amp; Governance</w:t>
            </w:r>
          </w:p>
        </w:tc>
      </w:tr>
    </w:tbl>
    <w:p w14:paraId="0B9CC14A" w14:textId="77777777" w:rsidR="00AC572F" w:rsidRDefault="00AC572F">
      <w:pPr>
        <w:spacing w:after="100"/>
      </w:pPr>
    </w:p>
    <w:p w14:paraId="17AFE650" w14:textId="77777777" w:rsidR="00AC572F" w:rsidRDefault="00000000">
      <w:pPr>
        <w:spacing w:after="120" w:line="276" w:lineRule="auto"/>
        <w:jc w:val="both"/>
      </w:pPr>
      <w:r>
        <w:rPr>
          <w:b/>
          <w:bCs/>
          <w:color w:val="212121"/>
        </w:rPr>
        <w:t xml:space="preserve">ISO 42001 Reference: </w:t>
      </w:r>
      <w:r>
        <w:rPr>
          <w:color w:val="212121"/>
        </w:rPr>
        <w:t>Clause 5.1 (Leadership), Clause 5.2 (AI Policy), Clause 5.3 (Roles), Annex A.2.2 (AI Policy), A.3.2 (Roles &amp; Responsibilities)</w:t>
      </w:r>
    </w:p>
    <w:p w14:paraId="2E8A55A4" w14:textId="77777777" w:rsidR="00AC572F" w:rsidRDefault="00000000">
      <w:pPr>
        <w:pStyle w:val="Heading2"/>
      </w:pPr>
      <w:r>
        <w:t>2.1 AI Policy Statement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C572F" w14:paraId="200D0C7D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43D90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A6DA5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Content</w:t>
            </w:r>
          </w:p>
        </w:tc>
      </w:tr>
      <w:tr w:rsidR="00AC572F" w14:paraId="7CC8541C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4DE12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Policy Title &amp; Version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1707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AI Policy for HealthWithSevgi ML Visualization Tool — Version 1.0, April 2026</w:t>
            </w:r>
          </w:p>
        </w:tc>
      </w:tr>
      <w:tr w:rsidR="00AC572F" w14:paraId="6D776534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BDF2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Purpose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6A57D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This policy establishes the governance framework for responsible development and educational deployment of the HealthWithSevgi ML Visualization Tool. It ensures that all AI-related activities adhere to principles of fairness, transparency, human oversight, privacy, safety, and accountability, in alignment with ISO/IEC 42001:2023 and the EU AI Act.</w:t>
            </w:r>
          </w:p>
        </w:tc>
      </w:tr>
      <w:tr w:rsidR="00AC572F" w14:paraId="52B1914D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26FF5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Scope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DCB6A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This policy governs all AI/ML components as defined in Section 1.2, including: 8 supervised classification algorithms; the SHAP-based explainability engine; the subgroup fairness analysis system; all 20 built-in clinical datasets and user-uploaded CSV processing; the 7-step wizard pipeline; and the Docker-containerised deployment. Applies to all five team members across all five project sprints.</w:t>
            </w:r>
          </w:p>
        </w:tc>
      </w:tr>
      <w:tr w:rsidR="00AC572F" w14:paraId="38B4F7C0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0111E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Principle 1: Fairness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D4CB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We commit to equitable AI performance across all patient groups. Implementation: Step 7 subgroup fairness audit evaluates sensitivity across gender (Female/Male) and age bands (18–60, 61–75, 76+). 10pp gap triggers 'review' warning; 20pp or sensitivity &lt;50% triggers 'action_needed' alert. Step 3 SMOTE addresses class imbalance with adaptive k_neighbors = max(1, min(5, min_class_count-1)). Three real-world AI failure case studies in Step 7 educate about consequences of unfair AI.</w:t>
            </w:r>
          </w:p>
        </w:tc>
      </w:tr>
      <w:tr w:rsidR="00AC572F" w14:paraId="3B729A77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15BF1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Principle 2: Transparency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0E234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We commit to making AI decisions interpretable for non-technical users. Implementation: Step 5 presents 7 metrics with colour-coded thresholds. Step 6 provides SHAP global feature importance and single-patient waterfall charts. 251 clinical name mappings translate raw variables to clinician-friendly terms. Clinical sense-check notes accompany top features.</w:t>
            </w:r>
          </w:p>
        </w:tc>
      </w:tr>
      <w:tr w:rsidR="00AC572F" w14:paraId="60466B1D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C9C33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Principle 3: Human Oversight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299E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We commit to humans remaining the ultimate decision-makers. Implementation: Step 7 EU AI Act checklist item requires user confirmation of human oversight plan. Step 6 displays: 'A clinician must always decide whether and how to act on any AI prediction. This tool is an educational aid, not a diagnostic device.' No automated clinical actions are triggered.</w:t>
            </w:r>
          </w:p>
        </w:tc>
      </w:tr>
      <w:tr w:rsidR="00AC572F" w14:paraId="1CEB4DC1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813C7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Principle 4: Privacy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B5D6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We commit to privacy-by-design. Implementation: All processing in-memory on FastAPI with OrderedDict LRU eviction (max 50 sessions/models). No database, no disk writes. Footer: 'Patient data is processed locally within this session. No patient data is stored or transmitted.' CORS restricted to localhost. PDF certificate contains only aggregate metrics — no raw patient data.</w:t>
            </w:r>
          </w:p>
        </w:tc>
      </w:tr>
      <w:tr w:rsidR="00AC572F" w14:paraId="6C1EE7E2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298F8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Principle 5: Safety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309E2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We commit to preventing harmful outputs through technical safeguards. Implementation: Backend validates inputs (≥10 rows, ≤50 MB, ≤20 classes, ≥2 columns — HTTP 422 on failure). SHAP fallback chain: TreeExplainer → LinearExplainer → KernelExplainer → permutation importance. Step 5 low-sensitivity warning (&lt;50%) and overfitting warning (train-test gap &gt;10pp). Step 1: 'This is a learning tool. No real patient data leaves your browser session.'</w:t>
            </w:r>
          </w:p>
        </w:tc>
      </w:tr>
      <w:tr w:rsidR="00AC572F" w14:paraId="50464B46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2BF8F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Principle 6: Accountability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BD7E4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We commit to clear responsibility. Implementation: Governance roles mapped in Section 2.2. Sprint gates serve as management review (Clause 9.3). Git version control (101+ commits, 5 members) provides full audit trail. PDCA cycle: Ch.1–3 first submission (Plan) → implementation (Do) → feedback + peer audit (Check) → corrective actions (Act).</w:t>
            </w:r>
          </w:p>
        </w:tc>
      </w:tr>
      <w:tr w:rsidR="00AC572F" w14:paraId="3BFF31D7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2A99A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Compliance Commitments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1455F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ISO/IEC 42001:2023; EU AI Act Regulation 2024/1689 (educational alignment, Art. 6, Annex III); ISO/IEC 25059 (AI system quality); KVKK Law No. 6698 / EU GDPR (data protection alignment through privacy-by-design).</w:t>
            </w:r>
          </w:p>
        </w:tc>
      </w:tr>
      <w:tr w:rsidR="00AC572F" w14:paraId="4DD12CBF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7E743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Review Schedule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CD3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Reviewed: (1) at project completion (May 2026); (2) when Step 7 detects sensitivity gap ≥20pp ('action_needed'); (3) when AIMS scope changes; (4) when regulations update (EU AI Act enforcement, KVKK amendments).</w:t>
            </w:r>
            <w:proofErr w:type="gramStart"/>
            <w:r>
              <w:rPr>
                <w:i/>
                <w:iCs/>
                <w:color w:val="616161"/>
                <w:sz w:val="17"/>
                <w:szCs w:val="17"/>
              </w:rPr>
            </w:r>
            <w:proofErr w:type="gramEnd"/>
            <w:r>
              <w:rPr>
                <w:i/>
                <w:iCs/>
                <w:color w:val="616161"/>
                <w:sz w:val="17"/>
                <w:szCs w:val="17"/>
              </w:rPr>
            </w:r>
          </w:p>
        </w:tc>
      </w:tr>
      <w:tr w:rsidR="00AC572F" w14:paraId="50D215CF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E6CD5" w14:textId="77777777" w:rsidR="00AC572F" w:rsidRDefault="00000000">
            <w:pPr>
              <w:spacing w:line="256" w:lineRule="auto"/>
            </w:pPr>
            <w:r>
              <w:rPr>
                <w:b/>
                <w:bCs/>
                <w:color w:val="212121"/>
                <w:sz w:val="17"/>
                <w:szCs w:val="17"/>
              </w:rPr>
              <w:t>Approval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21239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Team: HealthWithSevgi, AI System Owner: Efe Çelik (Product Owner), Date: April 2026</w:t>
            </w:r>
          </w:p>
        </w:tc>
      </w:tr>
    </w:tbl>
    <w:p w14:paraId="269B7ED7" w14:textId="77777777" w:rsidR="00AC572F" w:rsidRDefault="00000000">
      <w:pPr>
        <w:pStyle w:val="Heading2"/>
      </w:pPr>
      <w:r>
        <w:t>2.2 AI Governance Roles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600"/>
        <w:gridCol w:w="1400"/>
        <w:gridCol w:w="4226"/>
      </w:tblGrid>
      <w:tr w:rsidR="00AC572F" w14:paraId="14F0A6C1" w14:textId="77777777">
        <w:tc>
          <w:tcPr>
            <w:tcW w:w="1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2D879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AI Governance Role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7888D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Scrum Equivalent</w:t>
            </w:r>
          </w:p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E66F5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Assigned To</w:t>
            </w:r>
          </w:p>
        </w:tc>
        <w:tc>
          <w:tcPr>
            <w:tcW w:w="42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0A7C2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Key Responsibilities</w:t>
            </w:r>
          </w:p>
        </w:tc>
      </w:tr>
      <w:tr w:rsidR="00AC572F" w14:paraId="09D5C79D" w14:textId="77777777">
        <w:tc>
          <w:tcPr>
            <w:tcW w:w="1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9F574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AI System Owner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A5DF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Product Owner</w:t>
            </w:r>
          </w:p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0206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Efe Çelik</w:t>
            </w:r>
          </w:p>
        </w:tc>
        <w:tc>
          <w:tcPr>
            <w:tcW w:w="42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9CB7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Overall accountability for AI system and ISO 42001 compliance. AI policy approval (Section 2.1); AIMS scope decisions (Section 1.2); final authority on risk acceptance; user story prioritisation; stakeholder communication.</w:t>
            </w:r>
          </w:p>
        </w:tc>
      </w:tr>
      <w:tr w:rsidR="00AC572F" w14:paraId="686C8A3F" w14:textId="77777777">
        <w:tc>
          <w:tcPr>
            <w:tcW w:w="1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78F2D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Technical Lead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C9394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Scrum Master /</w:t>
              <w:br/>
              <w:t>Lead Developer</w:t>
            </w:r>
          </w:p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6739F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Batuhan Bayazıt</w:t>
            </w:r>
          </w:p>
        </w:tc>
        <w:tc>
          <w:tcPr>
            <w:tcW w:w="42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E9951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Technical oversight of all ML implementations and architecture. 8 algorithm implementations (MLService); SHAP engine quality across 4 explainer types; Docker deployment; CI/CD; session architecture design; code review; sprint facilitation.</w:t>
            </w:r>
          </w:p>
        </w:tc>
      </w:tr>
      <w:tr w:rsidR="00AC572F" w14:paraId="30C356F8" w14:textId="77777777">
        <w:tc>
          <w:tcPr>
            <w:tcW w:w="1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07A37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Data Steward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D55F6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Developer</w:t>
              <w:br/>
              <w:t>(Backend)</w:t>
            </w:r>
          </w:p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B13C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Berat Mert Gökkaya</w:t>
            </w:r>
          </w:p>
        </w:tc>
        <w:tc>
          <w:tcPr>
            <w:tcW w:w="42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0FBC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Data quality across 20 datasets (Section 3.1). Provenance documentation; dataset quality validation; bias/limitation documentation; Jira sprint management; backend ML pipeline implementation.</w:t>
            </w:r>
          </w:p>
        </w:tc>
      </w:tr>
      <w:tr w:rsidR="00AC572F" w14:paraId="51EBA112" w14:textId="77777777">
        <w:tc>
          <w:tcPr>
            <w:tcW w:w="1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405C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Ethics &amp; UX</w:t>
              <w:br/>
              <w:t>Reviewer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DE237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6"/>
                <w:szCs w:val="16"/>
              </w:rPr>
              <w:t>UX Designer</w:t>
            </w:r>
          </w:p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14D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Burak Aydoğmuş</w:t>
            </w:r>
          </w:p>
        </w:tc>
        <w:tc>
          <w:tcPr>
            <w:tcW w:w="42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7A90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UX design and ethical AI interface review. Clinical language clarity across all 7 Steps; Step 5 Results visualisation design; ensuring outputs support human oversight; UI accessibility; frontend implementation.</w:t>
            </w:r>
          </w:p>
        </w:tc>
      </w:tr>
      <w:tr w:rsidR="00AC572F" w14:paraId="071DA88C" w14:textId="77777777">
        <w:tc>
          <w:tcPr>
            <w:tcW w:w="1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F063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QA &amp; Compliance</w:t>
              <w:br/>
              <w:t>Lead</w:t>
            </w:r>
          </w:p>
        </w:tc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EE55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QA / Documentation</w:t>
              <w:br/>
              <w:t>Lead</w:t>
            </w:r>
          </w:p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279F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Berfin Duru Alkan</w:t>
            </w:r>
          </w:p>
        </w:tc>
        <w:tc>
          <w:tcPr>
            <w:tcW w:w="42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A09F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6"/>
                <w:szCs w:val="16"/>
              </w:rPr>
              <w:t>Quality assurance and ISO 42001 compliance documentation. Test report generation; sprint progress reports; ISO report quality; peer audit coordination (Ch. 6); full pipeline test reports; cross-referencing report claims to code artefacts.</w:t>
            </w:r>
          </w:p>
        </w:tc>
      </w:tr>
    </w:tbl>
    <w:p w14:paraId="17D7A57B" w14:textId="77777777" w:rsidR="00AC572F" w:rsidRDefault="00AC572F">
      <w:pPr>
        <w:spacing w:after="80"/>
      </w:pPr>
    </w:p>
    <w:p w14:paraId="581FB0C3" w14:textId="77777777" w:rsidR="00AC572F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26"/>
      </w:tblGrid>
      <w:tr w:rsidR="00AC572F" w14:paraId="2F1F7BBB" w14:textId="77777777">
        <w:tc>
          <w:tcPr>
            <w:tcW w:w="700" w:type="dxa"/>
            <w:tcBorders>
              <w:bottom w:val="single" w:sz="6" w:space="0" w:color="1B5E20"/>
            </w:tcBorders>
            <w:shd w:val="clear" w:color="auto" w:fill="1B5E2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CD07FF" w14:textId="77777777" w:rsidR="00AC572F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3</w:t>
            </w:r>
          </w:p>
        </w:tc>
        <w:tc>
          <w:tcPr>
            <w:tcW w:w="8326" w:type="dxa"/>
            <w:tcBorders>
              <w:bottom w:val="single" w:sz="6" w:space="0" w:color="1B5E20"/>
            </w:tcBorders>
            <w:tcMar>
              <w:top w:w="60" w:type="dxa"/>
              <w:left w:w="140" w:type="dxa"/>
              <w:bottom w:w="60" w:type="dxa"/>
              <w:right w:w="80" w:type="dxa"/>
            </w:tcMar>
            <w:vAlign w:val="center"/>
          </w:tcPr>
          <w:p w14:paraId="1EB8B5B4" w14:textId="77777777" w:rsidR="00AC572F" w:rsidRDefault="00000000">
            <w:r>
              <w:rPr>
                <w:b/>
                <w:bCs/>
                <w:color w:val="1B5E20"/>
                <w:sz w:val="26"/>
                <w:szCs w:val="26"/>
              </w:rPr>
              <w:t>Data Governance</w:t>
            </w:r>
          </w:p>
        </w:tc>
      </w:tr>
    </w:tbl>
    <w:p w14:paraId="65DA7765" w14:textId="77777777" w:rsidR="00AC572F" w:rsidRDefault="00AC572F">
      <w:pPr>
        <w:spacing w:after="100"/>
      </w:pPr>
    </w:p>
    <w:p w14:paraId="09233BF4" w14:textId="77777777" w:rsidR="00AC572F" w:rsidRDefault="00000000">
      <w:pPr>
        <w:spacing w:after="120" w:line="276" w:lineRule="auto"/>
        <w:jc w:val="both"/>
      </w:pPr>
      <w:r>
        <w:rPr>
          <w:b/>
          <w:bCs/>
          <w:color w:val="212121"/>
        </w:rPr>
        <w:t xml:space="preserve">ISO 42001 Reference: </w:t>
      </w:r>
      <w:r>
        <w:rPr>
          <w:color w:val="212121"/>
        </w:rPr>
        <w:t>Annex A.6.2 (Data Quality), A.6.3 (Data Provenance), A.6.4 (Data Preparation), Clause 8.2 (AI Risk Assessment)</w:t>
      </w:r>
    </w:p>
    <w:p w14:paraId="032CF635" w14:textId="77777777" w:rsidR="00AC572F" w:rsidRDefault="00000000">
      <w:pPr>
        <w:pStyle w:val="Heading2"/>
      </w:pPr>
      <w:r>
        <w:t>3.1 Data Source Inventory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6"/>
        <w:gridCol w:w="1074"/>
        <w:gridCol w:w="1782"/>
        <w:gridCol w:w="921"/>
        <w:gridCol w:w="951"/>
        <w:gridCol w:w="1374"/>
        <w:gridCol w:w="2558"/>
      </w:tblGrid>
      <w:tr w:rsidR="00AC572F" w14:paraId="605CF314" w14:textId="77777777">
        <w:tc>
          <w:tcPr>
            <w:tcW w:w="3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F81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FC079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Specialty</w:t>
            </w:r>
          </w:p>
        </w:tc>
        <w:tc>
          <w:tcPr>
            <w:tcW w:w="207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795CF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Dataset Name &amp; Source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AF459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Records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CE57B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Features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C6FEF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Target Variable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8359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EEBE7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Known Limitations / Biases</w:t>
            </w:r>
          </w:p>
        </w:tc>
      </w:tr>
      <w:tr w:rsidR="00AC572F" w14:paraId="7E3ED428" w14:textId="77777777">
        <w:tc>
          <w:tcPr>
            <w:tcW w:w="3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314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5"/>
                <w:szCs w:val="15"/>
              </w:rPr>
              <w:t>1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CBFDD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5"/>
                <w:szCs w:val="15"/>
              </w:rPr>
              <w:t>Cardiology — Heart Failure</w:t>
            </w:r>
          </w:p>
        </w:tc>
        <w:tc>
          <w:tcPr>
            <w:tcW w:w="207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96A09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Heart Failure Clinical Records (Kaggle)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B28F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299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093D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12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5B9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DEATH_EVENT (binary)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8FE41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Small sample; ~32% death class imbalance; single-centre (Pakistan); limited demographics</w:t>
            </w:r>
          </w:p>
        </w:tc>
      </w:tr>
      <w:tr w:rsidR="00AC572F" w14:paraId="7ABA9E46" w14:textId="77777777">
        <w:tc>
          <w:tcPr>
            <w:tcW w:w="3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E0CD9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5"/>
                <w:szCs w:val="15"/>
              </w:rPr>
              <w:t>2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FC6A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Cardiology — Stroke</w:t>
            </w:r>
          </w:p>
        </w:tc>
        <w:tc>
          <w:tcPr>
            <w:tcW w:w="207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51577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Stroke Prediction Dataset (Kaggle)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5489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5,110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2124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5817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stroke (binary)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2476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Severe imbalance (&lt;5% positive); self-reported data; socioeconomic proxies</w:t>
            </w:r>
          </w:p>
        </w:tc>
      </w:tr>
      <w:tr w:rsidR="00AC572F" w14:paraId="00CA5846" w14:textId="77777777">
        <w:tc>
          <w:tcPr>
            <w:tcW w:w="3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B6E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color w:val="212121"/>
                <w:sz w:val="15"/>
                <w:szCs w:val="15"/>
              </w:rPr>
              <w:t>3</w:t>
            </w:r>
          </w:p>
        </w:tc>
        <w:tc>
          <w:tcPr>
            <w:tcW w:w="11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7194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5"/>
                <w:szCs w:val="15"/>
              </w:rPr>
              <w:t>Cardiology — Arrhythmia</w:t>
            </w:r>
          </w:p>
        </w:tc>
        <w:tc>
          <w:tcPr>
            <w:tcW w:w="207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24663" w14:textId="77777777" w:rsidR="00AC572F" w:rsidRDefault="00AC572F">
            <w:pPr>
              <w:spacing w:after="30" w:line="250" w:lineRule="auto"/>
            </w:pPr>
            <w:r>
              <w:rPr>
                <w:b w:val="0"/>
                <w:i w:val="0"/>
              </w:rPr>
              <w:t>UCI Arrhythmia Dataset (UCI)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30C6C" w14:textId="77777777" w:rsidR="00AC572F" w:rsidRDefault="00AC572F">
            <w:pPr>
              <w:spacing w:after="30" w:line="250" w:lineRule="auto"/>
            </w:pPr>
            <w:r>
              <w:rPr>
                <w:b w:val="0"/>
                <w:i w:val="0"/>
              </w:rPr>
              <w:t>452</w:t>
            </w:r>
          </w:p>
        </w:tc>
        <w:tc>
          <w:tcPr>
            <w:tcW w:w="65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05784" w14:textId="77777777" w:rsidR="00AC572F" w:rsidRDefault="00AC572F">
            <w:pPr>
              <w:spacing w:after="30" w:line="250" w:lineRule="auto"/>
            </w:pPr>
            <w:r>
              <w:rPr>
                <w:b w:val="0"/>
                <w:i w:val="0"/>
              </w:rPr>
              <w:t>33</w:t>
            </w:r>
          </w:p>
        </w:tc>
        <w:tc>
          <w:tcPr>
            <w:tcW w:w="1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12FB" w14:textId="77777777" w:rsidR="00AC572F" w:rsidRDefault="00AC572F">
            <w:pPr>
              <w:spacing w:after="30" w:line="250" w:lineRule="auto"/>
            </w:pPr>
            <w:r>
              <w:rPr>
                <w:b w:val="0"/>
                <w:i w:val="0"/>
              </w:rPr>
              <w:t>arrhythmia (binary)</w:t>
            </w:r>
          </w:p>
        </w:tc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71195" w14:textId="77777777" w:rsidR="00AC572F" w:rsidRDefault="00AC572F">
            <w:pPr>
              <w:spacing w:after="30" w:line="250" w:lineRule="auto"/>
            </w:pPr>
            <w:r>
              <w:rPr>
                <w:b w:val="0"/>
                <w:i w:val="0"/>
              </w:rPr>
              <w:t>High dimensionality; significant missing values; 1980s–90s data; binarised from 16 classes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Radiology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NIH Chest X-Ray Metadata (Kaggle)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100,000+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Finding_Label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Metadata only (no images); NLP-extracted labels with noise; institutional bias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Nephrology — CKD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UCI CKD Dataset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400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classification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Significant missing values; single-centre (India); small sample for 15 features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Oncology — Breast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Breast Cancer Wisconsin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569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diagnosis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FNA-derived features; ~37% malignant; single institution; lacks demographics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Oncology — Cervical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Cervical Cancer Risk Factors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858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Biopsy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Extensive missing values; &lt;10% positive; self-reported behavioural data; single country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Neurology — Parkinson's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UCI Parkinson's Dataset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195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status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Very small (n=195); ~75% PD positive; voice-only features; single session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Endocrinology — Diabetes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Pima Indians Diabetes (Kaggle)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768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Outcome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Only Pima Indian women ≥21; zero values = missing; severely limits generalisability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Endocrinology — Thyroid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UCI New Thyroid Dataset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215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class (multiclass)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Very small (n=215); only 5 features; 1980s data; reference ranges may differ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Hepatology — Liver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Indian Liver Patient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583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Dataset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Single country (India); 75% male; ~72% positive; no aetiology info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Mental Health — Depression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Depression Dataset (Kaggle)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~2,000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severity_class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Self-reported; oversimplifies severity; no DSM-5 criteria; weak provenance — used as pedagogical example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Pulmonology — COPD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COPD EHR Dataset (PhysioNet)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~1,000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exacerbation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Credentialed access required; documentation bias; spirometry effort-dependent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Haematology — Anaemia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Anaemia Detection Dataset (Kaggle)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~1,421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anemia_type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Only 5 features; no iron/ferritin/B12; binary — no subtype distinction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Dermatology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HAM10000 Metadata (Harvard Dataverse)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10,015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dx_type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Metadata only; 3 features; ~10% melanoma; predominantly light-skinned (Vienna, Queensland)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Ophthalmology — DR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Diabetic Retinopathy Debrecen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1,151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severity_grade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Automated image features; single institution (Hungary); binarised from multi-grade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Orthopaedics — Spine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Vertebral Column Dataset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310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class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Only 6 features; small (n=310); no age/gender; examiner-dependent measurements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ICU / Sepsis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PhysioNet Sepsis Challenge 2019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~40,000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SepsisLabel (binary)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~10% positive; missing values clinically meaningful; credentialed access required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Obstetrics — Fetal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Cardiotocography Dataset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2,126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fetal_health (multiclass)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~8% pathological; inter-observer variability; software-derived features</w:t>
            </w:r>
          </w:p>
        </w:tc>
      </w:tr>
      <w:tr>
        <w:tc>
          <w:tcPr>
            <w:tcW w:type="dxa" w:w="36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074"/>
          </w:tcPr>
          <w:p>
            <w:r/>
            <w:r>
              <w:rPr>
                <w:sz w:val="18"/>
              </w:rPr>
              <w:t>Pharmacy — Readmission</w:t>
            </w:r>
          </w:p>
        </w:tc>
        <w:tc>
          <w:tcPr>
            <w:tcW w:type="dxa" w:w="1782"/>
          </w:tcPr>
          <w:p>
            <w:r/>
            <w:r>
              <w:rPr>
                <w:sz w:val="18"/>
              </w:rPr>
              <w:t>Diabetes 130-US Hospitals (UCI)</w:t>
            </w:r>
          </w:p>
        </w:tc>
        <w:tc>
          <w:tcPr>
            <w:tcW w:type="dxa" w:w="921"/>
          </w:tcPr>
          <w:p>
            <w:r/>
            <w:r>
              <w:rPr>
                <w:sz w:val="18"/>
              </w:rPr>
              <w:t>100,000+</w:t>
            </w:r>
          </w:p>
        </w:tc>
        <w:tc>
          <w:tcPr>
            <w:tcW w:type="dxa" w:w="951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374"/>
          </w:tcPr>
          <w:p>
            <w:r/>
            <w:r>
              <w:rPr>
                <w:sz w:val="18"/>
              </w:rPr>
              <w:t>readmitted (multiclass)</w:t>
            </w:r>
          </w:p>
        </w:tc>
        <w:tc>
          <w:tcPr>
            <w:tcW w:type="dxa" w:w="2558"/>
          </w:tcPr>
          <w:p>
            <w:r/>
            <w:r>
              <w:rPr>
                <w:sz w:val="18"/>
              </w:rPr>
              <w:t>1999–2008 data; US-specific; encounter-level; outdated treatment protocols</w:t>
            </w:r>
          </w:p>
        </w:tc>
      </w:tr>
    </w:tbl>
    <w:p w14:paraId="6DA9326B" w14:textId="77777777" w:rsidR="00AC572F" w:rsidRDefault="00000000">
      <w:pPr>
        <w:pStyle w:val="Heading2"/>
      </w:pPr>
      <w:r>
        <w:t>3.2 Data Quality &amp; Validation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C572F" w14:paraId="5E419DD6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02D88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Topic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F86C3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Your Documentation</w:t>
            </w:r>
          </w:p>
        </w:tc>
      </w:tr>
      <w:tr w:rsidR="00AC572F" w14:paraId="245F3072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0106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Quality Criteria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0F455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Minimum rows: ≥10 patients (MIN_ROWS=10)</w:t>
              <w:br/>
              <w:t>• Required columns: ≥2 (1 feature + 1 target)</w:t>
              <w:br/>
              <w:t>• File format: .csv only</w:t>
              <w:br/>
              <w:t>• Max file size: ≤50 MB (MAX_UPLOAD_MB=50)</w:t>
              <w:br/>
              <w:t>• Max target classes: ≤20 (MAX_TARGET_CLASSES=20)</w:t>
              <w:br/>
              <w:t>• Imbalance warning: ratio &gt;1.5:1 triggers alert in Step 2</w:t>
              <w:br/>
              <w:t>• Target: selected via Column Mapper in Step 2</w:t>
              <w:br/>
              <w:t>• On failure: HTTP 422 with specific error → inline alert in Step 2 UI</w:t>
            </w:r>
          </w:p>
          <w:p w14:paraId="05CA40B7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3B216C2C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0C3F9699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7E813169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3D519470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7DB859EF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  <w:proofErr w:type="spellStart"/>
            <w:r>
              <w:rPr>
                <w:color w:val="212121"/>
                <w:sz w:val="17"/>
                <w:szCs w:val="17"/>
              </w:rPr>
            </w:r>
            <w:proofErr w:type="spellEnd"/>
            <w:r>
              <w:rPr>
                <w:color w:val="212121"/>
                <w:sz w:val="17"/>
                <w:szCs w:val="17"/>
              </w:rPr>
            </w:r>
          </w:p>
        </w:tc>
      </w:tr>
      <w:tr w:rsidR="00AC572F" w14:paraId="494FEA9E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23A63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Missing Value</w:t>
              <w:br/>
              <w:t>Handling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6D1E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Median (default): Robust to outliers in clinical data (e.g., extreme creatinine in renal failure). Computed from training set only, applied to both sets to prevent leakage. Clinically preserves central tendency.</w:t>
              <w:br/>
              <w:t>• Mode: For categorical variables (gender, diagnosis codes). train_df.mode().iloc[0] with fallback to median.</w:t>
              <w:br/>
              <w:t>• Drop rows: Only when missingness is MCAR and dataset large enough. Risk: systematic missingness biases toward sicker patients who received more testing.</w:t>
            </w:r>
          </w:p>
          <w:p w14:paraId="347FD1DB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26A27BDA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42762400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  <w:tr w:rsidR="00AC572F" w14:paraId="7E16AB99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8857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Normalisation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3C63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Z-score (default): StandardScaler — zero mean, unit variance. Essential for KNN/SVM where magnitude affects distance. Intuitive for clinicians (standard deviations from mean).</w:t>
              <w:br/>
              <w:t>• Min-Max: MinMaxScaler — [0,1] range. For bounded features. Less robust to outliers.</w:t>
              <w:br/>
              <w:t>• None: Acceptable for tree-based models (DT, RF, XGBoost, LightGBM) which are scale-invariant. Risk: KNN/SVM dominated by high-magnitude features.</w:t>
            </w:r>
          </w:p>
          <w:p w14:paraId="44F06015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54A2CF5B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04F9CC13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  <w:tr w:rsidR="00AC572F" w14:paraId="4D4A3B0A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FD59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Class Imbalance</w:t>
              <w:br/>
              <w:t>(SMOTE)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2769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What: Generates synthetic minority samples by interpolating between k nearest minority neighbours.</w:t>
              <w:br/>
              <w:t>• Why needed: Clinical datasets often have severe imbalance (sepsis ~10%, stroke &lt;5%). Without SMOTE, models optimise for majority class — high accuracy but 0% sensitivity for clinically important minority.</w:t>
              <w:br/>
              <w:t>• Adaptive k: max(1, min(5, min_class_count-1)) for small classes.</w:t>
              <w:br/>
              <w:t>• Training data only: Test set must reflect real-world distribution for honest metrics (ISO 42001 Annex A.6.4).</w:t>
              <w:br/>
              <w:t>• Step 3 displays: before/after class distribution comparison chart.</w:t>
            </w:r>
          </w:p>
          <w:p w14:paraId="61F1A615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0E7D63A6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7B649FFB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5E5A67BA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</w:tbl>
    <w:p w14:paraId="33C7BAC3" w14:textId="77777777" w:rsidR="00AC572F" w:rsidRDefault="00000000">
      <w:pPr>
        <w:pStyle w:val="Heading2"/>
      </w:pPr>
      <w:r>
        <w:t>3.3 Data Privacy &amp; Provenance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C572F" w14:paraId="79E058DB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4934C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Topic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96E4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Your Documentation</w:t>
            </w:r>
          </w:p>
        </w:tc>
      </w:tr>
      <w:tr w:rsidR="00AC572F" w14:paraId="3E02BF6B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DB3F5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Privacy</w:t>
              <w:br/>
              <w:t>Architecture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D9525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In-memory processing: CSV → pandas DataFrame in server memory. No disk, no database, no external APIs.</w:t>
              <w:br/>
              <w:t>• Session-only lifecycle: UUID per session. MLService uses OrderedDict LRU eviction (max 50 sessions, 50 models). Auto-eviction on 51st entry.</w:t>
              <w:br/>
              <w:t>• Privacy notice (footer): 'Patient data is processed locally within this session. No patient data is stored or transmitted.'</w:t>
              <w:br/>
              <w:t>• CORS: localhost:5173 only (dev). Docker production: same-origin.</w:t>
              <w:br/>
              <w:t>• Certificate: aggregate metrics only — no raw patient data.</w:t>
              <w:br/>
              <w:t>• For real data under KVKK/GDPR: explicit consent (Art. 5/6), DPIA (Art. 35), encryption (AES-256/TLS 1.3), right-to-deletion, DPO, DPA, audit trail.</w:t>
            </w:r>
          </w:p>
          <w:p w14:paraId="243F8FCC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357C5968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7E7EAB84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5C86E4C2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  <w:tr w:rsidR="00AC572F" w14:paraId="27759E4E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636A7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Provenance</w:t>
              <w:br/>
              <w:t>Tracking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B62C8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Built-in datasets: Source URL, description, and license in specialty registry. Step 2 displays dataset attribution.</w:t>
              <w:br/>
              <w:t>• User uploads: filename, row/column counts, types, class distribution captured per session. No persistent lineage (educational scope).</w:t>
              <w:br/>
              <w:t>• Clinical deployment would need: Apache Atlas / OpenLineage, immutable provenance records, version control for dataset updates, source-to-prediction traceability.</w:t>
            </w:r>
          </w:p>
          <w:p w14:paraId="59A982BF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5709CF66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2E66591E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  <w:tr w:rsidR="00AC572F" w14:paraId="125E04A5" w14:textId="77777777"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6D7F9" w14:textId="77777777" w:rsidR="00AC572F" w:rsidRDefault="00000000">
            <w:pPr>
              <w:spacing w:line="256" w:lineRule="auto"/>
            </w:pPr>
            <w:r>
              <w:rPr>
                <w:b/>
                <w:bCs/>
                <w:i w:val="0"/>
                <w:color w:val="212121"/>
                <w:sz w:val="17"/>
                <w:szCs w:val="17"/>
              </w:rPr>
              <w:t>Bias in Data</w:t>
            </w:r>
          </w:p>
        </w:tc>
        <w:tc>
          <w:tcPr>
            <w:tcW w:w="68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849CB" w14:textId="77777777" w:rsidR="00AC572F" w:rsidRDefault="00000000">
            <w:pPr>
              <w:spacing w:after="30" w:line="250" w:lineRule="auto"/>
            </w:pPr>
            <w:r>
              <w:rPr>
                <w:b w:val="0"/>
                <w:i w:val="0"/>
                <w:iCs/>
                <w:color w:val="616161"/>
                <w:sz w:val="17"/>
                <w:szCs w:val="17"/>
              </w:rPr>
              <w:t>• Class imbalance: Stroke (&lt;5%), Sepsis (~10%), Cervical Cancer (&lt;10%), CTG (~8% pathological). Step 2 auto-warns at ratio &gt;1.5:1. Step 3 offers SMOTE.</w:t>
              <w:br/>
              <w:t>• Demographic gaps: Pima diabetes = only Pima Indian women; ILPD = 75% male, India-only; HAM10000 = light-skinned (Austria/Australia).</w:t>
              <w:br/>
              <w:t>• Historical disparities: Missing labs may reflect under-testing of low-risk patients; Pharmacy dataset (1999–2008) reflects outdated protocols.</w:t>
              <w:br/>
              <w:t>• Step 7: Gender distribution chart vs. population norms (50/50); age-band analysis; subgroup performance table shows per-group sensitivity/specificity.</w:t>
            </w:r>
          </w:p>
          <w:p w14:paraId="7293BE85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2900E2FD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2210C254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  <w:p w14:paraId="77FBCFC1" w14:textId="77777777" w:rsidR="00AC572F" w:rsidRDefault="00000000">
            <w:pPr>
              <w:spacing w:after="30" w:line="250" w:lineRule="auto"/>
            </w:pPr>
            <w:r>
              <w:rPr>
                <w:color w:val="212121"/>
                <w:sz w:val="17"/>
                <w:szCs w:val="17"/>
              </w:rPr>
            </w:r>
          </w:p>
        </w:tc>
      </w:tr>
    </w:tbl>
    <w:p w14:paraId="3BE4E637" w14:textId="77777777" w:rsidR="00AC572F" w:rsidRDefault="00000000">
      <w:pPr>
        <w:pStyle w:val="Heading2"/>
      </w:pPr>
      <w:r>
        <w:t>3.4 Third-Party &amp; Dependency Register</w:t>
      </w:r>
    </w:p>
    <w:p w14:paraId="57608F44" w14:textId="77777777" w:rsidR="00AC572F" w:rsidRDefault="00000000">
      <w:pPr>
        <w:spacing w:after="120" w:line="276" w:lineRule="auto"/>
        <w:jc w:val="both"/>
      </w:pPr>
      <w:r>
        <w:rPr>
          <w:b/>
          <w:bCs/>
          <w:color w:val="212121"/>
        </w:rPr>
        <w:t xml:space="preserve">ISO 42001 Reference: </w:t>
      </w:r>
      <w:r>
        <w:rPr>
          <w:color w:val="212121"/>
        </w:rPr>
        <w:t>Annex A.9.2 (Monitoring Third-Party Services), A.9.4 (AI System Component Sourcing)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9"/>
        <w:gridCol w:w="821"/>
        <w:gridCol w:w="861"/>
        <w:gridCol w:w="888"/>
        <w:gridCol w:w="1418"/>
        <w:gridCol w:w="810"/>
        <w:gridCol w:w="1131"/>
        <w:gridCol w:w="1838"/>
      </w:tblGrid>
      <w:tr w:rsidR="00AC572F" w14:paraId="54F41120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83BAC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5F326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DE574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Version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85526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License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793FC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Security Assessment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4E3B7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Risk Level (H/M/L)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0D407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Alternative Available?</w:t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4A148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2BD46" w14:textId="77777777" w:rsidR="00AC572F" w:rsidRDefault="00000000">
            <w:r>
              <w:rPr>
                <w:b/>
                <w:bCs/>
                <w:color w:val="FFFFFF"/>
                <w:sz w:val="18"/>
                <w:szCs w:val="18"/>
              </w:rPr>
              <w:t>Monitoring Plan</w:t>
            </w:r>
          </w:p>
        </w:tc>
      </w:tr>
      <w:tr w:rsidR="00AC572F" w14:paraId="21512556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41EBA4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scikit-learn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F9C573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ML Library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8A291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≥1.4.0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1940E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BSD-3-Clause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9AED6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No critical CVEs; NumFOCUS-sponsored; 60k+ stars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501BE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5079C4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TensorFlow, PyTorch</w:t>
            </w:r>
            <w:proofErr w:type="spellStart"/>
            <w:r>
              <w:rPr>
                <w:i/>
                <w:iCs/>
                <w:color w:val="616161"/>
                <w:sz w:val="14"/>
                <w:szCs w:val="14"/>
              </w:rPr>
            </w:r>
            <w:proofErr w:type="spellEnd"/>
            <w:r>
              <w:rPr>
                <w:i/>
                <w:iCs/>
                <w:color w:val="616161"/>
                <w:sz w:val="14"/>
                <w:szCs w:val="14"/>
              </w:rPr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C2055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Pin version; check PyPI releases each sprint</w:t>
            </w:r>
          </w:p>
        </w:tc>
      </w:tr>
      <w:tr w:rsidR="00AC572F" w14:paraId="0E985E73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22085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XGBoost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664B5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ML Library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25E27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≥2.0.0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2D54F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Apache 2.0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1E1B0E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DMLC foundation; regular patches; enterprise adoption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0BC87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D7C14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LightGBM, CatBoost</w:t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9E00F9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Pin version; monitor GitHub advisories</w:t>
            </w:r>
          </w:p>
        </w:tc>
      </w:tr>
      <w:tr w:rsidR="00AC572F" w14:paraId="7C232F5F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C1D59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LightGBM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AEA251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ML Library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5E61A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≥4.3.0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A943D8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MIT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9C8B7D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Microsoft-maintained; requires libgomp1; no known CVEs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001F8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84C7A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XGBoost, CatBoost</w:t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1AC5CD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Pin version; monitor MSRC</w:t>
            </w:r>
          </w:p>
        </w:tc>
      </w:tr>
      <w:tr w:rsidR="00AC572F" w14:paraId="072563C1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D50E9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SHAP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5EF2A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Explainability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64BCC1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≥0.45.0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AA0F2E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MIT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153F99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Academic origin (Lundberg); 18k+ citations; transitive deps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5B7AE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D48C03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LIME, ELI5</w:t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0C4E52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Pin version; monitor API changes</w:t>
            </w:r>
          </w:p>
        </w:tc>
      </w:tr>
      <w:tr w:rsidR="00AC572F" w14:paraId="3EDE7F5C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708CEC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pandas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B2136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Data Processing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5E889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≥2.2.0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6BA65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BSD-3-Clause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297A5F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NumFOCUS; enterprise-grade; no critical vulns; 40k+ stars</w:t>
            </w:r>
            <w:proofErr w:type="spellStart"/>
            <w:r>
              <w:rPr>
                <w:i/>
                <w:iCs/>
                <w:color w:val="616161"/>
                <w:sz w:val="14"/>
                <w:szCs w:val="14"/>
              </w:rPr>
            </w:r>
            <w:proofErr w:type="spellEnd"/>
            <w:r>
              <w:rPr>
                <w:i/>
                <w:iCs/>
                <w:color w:val="616161"/>
                <w:sz w:val="14"/>
                <w:szCs w:val="14"/>
              </w:rPr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488BDD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A9923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Polars, Modin</w:t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1DD96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Pin version; ecosystem stable</w:t>
            </w:r>
          </w:p>
        </w:tc>
      </w:tr>
      <w:tr w:rsidR="00AC572F" w14:paraId="34943160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C8CB47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imbalanced-learn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B6159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color w:val="212121"/>
                <w:sz w:val="14"/>
                <w:szCs w:val="14"/>
              </w:rPr>
              <w:t>ML (SMOTE)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2653A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≥0.12.0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32505D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MIT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41E802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scikit-learn-contrib; well-tested SMOTE; quarterly releases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E880A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5D661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Custom SMOTE, ADASYN</w:t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E0C8B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Pin; follows sklearn cycle</w:t>
            </w:r>
          </w:p>
        </w:tc>
      </w:tr>
      <w:tr w:rsidR="00AC572F" w14:paraId="6F9F4802" w14:textId="77777777">
        <w:tc>
          <w:tcPr>
            <w:tcW w:w="13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6F389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FastAPI</w:t>
            </w:r>
          </w:p>
        </w:tc>
        <w:tc>
          <w:tcPr>
            <w:tcW w:w="8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29A96F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Web Framework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5D8EC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≥0.110.0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6FA828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MIT</w:t>
            </w:r>
          </w:p>
        </w:tc>
        <w:tc>
          <w:tcPr>
            <w:tcW w:w="1526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2D8E0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Active maintenance; Starlette/Pydantic; production-proven</w:t>
            </w:r>
          </w:p>
        </w:tc>
        <w:tc>
          <w:tcPr>
            <w:tcW w:w="7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6FB1D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L</w:t>
            </w:r>
          </w:p>
        </w:tc>
        <w:tc>
          <w:tcPr>
            <w:tcW w:w="9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C7D8D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Flask, Django REST</w:t>
            </w:r>
          </w:p>
        </w:tc>
        <w:tc>
          <w:tcPr>
            <w:tcW w:w="2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940FE" w14:textId="77777777" w:rsidR="00AC572F" w:rsidRDefault="00000000">
            <w:pPr>
              <w:spacing w:after="20" w:line="230" w:lineRule="auto"/>
            </w:pPr>
            <w:r>
              <w:rPr>
                <w:b w:val="0"/>
                <w:i w:val="0"/>
                <w:iCs/>
                <w:color w:val="616161"/>
                <w:sz w:val="14"/>
                <w:szCs w:val="14"/>
              </w:rPr>
              <w:t>Pin version; monitor advisories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ReportLab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PDF Generation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≥4.1.0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BSD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Enterprise PDF (20+ years); occasional CVE patches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WeasyPrint, FPDF2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Pin; scan with pip-audit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Frontend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^18.3.0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MIT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Meta-maintained; dedicated security team; 220k+ stars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Vue, Svelte, Angular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Pin major; monitor security blog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Vite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Build Tool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^5.3.0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MIT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Evan You / team; fast HMR; dev-only (not in runtime)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Webpack, Turbopack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Pin; monitor GitHub advisories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Charting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^2.12.0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MIT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React-specific on D3; ROC, PR, SHAP charts; 23k+ stars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@nivo, Plotly, Chart.js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Pin; monitor npm advisories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Axios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HTTP Client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^1.7.0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MIT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Frontend API client; 120s timeout; /api baseURL; 100k+ stars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fetch API, ky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Pin; monitor npm advisories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python:3.12-slim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Docker Base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3.12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PSF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Official image; regular security rebuilds; slim variant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python:3.12-alpine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Rebuild on advisories; scan with Trivy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UCI ML Repository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Data Source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N/A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CC BY 4.0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Peer-reviewed; UC Irvine since 1987; benchmark standard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Kaggle, PhysioNet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Check for corrections/retractions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Kaggle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Data Source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N/A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Various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Community-sourced; quality varies; cross-reference papers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UCI, govt data portals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Verify license per dataset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PhysioNet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Data Source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N/A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PhysioNet License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Credentialed access; HIPAA de-identified; peer-reviewed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MIMIC alternatives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Monitor for corrections</w:t>
            </w:r>
          </w:p>
        </w:tc>
      </w:tr>
      <w:tr>
        <w:tc>
          <w:tcPr>
            <w:tcW w:type="dxa" w:w="1259"/>
          </w:tcPr>
          <w:p>
            <w:r/>
            <w:r>
              <w:rPr>
                <w:sz w:val="18"/>
              </w:rPr>
              <w:t>Harvard Dataverse</w:t>
            </w:r>
          </w:p>
        </w:tc>
        <w:tc>
          <w:tcPr>
            <w:tcW w:type="dxa" w:w="821"/>
          </w:tcPr>
          <w:p>
            <w:r/>
            <w:r>
              <w:rPr>
                <w:sz w:val="18"/>
              </w:rPr>
              <w:t>Data Source</w:t>
            </w:r>
          </w:p>
        </w:tc>
        <w:tc>
          <w:tcPr>
            <w:tcW w:type="dxa" w:w="861"/>
          </w:tcPr>
          <w:p>
            <w:r/>
            <w:r>
              <w:rPr>
                <w:sz w:val="18"/>
              </w:rPr>
              <w:t>N/A</w:t>
            </w:r>
          </w:p>
        </w:tc>
        <w:tc>
          <w:tcPr>
            <w:tcW w:type="dxa" w:w="888"/>
          </w:tcPr>
          <w:p>
            <w:r/>
            <w:r>
              <w:rPr>
                <w:sz w:val="18"/>
              </w:rPr>
              <w:t>CC BY 4.0</w:t>
            </w:r>
          </w:p>
        </w:tc>
        <w:tc>
          <w:tcPr>
            <w:tcW w:type="dxa" w:w="1418"/>
          </w:tcPr>
          <w:p>
            <w:r/>
            <w:r>
              <w:rPr>
                <w:sz w:val="18"/>
              </w:rPr>
              <w:t>DOI-based; Harvard-maintained; persistent identifiers</w:t>
            </w:r>
          </w:p>
        </w:tc>
        <w:tc>
          <w:tcPr>
            <w:tcW w:type="dxa" w:w="810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1131"/>
          </w:tcPr>
          <w:p>
            <w:r/>
            <w:r>
              <w:rPr>
                <w:sz w:val="18"/>
              </w:rPr>
              <w:t>ISIC Archive, Kaggle</w:t>
            </w:r>
          </w:p>
        </w:tc>
        <w:tc>
          <w:tcPr>
            <w:tcW w:type="dxa" w:w="1838"/>
          </w:tcPr>
          <w:p>
            <w:r/>
            <w:r>
              <w:rPr>
                <w:sz w:val="18"/>
              </w:rPr>
              <w:t>Monitor via DOI resolver</w:t>
            </w:r>
          </w:p>
        </w:tc>
      </w:tr>
    </w:tbl>
    <w:sectPr w:rsidR="000C5FE2">
      <w:headerReference w:type="default" r:id="rId7"/>
      <w:footerReference w:type="default" r:id="rId8"/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77656" w14:textId="77777777" w:rsidR="00815C15" w:rsidRDefault="00815C15">
      <w:r>
        <w:separator/>
      </w:r>
    </w:p>
  </w:endnote>
  <w:endnote w:type="continuationSeparator" w:id="0">
    <w:p w14:paraId="1050B95F" w14:textId="77777777" w:rsidR="00815C15" w:rsidRDefault="00815C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78FDC" w14:textId="77777777" w:rsidR="00AC572F" w:rsidRDefault="00000000">
    <w:pPr>
      <w:jc w:val="center"/>
    </w:pPr>
    <w:r>
      <w:rPr>
        <w:color w:val="616161"/>
        <w:sz w:val="16"/>
        <w:szCs w:val="16"/>
      </w:rPr>
      <w:t xml:space="preserve">— </w:t>
    </w:r>
    <w:r>
      <w:rPr>
        <w:color w:val="616161"/>
        <w:sz w:val="16"/>
        <w:szCs w:val="16"/>
      </w:rPr>
      <w:fldChar w:fldCharType="begin"/>
    </w:r>
    <w:r>
      <w:rPr>
        <w:color w:val="616161"/>
        <w:sz w:val="16"/>
        <w:szCs w:val="16"/>
      </w:rPr>
      <w:instrText>PAGE</w:instrText>
    </w:r>
    <w:r>
      <w:rPr>
        <w:color w:val="616161"/>
        <w:sz w:val="16"/>
        <w:szCs w:val="16"/>
      </w:rPr>
      <w:fldChar w:fldCharType="separate"/>
    </w:r>
    <w:r w:rsidR="00FA1877">
      <w:rPr>
        <w:noProof/>
        <w:color w:val="616161"/>
        <w:sz w:val="16"/>
        <w:szCs w:val="16"/>
      </w:rPr>
      <w:t>1</w:t>
    </w:r>
    <w:r>
      <w:rPr>
        <w:color w:val="616161"/>
        <w:sz w:val="16"/>
        <w:szCs w:val="16"/>
      </w:rPr>
      <w:fldChar w:fldCharType="end"/>
    </w:r>
    <w:r>
      <w:rPr>
        <w:color w:val="616161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E003B" w14:textId="77777777" w:rsidR="00815C15" w:rsidRDefault="00815C15">
      <w:r>
        <w:separator/>
      </w:r>
    </w:p>
  </w:footnote>
  <w:footnote w:type="continuationSeparator" w:id="0">
    <w:p w14:paraId="6FCB7C15" w14:textId="77777777" w:rsidR="00815C15" w:rsidRDefault="00815C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47B86" w14:textId="2B36D89D" w:rsidR="00AC572F" w:rsidRDefault="00000000">
    <w:pPr>
      <w:jc w:val="right"/>
    </w:pPr>
    <w:r>
      <w:rPr>
        <w:i/>
        <w:iCs/>
        <w:color w:val="616161"/>
        <w:sz w:val="16"/>
        <w:szCs w:val="16"/>
      </w:rPr>
      <w:t xml:space="preserve">SENG </w:t>
    </w:r>
    <w:r w:rsidR="00FA1877">
      <w:rPr>
        <w:i/>
        <w:iCs/>
        <w:color w:val="616161"/>
        <w:sz w:val="16"/>
        <w:szCs w:val="16"/>
      </w:rPr>
      <w:t>430</w:t>
    </w:r>
    <w:r>
      <w:rPr>
        <w:i/>
        <w:iCs/>
        <w:color w:val="616161"/>
        <w:sz w:val="16"/>
        <w:szCs w:val="16"/>
      </w:rPr>
      <w:t xml:space="preserve"> — ISO/IEC 42001 Compliance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C3635"/>
    <w:multiLevelType w:val="hybridMultilevel"/>
    <w:tmpl w:val="9BC432DE"/>
    <w:lvl w:ilvl="0" w:tplc="EFF06E90">
      <w:start w:val="1"/>
      <w:numFmt w:val="bullet"/>
      <w:lvlText w:val="●"/>
      <w:lvlJc w:val="left"/>
      <w:pPr>
        <w:ind w:left="720" w:hanging="360"/>
      </w:pPr>
    </w:lvl>
    <w:lvl w:ilvl="1" w:tplc="2C10C930">
      <w:start w:val="1"/>
      <w:numFmt w:val="bullet"/>
      <w:lvlText w:val="○"/>
      <w:lvlJc w:val="left"/>
      <w:pPr>
        <w:ind w:left="1440" w:hanging="360"/>
      </w:pPr>
    </w:lvl>
    <w:lvl w:ilvl="2" w:tplc="BA6441C8">
      <w:start w:val="1"/>
      <w:numFmt w:val="bullet"/>
      <w:lvlText w:val="■"/>
      <w:lvlJc w:val="left"/>
      <w:pPr>
        <w:ind w:left="2160" w:hanging="360"/>
      </w:pPr>
    </w:lvl>
    <w:lvl w:ilvl="3" w:tplc="187236C0">
      <w:start w:val="1"/>
      <w:numFmt w:val="bullet"/>
      <w:lvlText w:val="●"/>
      <w:lvlJc w:val="left"/>
      <w:pPr>
        <w:ind w:left="2880" w:hanging="360"/>
      </w:pPr>
    </w:lvl>
    <w:lvl w:ilvl="4" w:tplc="C720CAB2">
      <w:start w:val="1"/>
      <w:numFmt w:val="bullet"/>
      <w:lvlText w:val="○"/>
      <w:lvlJc w:val="left"/>
      <w:pPr>
        <w:ind w:left="3600" w:hanging="360"/>
      </w:pPr>
    </w:lvl>
    <w:lvl w:ilvl="5" w:tplc="88C0B154">
      <w:start w:val="1"/>
      <w:numFmt w:val="bullet"/>
      <w:lvlText w:val="■"/>
      <w:lvlJc w:val="left"/>
      <w:pPr>
        <w:ind w:left="4320" w:hanging="360"/>
      </w:pPr>
    </w:lvl>
    <w:lvl w:ilvl="6" w:tplc="7A2C8932">
      <w:start w:val="1"/>
      <w:numFmt w:val="bullet"/>
      <w:lvlText w:val="●"/>
      <w:lvlJc w:val="left"/>
      <w:pPr>
        <w:ind w:left="5040" w:hanging="360"/>
      </w:pPr>
    </w:lvl>
    <w:lvl w:ilvl="7" w:tplc="E65E2664">
      <w:start w:val="1"/>
      <w:numFmt w:val="bullet"/>
      <w:lvlText w:val="●"/>
      <w:lvlJc w:val="left"/>
      <w:pPr>
        <w:ind w:left="5760" w:hanging="360"/>
      </w:pPr>
    </w:lvl>
    <w:lvl w:ilvl="8" w:tplc="43963B8E">
      <w:start w:val="1"/>
      <w:numFmt w:val="bullet"/>
      <w:lvlText w:val="●"/>
      <w:lvlJc w:val="left"/>
      <w:pPr>
        <w:ind w:left="6480" w:hanging="360"/>
      </w:pPr>
    </w:lvl>
  </w:abstractNum>
  <w:num w:numId="1" w16cid:durableId="16641217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72F"/>
    <w:rsid w:val="00024DEF"/>
    <w:rsid w:val="0004720E"/>
    <w:rsid w:val="00054B47"/>
    <w:rsid w:val="000C5FE2"/>
    <w:rsid w:val="000E33BF"/>
    <w:rsid w:val="00107A69"/>
    <w:rsid w:val="00162922"/>
    <w:rsid w:val="001B7B2C"/>
    <w:rsid w:val="002E6C5E"/>
    <w:rsid w:val="00737028"/>
    <w:rsid w:val="00815C15"/>
    <w:rsid w:val="00820CCB"/>
    <w:rsid w:val="00890EF2"/>
    <w:rsid w:val="008F7059"/>
    <w:rsid w:val="00912235"/>
    <w:rsid w:val="00AC572F"/>
    <w:rsid w:val="00D912BD"/>
    <w:rsid w:val="00D95E0B"/>
    <w:rsid w:val="00FA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813C68"/>
  <w15:docId w15:val="{73BCDD9D-3A99-4101-BBB2-1E616FE85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B5E20"/>
      <w:sz w:val="28"/>
      <w:szCs w:val="28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83593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A187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1877"/>
  </w:style>
  <w:style w:type="paragraph" w:styleId="Footer">
    <w:name w:val="footer"/>
    <w:basedOn w:val="Normal"/>
    <w:link w:val="FooterChar"/>
    <w:uiPriority w:val="99"/>
    <w:unhideWhenUsed/>
    <w:rsid w:val="00FA187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1877"/>
  </w:style>
  <w:style w:type="paragraph" w:styleId="Revision">
    <w:name w:val="Revision"/>
    <w:hidden/>
    <w:uiPriority w:val="99"/>
    <w:semiHidden/>
    <w:rsid w:val="000E33BF"/>
  </w:style>
  <w:style w:type="character" w:styleId="HTMLCode">
    <w:name w:val="HTML Code"/>
    <w:basedOn w:val="DefaultParagraphFont"/>
    <w:uiPriority w:val="99"/>
    <w:semiHidden/>
    <w:unhideWhenUsed/>
    <w:rsid w:val="000E33BF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12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12235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122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22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22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22</Pages>
  <Words>6611</Words>
  <Characters>37689</Characters>
  <Application>Microsoft Office Word</Application>
  <DocSecurity>0</DocSecurity>
  <Lines>314</Lines>
  <Paragraphs>88</Paragraphs>
  <ScaleCrop>false</ScaleCrop>
  <Company/>
  <LinksUpToDate>false</LinksUpToDate>
  <CharactersWithSpaces>44212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sevgi koyuncu</cp:lastModifiedBy>
  <cp:revision>4</cp:revision>
  <dcterms:created xsi:type="dcterms:W3CDTF">2026-03-25T07:36:00Z</dcterms:created>
  <dcterms:modified xsi:type="dcterms:W3CDTF">2026-03-25T11:43:00Z</dcterms:modified>
</cp:coreProperties>
</file>