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b w:val="0"/>
          <w:i w:val="0"/>
          <w:color w:val="9E9E9E"/>
          <w:sz w:val="72"/>
        </w:rPr>
        <w:t>H</w:t>
      </w:r>
    </w:p>
    <w:p>
      <w:pPr>
        <w:spacing w:after="80"/>
        <w:jc w:val="center"/>
      </w:pPr>
      <w:r>
        <w:rPr>
          <w:b/>
          <w:i w:val="0"/>
          <w:color w:val="2E7D32"/>
          <w:sz w:val="56"/>
        </w:rPr>
        <w:t>HealthWithSevgi</w:t>
      </w:r>
    </w:p>
    <w:p>
      <w:pPr>
        <w:spacing w:after="240"/>
        <w:jc w:val="center"/>
      </w:pPr>
      <w:r>
        <w:rPr>
          <w:b/>
          <w:i w:val="0"/>
          <w:color w:val="2E7D32"/>
          <w:sz w:val="32"/>
        </w:rPr>
        <w:t>Sprint 3 — Screenshot-Based Demonstration Report</w:t>
      </w:r>
    </w:p>
    <w:p>
      <w:pPr>
        <w:spacing w:after="40"/>
        <w:jc w:val="center"/>
      </w:pPr>
      <w:r>
        <w:rPr>
          <w:b w:val="0"/>
          <w:i w:val="0"/>
        </w:rPr>
        <w:t>Cankaya University · SENG 430 · Software Quality Assurance · Spring 2025-2026</w:t>
      </w:r>
    </w:p>
    <w:p>
      <w:pPr>
        <w:spacing w:after="240"/>
        <w:jc w:val="center"/>
      </w:pPr>
      <w:r>
        <w:rPr>
          <w:b w:val="0"/>
          <w:i w:val="0"/>
        </w:rPr>
        <w:t>Group X  |  Instructor: Dr. Sevgi Koyuncu Tunç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 w:val="clear"/>
          </w:tcPr>
          <w:p>
            <w:r>
              <w:rPr>
                <w:b/>
                <w:color w:val="1B5E20"/>
              </w:rPr>
              <w:t>Role</w:t>
            </w:r>
          </w:p>
        </w:tc>
        <w:tc>
          <w:tcPr>
            <w:tcW w:type="dxa" w:w="2880"/>
            <w:shd w:fill="E8F5E9" w:val="clear"/>
          </w:tcPr>
          <w:p>
            <w:r>
              <w:rPr>
                <w:b/>
                <w:color w:val="1B5E20"/>
              </w:rPr>
              <w:t>Name</w:t>
            </w:r>
          </w:p>
        </w:tc>
        <w:tc>
          <w:tcPr>
            <w:tcW w:type="dxa" w:w="2880"/>
            <w:shd w:fill="E8F5E9" w:val="clear"/>
          </w:tcPr>
          <w:p>
            <w:r>
              <w:rPr>
                <w:b/>
                <w:color w:val="1B5E20"/>
              </w:rPr>
              <w:t>Student ID</w:t>
            </w:r>
          </w:p>
        </w:tc>
      </w:tr>
      <w:tr>
        <w:tc>
          <w:tcPr>
            <w:tcW w:type="dxa" w:w="2880"/>
          </w:tcPr>
          <w:p>
            <w:r>
              <w:t>Product Owner + Developer</w:t>
            </w:r>
          </w:p>
        </w:tc>
        <w:tc>
          <w:tcPr>
            <w:tcW w:type="dxa" w:w="2880"/>
          </w:tcPr>
          <w:p>
            <w:r>
              <w:t>Efe Çelik</w:t>
            </w:r>
          </w:p>
        </w:tc>
        <w:tc>
          <w:tcPr>
            <w:tcW w:type="dxa" w:w="2880"/>
          </w:tcPr>
          <w:p>
            <w:r>
              <w:t>202128016</w:t>
            </w:r>
          </w:p>
        </w:tc>
      </w:tr>
      <w:tr>
        <w:tc>
          <w:tcPr>
            <w:tcW w:type="dxa" w:w="2880"/>
          </w:tcPr>
          <w:p>
            <w:r>
              <w:t>UX Designer</w:t>
            </w:r>
          </w:p>
        </w:tc>
        <w:tc>
          <w:tcPr>
            <w:tcW w:type="dxa" w:w="2880"/>
          </w:tcPr>
          <w:p>
            <w:r>
              <w:t>Burak Aydoğmuş</w:t>
            </w:r>
          </w:p>
        </w:tc>
        <w:tc>
          <w:tcPr>
            <w:tcW w:type="dxa" w:w="2880"/>
          </w:tcPr>
          <w:p>
            <w:r>
              <w:t>202128028</w:t>
            </w:r>
          </w:p>
        </w:tc>
      </w:tr>
      <w:tr>
        <w:tc>
          <w:tcPr>
            <w:tcW w:type="dxa" w:w="2880"/>
          </w:tcPr>
          <w:p>
            <w:r>
              <w:t>Lead Developer + Scrum Master</w:t>
            </w:r>
          </w:p>
        </w:tc>
        <w:tc>
          <w:tcPr>
            <w:tcW w:type="dxa" w:w="2880"/>
          </w:tcPr>
          <w:p>
            <w:r>
              <w:t>Batuhan Bayazıt</w:t>
            </w:r>
          </w:p>
        </w:tc>
        <w:tc>
          <w:tcPr>
            <w:tcW w:type="dxa" w:w="2880"/>
          </w:tcPr>
          <w:p>
            <w:r>
              <w:t>202228008</w:t>
            </w:r>
          </w:p>
        </w:tc>
      </w:tr>
      <w:tr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Berat Mert Gökkaya</w:t>
            </w:r>
          </w:p>
        </w:tc>
        <w:tc>
          <w:tcPr>
            <w:tcW w:type="dxa" w:w="2880"/>
          </w:tcPr>
          <w:p>
            <w:r>
              <w:t>202228019</w:t>
            </w:r>
          </w:p>
        </w:tc>
      </w:tr>
      <w:tr>
        <w:tc>
          <w:tcPr>
            <w:tcW w:type="dxa" w:w="2880"/>
          </w:tcPr>
          <w:p>
            <w:r>
              <w:t>QA / Documentation Lead</w:t>
            </w:r>
          </w:p>
        </w:tc>
        <w:tc>
          <w:tcPr>
            <w:tcW w:type="dxa" w:w="2880"/>
          </w:tcPr>
          <w:p>
            <w:r>
              <w:t>Berfin Duru Alkan</w:t>
            </w:r>
          </w:p>
        </w:tc>
        <w:tc>
          <w:tcPr>
            <w:tcW w:type="dxa" w:w="2880"/>
          </w:tcPr>
          <w:p>
            <w:r>
              <w:t>202228005</w:t>
            </w:r>
          </w:p>
        </w:tc>
      </w:tr>
    </w:tbl>
    <w:p/>
    <w:p>
      <w:pPr>
        <w:spacing w:after="40"/>
        <w:jc w:val="center"/>
      </w:pPr>
      <w:r>
        <w:rPr>
          <w:b/>
          <w:i w:val="0"/>
        </w:rPr>
        <w:t>Date: March 30, 2026</w:t>
      </w:r>
    </w:p>
    <w:p>
      <w:pPr>
        <w:jc w:val="center"/>
      </w:pPr>
      <w:r>
        <w:rPr>
          <w:b/>
        </w:rPr>
        <w:t xml:space="preserve">GitHub: </w:t>
      </w:r>
      <w:r>
        <w:t>github.com/EudaLabs/HealthWithSevgi</w:t>
      </w:r>
    </w:p>
    <w:p>
      <w:pPr>
        <w:jc w:val="center"/>
      </w:pPr>
      <w:r>
        <w:rPr>
          <w:b/>
        </w:rPr>
        <w:t xml:space="preserve">Live Demo: </w:t>
      </w:r>
      <w:r>
        <w:t>huggingface.co/spaces/0xBatuhan4/HealthWithSevgi</w:t>
      </w:r>
    </w:p>
    <w:p>
      <w:r>
        <w:br w:type="page"/>
      </w:r>
    </w:p>
    <w:p>
      <w:pPr>
        <w:pStyle w:val="Heading1"/>
      </w:pPr>
      <w:r>
        <w:rPr>
          <w:color w:val="1B5E20"/>
        </w:rPr>
        <w:t>Table of Contents</w:t>
      </w:r>
    </w:p>
    <w:p>
      <w:pPr>
        <w:pBdr>
          <w:bottom w:val="single" w:sz="12" w:space="1" w:color="2E7D32"/>
        </w:pBdr>
      </w:pPr>
    </w:p>
    <w:p>
      <w:pPr>
        <w:spacing w:after="40"/>
      </w:pPr>
      <w:r>
        <w:rPr>
          <w:b/>
          <w:color w:val="1B5E20"/>
        </w:rPr>
        <w:t>Sprint 3 Burndown Chart (Jira)</w:t>
      </w:r>
    </w:p>
    <w:p>
      <w:pPr>
        <w:spacing w:after="40"/>
      </w:pPr>
      <w:r>
        <w:rPr>
          <w:b/>
          <w:color w:val="1B5E20"/>
        </w:rPr>
        <w:t>4. Step 4 — Model Selection &amp; Parameter Tuning</w:t>
      </w:r>
    </w:p>
    <w:p>
      <w:pPr>
        <w:spacing w:after="40"/>
        <w:ind w:left="850"/>
      </w:pPr>
      <w:r>
        <w:rPr>
          <w:b w:val="0"/>
        </w:rPr>
        <w:t>4.1 Model Tab Bar (8 Algorithms)</w:t>
      </w:r>
    </w:p>
    <w:p>
      <w:pPr>
        <w:spacing w:after="40"/>
        <w:ind w:left="850"/>
      </w:pPr>
      <w:r>
        <w:rPr>
          <w:b w:val="0"/>
        </w:rPr>
        <w:t>4.2 Parameter Controls per Model</w:t>
      </w:r>
    </w:p>
    <w:p>
      <w:pPr>
        <w:spacing w:after="40"/>
        <w:ind w:left="850"/>
      </w:pPr>
      <w:r>
        <w:rPr>
          <w:b w:val="0"/>
        </w:rPr>
        <w:t>4.3 Clinical Tooltips (PARAM_HINTS)</w:t>
      </w:r>
    </w:p>
    <w:p>
      <w:pPr>
        <w:spacing w:after="40"/>
        <w:ind w:left="850"/>
      </w:pPr>
      <w:r>
        <w:rPr>
          <w:b w:val="0"/>
        </w:rPr>
        <w:t>4.4 Auto-Retrain &amp; Debounce</w:t>
      </w:r>
    </w:p>
    <w:p>
      <w:pPr>
        <w:spacing w:after="40"/>
        <w:ind w:left="850"/>
      </w:pPr>
      <w:r>
        <w:rPr>
          <w:b w:val="0"/>
        </w:rPr>
        <w:t>4.5 KNN Decision Boundaries Visualization</w:t>
      </w:r>
    </w:p>
    <w:p>
      <w:pPr>
        <w:spacing w:after="40"/>
        <w:ind w:left="850"/>
      </w:pPr>
      <w:r>
        <w:rPr>
          <w:b w:val="0"/>
        </w:rPr>
        <w:t>4.6 All Models Training Successfully</w:t>
      </w:r>
    </w:p>
    <w:p>
      <w:pPr>
        <w:spacing w:after="40"/>
        <w:ind w:left="850"/>
      </w:pPr>
      <w:r>
        <w:rPr>
          <w:b w:val="0"/>
        </w:rPr>
        <w:t>4.7 Model Comparison Table</w:t>
      </w:r>
    </w:p>
    <w:p>
      <w:pPr>
        <w:spacing w:after="40"/>
      </w:pPr>
      <w:r>
        <w:rPr>
          <w:b/>
          <w:color w:val="1B5E20"/>
        </w:rPr>
        <w:t>5. Step 5 — Results &amp; Performance Metrics</w:t>
      </w:r>
    </w:p>
    <w:p>
      <w:pPr>
        <w:spacing w:after="40"/>
        <w:ind w:left="850"/>
      </w:pPr>
      <w:r>
        <w:rPr>
          <w:b w:val="0"/>
        </w:rPr>
        <w:t>5.1 Six Performance Metric Cards</w:t>
      </w:r>
    </w:p>
    <w:p>
      <w:pPr>
        <w:spacing w:after="40"/>
        <w:ind w:left="850"/>
      </w:pPr>
      <w:r>
        <w:rPr>
          <w:b w:val="0"/>
        </w:rPr>
        <w:t>5.2 Confusion Matrix (2×2)</w:t>
      </w:r>
    </w:p>
    <w:p>
      <w:pPr>
        <w:spacing w:after="40"/>
        <w:ind w:left="850"/>
      </w:pPr>
      <w:r>
        <w:rPr>
          <w:b w:val="0"/>
        </w:rPr>
        <w:t>5.3 Clinical Alert Banners (FN/FP)</w:t>
      </w:r>
    </w:p>
    <w:p>
      <w:pPr>
        <w:spacing w:after="40"/>
        <w:ind w:left="850"/>
      </w:pPr>
      <w:r>
        <w:rPr>
          <w:b w:val="0"/>
        </w:rPr>
        <w:t>5.4 ROC Curve &amp; AUC</w:t>
      </w:r>
    </w:p>
    <w:p>
      <w:pPr>
        <w:spacing w:after="40"/>
        <w:ind w:left="850"/>
      </w:pPr>
      <w:r>
        <w:rPr>
          <w:b w:val="0"/>
        </w:rPr>
        <w:t>5.5 Model Comparison</w:t>
      </w:r>
    </w:p>
    <w:p>
      <w:pPr>
        <w:spacing w:after="40"/>
        <w:ind w:left="850"/>
      </w:pPr>
      <w:r>
        <w:rPr>
          <w:b w:val="0"/>
        </w:rPr>
        <w:t>5.6 Multi-Domain Demonstration</w:t>
      </w:r>
    </w:p>
    <w:p>
      <w:r>
        <w:br w:type="page"/>
      </w:r>
    </w:p>
    <w:p>
      <w:pPr>
        <w:pStyle w:val="Heading2"/>
      </w:pPr>
      <w:r>
        <w:rPr>
          <w:color w:val="1B5E20"/>
        </w:rPr>
        <w:t>Sprint 3 Burndown Chart (Jira)</w:t>
      </w:r>
    </w:p>
    <w:p>
      <w:pPr>
        <w:spacing w:before="160" w:after="160"/>
        <w:pBdr>
          <w:left w:val="single" w:sz="24" w:space="8" w:color="2E7D32"/>
        </w:pBdr>
      </w:pPr>
      <w:r>
        <w:rPr>
          <w:sz w:val="20"/>
        </w:rPr>
        <w:t>Sprint 3 duration: March 19–30, 2026. Scope: Step 4 (Model &amp; Parameters) and Step 5 (Results). 90 total issues across the sprint board (56 Stories, 29 Tasks, 5 Bugs). 28 story points completed, 62 story points remaining. Sprint scope increased by +62 points during the sprint due to QA test case tickets being added mid-sprint. 49 issues marked Done, 34 In Progress (QA verification), 4 Idea, 3 To Do (Sprint 4).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71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-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Sprint 3 Burndown Chart — Jira Board (March 19–30, 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D32" w:val="clea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E7D32" w:val="clea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Sprint Duration</w:t>
            </w:r>
          </w:p>
        </w:tc>
        <w:tc>
          <w:tcPr>
            <w:tcW w:type="dxa" w:w="4320"/>
          </w:tcPr>
          <w:p>
            <w:r>
              <w:t>March 19 – March 30, 2026</w:t>
            </w:r>
          </w:p>
        </w:tc>
      </w:tr>
      <w:tr>
        <w:tc>
          <w:tcPr>
            <w:tcW w:type="dxa" w:w="4320"/>
            <w:shd w:fill="F1F8E9" w:val="clear"/>
          </w:tcPr>
          <w:p>
            <w:r>
              <w:t>Total Issues</w:t>
            </w:r>
          </w:p>
        </w:tc>
        <w:tc>
          <w:tcPr>
            <w:tcW w:type="dxa" w:w="4320"/>
            <w:shd w:fill="F1F8E9" w:val="clear"/>
          </w:tcPr>
          <w:p>
            <w:r>
              <w:t>90 (56 Stories, 29 Tasks, 5 Bugs)</w:t>
            </w:r>
          </w:p>
        </w:tc>
      </w:tr>
      <w:tr>
        <w:tc>
          <w:tcPr>
            <w:tcW w:type="dxa" w:w="4320"/>
          </w:tcPr>
          <w:p>
            <w:r>
              <w:t>Points Completed</w:t>
            </w:r>
          </w:p>
        </w:tc>
        <w:tc>
          <w:tcPr>
            <w:tcW w:type="dxa" w:w="4320"/>
          </w:tcPr>
          <w:p>
            <w:r>
              <w:t>28 SP</w:t>
            </w:r>
          </w:p>
        </w:tc>
      </w:tr>
      <w:tr>
        <w:tc>
          <w:tcPr>
            <w:tcW w:type="dxa" w:w="4320"/>
            <w:shd w:fill="F1F8E9" w:val="clear"/>
          </w:tcPr>
          <w:p>
            <w:r>
              <w:t>Points Remaining</w:t>
            </w:r>
          </w:p>
        </w:tc>
        <w:tc>
          <w:tcPr>
            <w:tcW w:type="dxa" w:w="4320"/>
            <w:shd w:fill="F1F8E9" w:val="clear"/>
          </w:tcPr>
          <w:p>
            <w:r>
              <w:t>62 SP</w:t>
            </w:r>
          </w:p>
        </w:tc>
      </w:tr>
      <w:tr>
        <w:tc>
          <w:tcPr>
            <w:tcW w:type="dxa" w:w="4320"/>
          </w:tcPr>
          <w:p>
            <w:r>
              <w:t>Scope Change</w:t>
            </w:r>
          </w:p>
        </w:tc>
        <w:tc>
          <w:tcPr>
            <w:tcW w:type="dxa" w:w="4320"/>
          </w:tcPr>
          <w:p>
            <w:r>
              <w:t>+62 SP (53 tickets added, 3 removed, 33 modified)</w:t>
            </w:r>
          </w:p>
        </w:tc>
      </w:tr>
      <w:tr>
        <w:tc>
          <w:tcPr>
            <w:tcW w:type="dxa" w:w="4320"/>
            <w:shd w:fill="F1F8E9" w:val="clear"/>
          </w:tcPr>
          <w:p>
            <w:r>
              <w:t>Done</w:t>
            </w:r>
          </w:p>
        </w:tc>
        <w:tc>
          <w:tcPr>
            <w:tcW w:type="dxa" w:w="4320"/>
            <w:shd w:fill="F1F8E9" w:val="clear"/>
          </w:tcPr>
          <w:p>
            <w:r>
              <w:t>49 issues</w:t>
            </w:r>
          </w:p>
        </w:tc>
      </w:tr>
      <w:tr>
        <w:tc>
          <w:tcPr>
            <w:tcW w:type="dxa" w:w="4320"/>
          </w:tcPr>
          <w:p>
            <w:r>
              <w:t>In Progress</w:t>
            </w:r>
          </w:p>
        </w:tc>
        <w:tc>
          <w:tcPr>
            <w:tcW w:type="dxa" w:w="4320"/>
          </w:tcPr>
          <w:p>
            <w:r>
              <w:t>34 issues — QA test case verification</w:t>
            </w:r>
          </w:p>
        </w:tc>
      </w:tr>
      <w:tr>
        <w:tc>
          <w:tcPr>
            <w:tcW w:type="dxa" w:w="4320"/>
            <w:shd w:fill="F1F8E9" w:val="clear"/>
          </w:tcPr>
          <w:p>
            <w:r>
              <w:t>Idea / To Do</w:t>
            </w:r>
          </w:p>
        </w:tc>
        <w:tc>
          <w:tcPr>
            <w:tcW w:type="dxa" w:w="4320"/>
            <w:shd w:fill="F1F8E9" w:val="clear"/>
          </w:tcPr>
          <w:p>
            <w:r>
              <w:t>4 + 3 issues (Sprint 4 backlog)</w:t>
            </w:r>
          </w:p>
        </w:tc>
      </w:tr>
      <w:tr>
        <w:tc>
          <w:tcPr>
            <w:tcW w:type="dxa" w:w="4320"/>
          </w:tcPr>
          <w:p>
            <w:r>
              <w:t>Dev Completion</w:t>
            </w:r>
          </w:p>
        </w:tc>
        <w:tc>
          <w:tcPr>
            <w:tcW w:type="dxa" w:w="4320"/>
          </w:tcPr>
          <w:p>
            <w:r>
              <w:t>All Step 4 &amp; Step 5 features delivered</w:t>
            </w:r>
          </w:p>
        </w:tc>
      </w:tr>
    </w:tbl>
    <w:p>
      <w:pPr>
        <w:spacing w:after="240"/>
      </w:pPr>
      <w:r>
        <w:rPr>
          <w:b w:val="0"/>
          <w:i/>
          <w:sz w:val="20"/>
        </w:rPr>
        <w:br/>
        <w:t>Note: The burndown chart shows a scope increase mid-sprint because 46 QA test case tickets (TC-S3-001 through TC-S3-046) were created and added to the sprint during the testing phase. This is expected scope growth — all development work for Step 4 and Step 5 was completed on schedule. The 34 "In Progress" items are QA verification tickets; all 46 test cases passed testing on the live HuggingFace deployment. 3 "To Do" items belong to Sprint 4 scope (Step 6 — Explainability).</w:t>
      </w:r>
    </w:p>
    <w:p>
      <w:r>
        <w:br w:type="page"/>
      </w:r>
    </w:p>
    <w:p>
      <w:pPr>
        <w:pStyle w:val="Heading1"/>
      </w:pPr>
      <w:r>
        <w:rPr>
          <w:color w:val="1B5E20"/>
        </w:rPr>
        <w:t>4. Step 4 — Model Selection &amp; Parameter Tuning</w:t>
      </w:r>
    </w:p>
    <w:p>
      <w:pPr>
        <w:spacing w:after="160"/>
      </w:pPr>
      <w:r>
        <w:rPr>
          <w:b w:val="0"/>
          <w:i w:val="0"/>
        </w:rPr>
        <w:t>8 ML algorithms with interactive hyperparameter controls, clinical tooltips, auto-retrain with debounce, and KNN decision boundary visualization. Demonstrated on Cardiology (heart failure) domain.</w:t>
      </w:r>
    </w:p>
    <w:p>
      <w:pPr>
        <w:pStyle w:val="Heading2"/>
      </w:pPr>
      <w:r>
        <w:rPr>
          <w:color w:val="1B5E20"/>
        </w:rPr>
        <w:t>4.1 Model Tab Bar (8 Algorithms)</w:t>
      </w:r>
    </w:p>
    <w:p>
      <w:pPr>
        <w:spacing w:before="160" w:after="160"/>
        <w:pBdr>
          <w:left w:val="single" w:sz="24" w:space="8" w:color="2E7D32"/>
        </w:pBdr>
      </w:pPr>
      <w:r>
        <w:rPr>
          <w:sz w:val="20"/>
        </w:rPr>
        <w:t>8 model tabs: KNN, SVM, Decision Tree, Random Forest, Logistic Regression, Naive Bayes, XGBoost, LightGBM. Sprint spec required minimum 6; implementation exceeds requirement with 8 models.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3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Step 4 opens with 8 model tabs, Random Forest selected by default.</w:t>
      </w:r>
    </w:p>
    <w:p>
      <w:pPr>
        <w:pStyle w:val="Heading2"/>
      </w:pPr>
      <w:r>
        <w:rPr>
          <w:color w:val="1B5E20"/>
        </w:rPr>
        <w:t>4.2 Parameter Controls per Model</w:t>
      </w:r>
    </w:p>
    <w:p>
      <w:pPr>
        <w:spacing w:before="160" w:after="160"/>
        <w:pBdr>
          <w:left w:val="single" w:sz="24" w:space="8" w:color="2E7D32"/>
        </w:pBdr>
      </w:pPr>
      <w:r>
        <w:rPr>
          <w:sz w:val="20"/>
        </w:rPr>
        <w:t>Each model displays its own relevant parameter controls. KNN: K slider (1–25) + distance metric. SVM: kernel + C slider. DT: max depth + criterion. RF: trees + depth. LR: C + max iterations. NB: pre-set variance smoothing informational text.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3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KNN selected — K slider and distance metric (euclidean/manhattan) controls.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3-004-sv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SVM — Kernel radio (rbf, linear, poly, sigmoid) and C strictness slider.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3-0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Naive Bayes — informational text, variance smoothing pre-set to optimal default.</w:t>
      </w:r>
    </w:p>
    <w:p>
      <w:pPr>
        <w:pStyle w:val="Heading2"/>
      </w:pPr>
      <w:r>
        <w:rPr>
          <w:color w:val="1B5E20"/>
        </w:rPr>
        <w:t>4.3 Clinical Tooltips (PARAM_HINTS)</w:t>
      </w:r>
    </w:p>
    <w:p>
      <w:pPr>
        <w:spacing w:before="160" w:after="160"/>
        <w:pBdr>
          <w:left w:val="single" w:sz="24" w:space="8" w:color="2E7D32"/>
        </w:pBdr>
      </w:pPr>
      <w:r>
        <w:rPr>
          <w:sz w:val="20"/>
        </w:rPr>
        <w:t>Every model displays plain-language clinical tooltips. Examples: "Finds the K most similar past patients", "like a clinical decision pathway". No raw ML jargon without explanation.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3-0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Inline PARAM_HINTS visible for KNN — clinical language for healthcare users.</w:t>
      </w:r>
    </w:p>
    <w:p>
      <w:pPr>
        <w:pStyle w:val="Heading2"/>
      </w:pPr>
      <w:r>
        <w:rPr>
          <w:color w:val="1B5E20"/>
        </w:rPr>
        <w:t>4.4 Auto-Retrain &amp; Debounce</w:t>
      </w:r>
    </w:p>
    <w:p>
      <w:pPr>
        <w:spacing w:before="160" w:after="160"/>
        <w:pBdr>
          <w:left w:val="single" w:sz="24" w:space="8" w:color="2E7D32"/>
        </w:pBdr>
      </w:pPr>
      <w:r>
        <w:rPr>
          <w:sz w:val="20"/>
        </w:rPr>
        <w:t>Auto-Retrain toggle ON by default. Debounced at 300ms — slider changes trigger a single API call after user stops interacting. "Training..." loading state appears during retrain and disappears on completion. Manual training available when toggle is OFF.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3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Auto-Retrain checkbox checked by default, model parameters visible.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3-01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"Training..." loading state captured during auto-retrain — buttons disabled.</w:t>
      </w:r>
    </w:p>
    <w:p>
      <w:pPr>
        <w:pStyle w:val="Heading2"/>
      </w:pPr>
      <w:r>
        <w:rPr>
          <w:color w:val="1B5E20"/>
        </w:rPr>
        <w:t>4.5 KNN Decision Boundaries Visualization</w:t>
      </w:r>
    </w:p>
    <w:p>
      <w:pPr>
        <w:spacing w:before="160" w:after="160"/>
        <w:pBdr>
          <w:left w:val="single" w:sz="24" w:space="8" w:color="2E7D32"/>
        </w:pBdr>
      </w:pPr>
      <w:r>
        <w:rPr>
          <w:sz w:val="20"/>
        </w:rPr>
        <w:t>Canvas-based 2D scatter plot with PCA-projected decision boundary mesh. Redraws on K change with smooth performance (≤16ms target). Color-coded regions show model decision regions.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3-01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KNN Decision Boundaries (K=13) — PCA scatter with color-coded decision regions.</w:t>
      </w:r>
    </w:p>
    <w:p>
      <w:pPr>
        <w:pStyle w:val="Heading2"/>
      </w:pPr>
      <w:r>
        <w:rPr>
          <w:color w:val="1B5E20"/>
        </w:rPr>
        <w:t>4.6 All Models Training Successfully</w:t>
      </w:r>
    </w:p>
    <w:p>
      <w:pPr>
        <w:spacing w:before="160" w:after="160"/>
        <w:pBdr>
          <w:left w:val="single" w:sz="24" w:space="8" w:color="2E7D32"/>
        </w:pBdr>
      </w:pPr>
      <w:r>
        <w:rPr>
          <w:sz w:val="20"/>
        </w:rPr>
        <w:t>All 8 models train without crash or error. Training latency under 3 seconds for all models. KNN: 75.0%, SVM: 78.3%, DT: 78.3%, RF: 83.3%, LR: 83.3%, NB: 75.0%, XGBoost: 83.3%, LightGBM: 83.3%.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3-020-r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Random Forest trained — 83.3% accuracy, 95.0% train accuracy, 79.0% sensitivity.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3-020-kn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KNN trained — 75.0% accuracy, 89.5% sensitivity.</w:t>
      </w:r>
    </w:p>
    <w:p>
      <w:pPr>
        <w:pStyle w:val="Heading2"/>
      </w:pPr>
      <w:r>
        <w:rPr>
          <w:color w:val="1B5E20"/>
        </w:rPr>
        <w:t>4.7 Model Comparison Table</w:t>
      </w:r>
    </w:p>
    <w:p>
      <w:pPr>
        <w:spacing w:before="160" w:after="160"/>
        <w:pBdr>
          <w:left w:val="single" w:sz="24" w:space="8" w:color="2E7D32"/>
        </w:pBdr>
      </w:pPr>
      <w:r>
        <w:rPr>
          <w:sz w:val="20"/>
        </w:rPr>
        <w:t>"+ Compare" button adds models to a sortable comparison table. Columns: Model, Accuracy, Sensitivity, Specificity, Precision, F1, MCC, AUC-ROC, Time. Duplicate prevention, sensitivity color-coding, "Best" badge on top model.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3-04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Comparison table with 4 models — sorted by AUC-ROC, "Best" badge on top.</w:t>
      </w:r>
    </w:p>
    <w:p>
      <w:r>
        <w:br w:type="page"/>
      </w:r>
    </w:p>
    <w:p>
      <w:pPr>
        <w:pStyle w:val="Heading1"/>
      </w:pPr>
      <w:r>
        <w:rPr>
          <w:color w:val="1B5E20"/>
        </w:rPr>
        <w:t>5. Step 5 — Results &amp; Performance Metrics</w:t>
      </w:r>
    </w:p>
    <w:p>
      <w:pPr>
        <w:spacing w:after="160"/>
      </w:pPr>
      <w:r>
        <w:rPr>
          <w:b w:val="0"/>
          <w:i w:val="0"/>
        </w:rPr>
        <w:t>Comprehensive model evaluation with 6 color-coded metric cards, 2×2 confusion matrix, FN/FP clinical banners, ROC curve with AUC, Precision-Recall curve, overfitting detection, and model strengths/improvements.</w:t>
      </w:r>
    </w:p>
    <w:p>
      <w:pPr>
        <w:pStyle w:val="Heading2"/>
      </w:pPr>
      <w:r>
        <w:rPr>
          <w:color w:val="1B5E20"/>
        </w:rPr>
        <w:t>5.1 Six Performance Metric Cards</w:t>
      </w:r>
    </w:p>
    <w:p>
      <w:pPr>
        <w:spacing w:before="160" w:after="160"/>
        <w:pBdr>
          <w:left w:val="single" w:sz="24" w:space="8" w:color="2E7D32"/>
        </w:pBdr>
      </w:pPr>
      <w:r>
        <w:rPr>
          <w:sz w:val="20"/>
        </w:rPr>
        <w:t>6 metrics displayed as color-coded cards: Accuracy, Sensitivity, Specificity, Precision, F1 Score, AUC-ROC. Green/amber/red thresholds per spec. Each card includes clinical interpretation sentence. Example: Sensitivity — "Of patients who WERE positive, how many did the AI catch? Most important for screening."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3-02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6 metric cards (RF) — Accuracy 83.3%, Sensitivity 79.0%, Specificity 82.2%, Precision 71.4%, F1 75.0%, AUC-ROC 0.91. All green.</w:t>
      </w:r>
    </w:p>
    <w:p>
      <w:pPr>
        <w:pStyle w:val="Heading2"/>
      </w:pPr>
      <w:r>
        <w:rPr>
          <w:color w:val="1B5E20"/>
        </w:rPr>
        <w:t>5.2 Confusion Matrix (2×2)</w:t>
      </w:r>
    </w:p>
    <w:p>
      <w:pPr>
        <w:spacing w:before="160" w:after="160"/>
        <w:pBdr>
          <w:left w:val="single" w:sz="24" w:space="8" w:color="2E7D32"/>
        </w:pBdr>
      </w:pPr>
      <w:r>
        <w:rPr>
          <w:sz w:val="20"/>
        </w:rPr>
        <w:t>2×2 grid with TN/FP/FN/TP. Plain-language labels: "Correctly called safe" (TN), "Unnecessary alarm" (FP), "MISSED — most dangerous" (FN), "Correctly flagged" (TP). Color-coded: TP/TN safe colors, FP amber warning, FN red danger.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3-02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Confusion matrix (KNN) — TN=28, FP=13, FN=2, TP=17 with color coding and labels.</w:t>
      </w:r>
    </w:p>
    <w:p>
      <w:pPr>
        <w:pStyle w:val="Heading2"/>
      </w:pPr>
      <w:r>
        <w:rPr>
          <w:color w:val="1B5E20"/>
        </w:rPr>
        <w:t>5.3 Clinical Alert Banners (FN/FP)</w:t>
      </w:r>
    </w:p>
    <w:p>
      <w:pPr>
        <w:spacing w:before="160" w:after="160"/>
        <w:pBdr>
          <w:left w:val="single" w:sz="24" w:space="8" w:color="2E7D32"/>
        </w:pBdr>
      </w:pPr>
      <w:r>
        <w:rPr>
          <w:sz w:val="20"/>
        </w:rPr>
        <w:t>Red danger banner for False Negatives: "FN are the most dangerous errors in clinical screening — these patients had the condition but were missed." Green info banner for False Positives: "FP represent unnecessary alarms — less dangerous than FN, but they increase clinical workload." Low Sensitivity warning when sensitivity &lt; 50%.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3-03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FN danger banner (red) and FP info banner (green) — clinical risk explanation.</w:t>
      </w:r>
    </w:p>
    <w:p>
      <w:pPr>
        <w:pStyle w:val="Heading2"/>
      </w:pPr>
      <w:r>
        <w:rPr>
          <w:color w:val="1B5E20"/>
        </w:rPr>
        <w:t>5.4 ROC Curve &amp; AUC</w:t>
      </w:r>
    </w:p>
    <w:p>
      <w:pPr>
        <w:spacing w:before="160" w:after="160"/>
        <w:pBdr>
          <w:left w:val="single" w:sz="24" w:space="8" w:color="2E7D32"/>
        </w:pBdr>
      </w:pPr>
      <w:r>
        <w:rPr>
          <w:sz w:val="20"/>
        </w:rPr>
        <w:t>Inline SVG ROC curve (Recharts). Includes diagonal reference line ("Random"), AUC badge (e.g., 0.78), and plain-language interpretation: "AUC = 0.784 indicates good discrimination; a perfect model = 1.0."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3-03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ROC curve with AUC 0.78 badge, diagonal reference line, and interpretation text.</w:t>
      </w:r>
    </w:p>
    <w:p>
      <w:pPr>
        <w:pStyle w:val="Heading2"/>
      </w:pPr>
      <w:r>
        <w:rPr>
          <w:color w:val="1B5E20"/>
        </w:rPr>
        <w:t>5.5 Full Results Page</w:t>
      </w:r>
    </w:p>
    <w:p>
      <w:pPr>
        <w:spacing w:before="160" w:after="160"/>
        <w:pBdr>
          <w:left w:val="single" w:sz="24" w:space="8" w:color="2E7D32"/>
        </w:pBdr>
      </w:pPr>
      <w:r>
        <w:rPr>
          <w:sz w:val="20"/>
        </w:rPr>
        <w:t>Complete Step 5 view: metrics, confusion matrix, ROC/PR curves, Training vs. Test accuracy comparison, overfitting warning, model strengths/improvements, and "Continue to Explainability" CTA button.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582846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-step5-ful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828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Full Step 5 page — all evaluation components visible end-to-end.</w:t>
      </w:r>
    </w:p>
    <w:p>
      <w:pPr>
        <w:pStyle w:val="Heading2"/>
      </w:pPr>
      <w:r>
        <w:rPr>
          <w:color w:val="1B5E20"/>
        </w:rPr>
        <w:t>5.6 Multi-Domain Demonstration</w:t>
      </w:r>
    </w:p>
    <w:p>
      <w:pPr>
        <w:spacing w:before="160" w:after="160"/>
        <w:pBdr>
          <w:left w:val="single" w:sz="24" w:space="8" w:color="2E7D32"/>
        </w:pBdr>
      </w:pPr>
      <w:r>
        <w:rPr>
          <w:sz w:val="20"/>
        </w:rPr>
        <w:t>Domain switching updates all Step 4–5 content correctly. Tested: Cardiology (KNN 75.0%), Endocrinology-Diabetes (RF 75.3%), Neurology-Parkinson’s (RF 92.3%). No stale data after domain switch.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3-045-domain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Endocrinology-Diabetes — RF 75.3% accuracy, Sensitivity 81.5%, AUC 0.82.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3-045-domain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E7D32"/>
          <w:sz w:val="20"/>
        </w:rPr>
        <w:t>Neurology-Parkinson’s — RF 92.3% accuracy, Sensitivity 96.5%, AUC 0.95.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