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Plano de desenvolvimento de uma plataforma de gestão comercial e financeira</w:t>
      </w:r>
    </w:p>
    <w:p>
      <w:r>
        <w:t>Documento de visão inicial  |  29 de Setembro de 2026</w:t>
      </w:r>
    </w:p>
    <w:p>
      <w:r>
        <w:t>Este documento organiza a ideia de uma plataforma para pequenos estabelecimentos em Moçambique. Define o produto, a primeira versão, a separação dos dados de cada cliente e o funcionamento online e offline. Servirá de referência para especificar e desenvolver o projecto por etapas com o Claude.</w:t>
      </w:r>
    </w:p>
    <w:p>
      <w:pPr>
        <w:pStyle w:val="Heading1"/>
      </w:pPr>
      <w:r>
        <w:t>1 Visão do produto</w:t>
      </w:r>
    </w:p>
    <w:p>
      <w:r>
        <w:t>A plataforma permitirá que lojas, bares e farmácias registem as operações do dia e acompanhem vendas, stock, caixa, despesas e resultados. Haverá uma base comum para todos os clientes e funcionalidades específicas activadas conforme o tipo de estabelecimento. A Fintra é uma referência de posicionamento e abrangência, sem necessidade de reproduzir todos os seus módulos na primeira versão.</w:t>
      </w:r>
    </w:p>
    <w:p>
      <w:r>
        <w:t>O público inicial serão pequenas lojas. A expansão para bares e farmácias virá após validar os fluxos comuns num estabelecimento real.</w:t>
      </w:r>
    </w:p>
    <w:p>
      <w:pPr>
        <w:pStyle w:val="Heading1"/>
      </w:pPr>
      <w:r>
        <w:t>2 Primeira versão para lojas</w:t>
      </w:r>
    </w:p>
    <w:tbl>
      <w:tblPr>
        <w:tblW w:type="auto" w:w="0"/>
        <w:jc w:val="center"/>
        <w:tblLayout w:type="fixed"/>
        <w:tblLook w:firstColumn="1" w:firstRow="1" w:lastColumn="0" w:lastRow="0" w:noHBand="0" w:noVBand="1" w:val="04A0"/>
      </w:tblPr>
      <w:tblGrid>
        <w:gridCol w:w="4896"/>
        <w:gridCol w:w="4896"/>
      </w:tblGrid>
      <w:tr>
        <w:tc>
          <w:tcPr>
            <w:tcW w:type="dxa" w:w="4896"/>
            <w:vAlign w:val="center"/>
            <w:shd w:fill="253B5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color w:val="FFFFFF"/>
                <w:sz w:val="18"/>
              </w:rPr>
              <w:t>Módulo</w:t>
            </w:r>
          </w:p>
        </w:tc>
        <w:tc>
          <w:tcPr>
            <w:tcW w:type="dxa" w:w="4896"/>
            <w:vAlign w:val="center"/>
            <w:shd w:fill="253B5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color w:val="FFFFFF"/>
                <w:sz w:val="18"/>
              </w:rPr>
              <w:t>Funcionalidades iniciais</w:t>
            </w:r>
          </w:p>
        </w:tc>
      </w:tr>
      <w:t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Empresa e utilizadores</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Criação de empresa; proprietário e operador; permissões por função.</w:t>
            </w:r>
          </w:p>
        </w:tc>
      </w:tr>
      <w:tr>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Produtos e stock</w:t>
            </w:r>
          </w:p>
        </w:tc>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Produtos, categorias, preços, stock mínimo e histórico de movimentos.</w:t>
            </w:r>
          </w:p>
        </w:tc>
      </w:tr>
      <w:t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Compras</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Fornecedores, recepção de mercadoria, custo e entrada no stock.</w:t>
            </w:r>
          </w:p>
        </w:tc>
      </w:tr>
      <w:tr>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Vendas</w:t>
            </w:r>
          </w:p>
        </w:tc>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Carrinho, métodos de pagamento, histórico, cancelamento e devolução controlada.</w:t>
            </w:r>
          </w:p>
        </w:tc>
      </w:tr>
      <w:t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Caixa e despesas</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Abertura e fecho de caixa, entradas, saídas e despesas por categoria.</w:t>
            </w:r>
          </w:p>
        </w:tc>
      </w:tr>
      <w:tr>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Painel e relatórios</w:t>
            </w:r>
          </w:p>
        </w:tc>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Vendas, custos, margens, despesas, stock baixo e resultados por período.</w:t>
            </w:r>
          </w:p>
        </w:tc>
      </w:tr>
    </w:tbl>
    <w:p>
      <w:pPr>
        <w:spacing w:after="0"/>
      </w:pPr>
    </w:p>
    <w:p>
      <w:r>
        <w:t>Uma venda concluída deverá actualizar os seus itens, o stock e o registo financeiro como uma única operação lógica. Caixa, fluxo de caixa e lucro deverão aparecer como indicadores distintos.</w:t>
      </w:r>
    </w:p>
    <w:p>
      <w:pPr>
        <w:pStyle w:val="Heading1"/>
      </w:pPr>
      <w:r>
        <w:t>3 Adaptação por sector</w:t>
      </w:r>
    </w:p>
    <w:tbl>
      <w:tblPr>
        <w:tblW w:type="auto" w:w="0"/>
        <w:jc w:val="center"/>
        <w:tblLayout w:type="fixed"/>
        <w:tblLook w:firstColumn="1" w:firstRow="1" w:lastColumn="0" w:lastRow="0" w:noHBand="0" w:noVBand="1" w:val="04A0"/>
      </w:tblPr>
      <w:tblGrid>
        <w:gridCol w:w="4896"/>
        <w:gridCol w:w="4896"/>
      </w:tblGrid>
      <w:tr>
        <w:tc>
          <w:tcPr>
            <w:tcW w:type="dxa" w:w="4896"/>
            <w:vAlign w:val="center"/>
            <w:shd w:fill="253B5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color w:val="FFFFFF"/>
                <w:sz w:val="18"/>
              </w:rPr>
              <w:t>Sector</w:t>
            </w:r>
          </w:p>
        </w:tc>
        <w:tc>
          <w:tcPr>
            <w:tcW w:type="dxa" w:w="4896"/>
            <w:vAlign w:val="center"/>
            <w:shd w:fill="253B5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color w:val="FFFFFF"/>
                <w:sz w:val="18"/>
              </w:rPr>
              <w:t>Funcionalidades adicionais previstas</w:t>
            </w:r>
          </w:p>
        </w:tc>
      </w:tr>
      <w:t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Lojas</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Reposição, fornecedores e eventual gestão de filiais.</w:t>
            </w:r>
          </w:p>
        </w:tc>
      </w:tr>
      <w:tr>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Bares</w:t>
            </w:r>
          </w:p>
        </w:tc>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Mesas, comandas, produtos compostos e consumo de ingredientes.</w:t>
            </w:r>
          </w:p>
        </w:tc>
      </w:tr>
      <w:t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Farmácias</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Lotes, validade, rastreabilidade e regras sectoriais a confirmar com profissionais.</w:t>
            </w:r>
          </w:p>
        </w:tc>
      </w:tr>
    </w:tbl>
    <w:p>
      <w:pPr>
        <w:spacing w:after="0"/>
      </w:pPr>
    </w:p>
    <w:p>
      <w:pPr>
        <w:pStyle w:val="Heading1"/>
      </w:pPr>
      <w:r>
        <w:t>4 Arquitectura multiempresa</w:t>
      </w:r>
    </w:p>
    <w:p>
      <w:r>
        <w:t>A primeira versão poderá usar uma única base de dados central para todos os clientes. Cada registo operacional terá um empresa_id. Utilizadores terão uma associação explícita à empresa e uma função. Se uma empresa tiver mais de uma filial, os movimentos relevantes terão também filial_id.</w:t>
      </w:r>
    </w:p>
    <w:p>
      <w:r>
        <w:t>A separação será aplicada na base de dados e no backend: cada pedido verifica a identidade e as permissões do utilizador; a interface apenas apresenta os dados autorizados. Operações recebidas após um período offline passam pelas mesmas verificações. Os dados locais de uma empresa não devem ficar disponíveis após troca de conta ou empresa no dispositivo.</w:t>
      </w:r>
    </w:p>
    <w:p>
      <w:pPr>
        <w:pStyle w:val="Heading1"/>
      </w:pPr>
      <w:r>
        <w:t>5 Arquitectura técnica proposta</w:t>
      </w:r>
    </w:p>
    <w:tbl>
      <w:tblPr>
        <w:tblW w:type="auto" w:w="0"/>
        <w:jc w:val="center"/>
        <w:tblLayout w:type="fixed"/>
        <w:tblLook w:firstColumn="1" w:firstRow="1" w:lastColumn="0" w:lastRow="0" w:noHBand="0" w:noVBand="1" w:val="04A0"/>
      </w:tblPr>
      <w:tblGrid>
        <w:gridCol w:w="3264"/>
        <w:gridCol w:w="3264"/>
        <w:gridCol w:w="3264"/>
      </w:tblGrid>
      <w:tr>
        <w:tc>
          <w:tcPr>
            <w:tcW w:type="dxa" w:w="3264"/>
            <w:vAlign w:val="center"/>
            <w:shd w:fill="253B5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color w:val="FFFFFF"/>
                <w:sz w:val="18"/>
              </w:rPr>
              <w:t>Camada</w:t>
            </w:r>
          </w:p>
        </w:tc>
        <w:tc>
          <w:tcPr>
            <w:tcW w:type="dxa" w:w="3264"/>
            <w:vAlign w:val="center"/>
            <w:shd w:fill="253B5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color w:val="FFFFFF"/>
                <w:sz w:val="18"/>
              </w:rPr>
              <w:t>Escolha inicial</w:t>
            </w:r>
          </w:p>
        </w:tc>
        <w:tc>
          <w:tcPr>
            <w:tcW w:type="dxa" w:w="3264"/>
            <w:vAlign w:val="center"/>
            <w:shd w:fill="253B5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color w:val="FFFFFF"/>
                <w:sz w:val="18"/>
              </w:rPr>
              <w:t>Responsabilidade</w:t>
            </w:r>
          </w:p>
        </w:tc>
      </w:tr>
      <w:tr>
        <w:tc>
          <w:tcPr>
            <w:tcW w:type="dxa" w:w="32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Aplicação</w:t>
            </w:r>
          </w:p>
        </w:tc>
        <w:tc>
          <w:tcPr>
            <w:tcW w:type="dxa" w:w="32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React e TypeScript como PWA</w:t>
            </w:r>
          </w:p>
        </w:tc>
        <w:tc>
          <w:tcPr>
            <w:tcW w:type="dxa" w:w="32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Interface adaptada a computador e telemóvel; abertura offline.</w:t>
            </w:r>
          </w:p>
        </w:tc>
      </w:tr>
      <w:tr>
        <w:tc>
          <w:tcPr>
            <w:tcW w:type="dxa" w:w="326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Dados locais</w:t>
            </w:r>
          </w:p>
        </w:tc>
        <w:tc>
          <w:tcPr>
            <w:tcW w:type="dxa" w:w="326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IndexedDB</w:t>
            </w:r>
          </w:p>
        </w:tc>
        <w:tc>
          <w:tcPr>
            <w:tcW w:type="dxa" w:w="326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Catálogo autorizado, dados necessários ao balcão e fila de operações pendentes.</w:t>
            </w:r>
          </w:p>
        </w:tc>
      </w:tr>
      <w:tr>
        <w:tc>
          <w:tcPr>
            <w:tcW w:type="dxa" w:w="32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Servidor</w:t>
            </w:r>
          </w:p>
        </w:tc>
        <w:tc>
          <w:tcPr>
            <w:tcW w:type="dxa" w:w="32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Node.js e Express</w:t>
            </w:r>
          </w:p>
        </w:tc>
        <w:tc>
          <w:tcPr>
            <w:tcW w:type="dxa" w:w="32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Validação, autorização, sincronização e processamento das operações.</w:t>
            </w:r>
          </w:p>
        </w:tc>
      </w:tr>
      <w:tr>
        <w:tc>
          <w:tcPr>
            <w:tcW w:type="dxa" w:w="326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Dados centrais</w:t>
            </w:r>
          </w:p>
        </w:tc>
        <w:tc>
          <w:tcPr>
            <w:tcW w:type="dxa" w:w="326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PostgreSQL no Supabase</w:t>
            </w:r>
          </w:p>
        </w:tc>
        <w:tc>
          <w:tcPr>
            <w:tcW w:type="dxa" w:w="3264"/>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Empresas, utilizadores, produtos, vendas, pagamentos e histórico.</w:t>
            </w:r>
          </w:p>
        </w:tc>
      </w:tr>
    </w:tbl>
    <w:p>
      <w:pPr>
        <w:spacing w:after="0"/>
      </w:pPr>
    </w:p>
    <w:p>
      <w:r>
        <w:t>Esta é a proposta inicial de arquitectura, sujeita à validação no protótipo. O Supabase alojará os dados centrais; o funcionamento offline exigirá lógica própria na aplicação e no servidor.</w:t>
      </w:r>
    </w:p>
    <w:p>
      <w:pPr>
        <w:pStyle w:val="Heading1"/>
      </w:pPr>
      <w:r>
        <w:t>6 Funcionamento online e offline</w:t>
      </w:r>
    </w:p>
    <w:p>
      <w:r>
        <w:t>Com internet, a aplicação apresenta dados actualizados e envia as operações ao servidor. Sem internet, a aplicação instalada e preparada previamente permite consultar os dados locais e registar vendas pendentes. Quando a ligação regressa, envia as operações por ordem e mostra quais foram confirmadas ou requerem intervenção.</w:t>
      </w:r>
    </w:p>
    <w:p>
      <w:pPr>
        <w:pStyle w:val="ListBullet"/>
      </w:pPr>
      <w:r>
        <w:t>Cada operação recebe um identificador único para evitar gravações duplicadas em tentativas repetidas de sincronização.</w:t>
      </w:r>
    </w:p>
    <w:p>
      <w:pPr>
        <w:pStyle w:val="ListBullet"/>
      </w:pPr>
      <w:r>
        <w:t>O servidor valida empresa, utilizador, itens, valores e permissões antes de confirmar a operação.</w:t>
      </w:r>
    </w:p>
    <w:p>
      <w:pPr>
        <w:pStyle w:val="ListBullet"/>
      </w:pPr>
      <w:r>
        <w:t>O ecrã indica claramente o estado: pendente, sincronizado ou conflito.</w:t>
      </w:r>
    </w:p>
    <w:p>
      <w:pPr>
        <w:pStyle w:val="ListBullet"/>
      </w:pPr>
      <w:r>
        <w:t>Se dois dispositivos venderem offline o último artigo, as duas vendas ficam preservadas e a diferença de stock exige resolução pelo gestor; a política exacta será definida na especificação.</w:t>
      </w:r>
    </w:p>
    <w:p>
      <w:r>
        <w:t>A primeira utilização, o carregamento de produtos e a autenticação exigirão uma ligação inicial. O período de sessão offline, a perda do dispositivo e a emissão de documentos fiscais carecem de regras específicas.</w:t>
      </w:r>
    </w:p>
    <w:p>
      <w:pPr>
        <w:pStyle w:val="Heading1"/>
      </w:pPr>
      <w:r>
        <w:t>7 Entidades principais</w:t>
      </w:r>
    </w:p>
    <w:p>
      <w:r>
        <w:t>Empresas, filiais, utilizadores, associações e funções; produtos, categorias, fornecedores e movimentos de stock; compras e itens de compra; vendas e itens de venda; pagamentos, caixas, movimentos de caixa, despesas; operações de sincronização e registos de auditoria. As relações e campos serão detalhados antes da implementação.</w:t>
      </w:r>
    </w:p>
    <w:p>
      <w:pPr>
        <w:pStyle w:val="Heading1"/>
      </w:pPr>
      <w:r>
        <w:t>8 Etapas de desenvolvimento com o Claude</w:t>
      </w:r>
    </w:p>
    <w:tbl>
      <w:tblPr>
        <w:tblW w:type="auto" w:w="0"/>
        <w:jc w:val="center"/>
        <w:tblLayout w:type="fixed"/>
        <w:tblLook w:firstColumn="1" w:firstRow="1" w:lastColumn="0" w:lastRow="0" w:noHBand="0" w:noVBand="1" w:val="04A0"/>
      </w:tblPr>
      <w:tblGrid>
        <w:gridCol w:w="4896"/>
        <w:gridCol w:w="4896"/>
      </w:tblGrid>
      <w:tr>
        <w:tc>
          <w:tcPr>
            <w:tcW w:type="dxa" w:w="4896"/>
            <w:vAlign w:val="center"/>
            <w:shd w:fill="253B5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color w:val="FFFFFF"/>
                <w:sz w:val="18"/>
              </w:rPr>
              <w:t>Etapa</w:t>
            </w:r>
          </w:p>
        </w:tc>
        <w:tc>
          <w:tcPr>
            <w:tcW w:type="dxa" w:w="4896"/>
            <w:vAlign w:val="center"/>
            <w:shd w:fill="253B5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color w:val="FFFFFF"/>
                <w:sz w:val="18"/>
              </w:rPr>
              <w:t>Entrega verificável</w:t>
            </w:r>
          </w:p>
        </w:tc>
      </w:tr>
      <w:t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0 Requisitos</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Fluxos, regras de negócio, permissões, conflitos offline e critérios de aceitação.</w:t>
            </w:r>
          </w:p>
        </w:tc>
      </w:tr>
      <w:tr>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1 Estrutura</w:t>
            </w:r>
          </w:p>
        </w:tc>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Projecto executável, esquema inicial e ambiente de desenvolvimento.</w:t>
            </w:r>
          </w:p>
        </w:tc>
      </w:tr>
      <w:t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2 Acesso multiempresa</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Registo, login, empresa, funções e isolamento dos dados.</w:t>
            </w:r>
          </w:p>
        </w:tc>
      </w:tr>
      <w:tr>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3 Produtos e stock</w:t>
            </w:r>
          </w:p>
        </w:tc>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Cadastro e movimentos rastreáveis.</w:t>
            </w:r>
          </w:p>
        </w:tc>
      </w:tr>
      <w:t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4 Compras</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Recepção que aumenta stock uma única vez.</w:t>
            </w:r>
          </w:p>
        </w:tc>
      </w:tr>
      <w:tr>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5 Vendas</w:t>
            </w:r>
          </w:p>
        </w:tc>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Venda, pagamento, devolução e baixa de stock consistentes.</w:t>
            </w:r>
          </w:p>
        </w:tc>
      </w:tr>
      <w:t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6 Operação offline</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Dados locais, fila, sincronização e tratamento de conflitos.</w:t>
            </w:r>
          </w:p>
        </w:tc>
      </w:tr>
      <w:tr>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7 Caixa e finanças</w:t>
            </w:r>
          </w:p>
        </w:tc>
        <w:tc>
          <w:tcPr>
            <w:tcW w:type="dxa" w:w="4896"/>
            <w:vAlign w:val="center"/>
            <w:shd w:fill="F2F6FA"/>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Fecho diário, despesas e indicadores distintos.</w:t>
            </w:r>
          </w:p>
        </w:tc>
      </w:tr>
      <w:tr>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8 Piloto</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0"/>
            </w:pPr>
            <w:r>
              <w:rPr>
                <w:b w:val="0"/>
                <w:color w:val="141E28"/>
                <w:sz w:val="18"/>
              </w:rPr>
              <w:t>Teste real numa loja, correcções e preparação para expansão.</w:t>
            </w:r>
          </w:p>
        </w:tc>
      </w:tr>
    </w:tbl>
    <w:p>
      <w:pPr>
        <w:spacing w:after="0"/>
      </w:pPr>
    </w:p>
    <w:p>
      <w:pPr>
        <w:pStyle w:val="Heading1"/>
      </w:pPr>
      <w:r>
        <w:t>9 Decisões a validar antes do código</w:t>
      </w:r>
    </w:p>
    <w:p>
      <w:pPr>
        <w:pStyle w:val="ListBullet"/>
      </w:pPr>
      <w:r>
        <w:t>Funcionamento em várias filiais desde o MVP ou apenas estrutura preparada para expansão.</w:t>
      </w:r>
    </w:p>
    <w:p>
      <w:pPr>
        <w:pStyle w:val="ListBullet"/>
      </w:pPr>
      <w:r>
        <w:t>Política para stock insuficiente e conflitos entre caixas offline.</w:t>
      </w:r>
    </w:p>
    <w:p>
      <w:pPr>
        <w:pStyle w:val="ListBullet"/>
      </w:pPr>
      <w:r>
        <w:t>Quais operações podem ser feitas offline além de vendas; limites de tempo e de dados locais.</w:t>
      </w:r>
    </w:p>
    <w:p>
      <w:pPr>
        <w:pStyle w:val="ListBullet"/>
      </w:pPr>
      <w:r>
        <w:t>Regras de devolução, cancelamento, descontos e vendas a crédito.</w:t>
      </w:r>
    </w:p>
    <w:p>
      <w:pPr>
        <w:pStyle w:val="ListBullet"/>
      </w:pPr>
      <w:r>
        <w:t>Requisitos aplicáveis à facturação fiscal e às farmácias em Moçambique, antes de oferecer essas funções.</w:t>
      </w:r>
    </w:p>
    <w:p>
      <w:pPr>
        <w:pStyle w:val="Heading1"/>
      </w:pPr>
      <w:r>
        <w:t>10 Primeiro passo</w:t>
      </w:r>
    </w:p>
    <w:p>
      <w:r>
        <w:t>Elaborar com o Claude a especificação da Etapa 0 usando este documento como contexto. Entrevistar pelo menos uma pequena loja para conferir o fluxo de compra, venda, contagem de stock e fecho de caixa. Só depois fechar o modelo de dados e iniciar a implementação.</w:t>
      </w:r>
    </w:p>
    <w:p>
      <w:r>
        <w:t>Referência de produto: https://fintra.co.mz/ (consultado em 29 de Setembro de 2026).</w:t>
      </w:r>
    </w:p>
    <w:sectPr w:rsidR="00FC693F" w:rsidRPr="0006063C" w:rsidSect="00034616">
      <w:footerReference w:type="default" r:id="rId9"/>
      <w:pgSz w:w="12240" w:h="15840"/>
      <w:pgMar w:top="979" w:right="1224" w:bottom="90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Plano inicial do projecto  •  29 de Setembro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6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