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宋体"/>
          <w:b/>
          <w:sz w:val="32"/>
        </w:rPr>
        <w:t>乾坤恒泰（北京）国际市场营销策划有限公司</w:t>
      </w:r>
    </w:p>
    <w:p>
      <w:pPr>
        <w:jc w:val="center"/>
      </w:pPr>
      <w:r>
        <w:rPr>
          <w:rFonts w:ascii="Arial" w:hAnsi="Arial" w:eastAsia="宋体"/>
          <w:b/>
          <w:sz w:val="32"/>
        </w:rPr>
        <w:t>{form_title}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>
        <w:trPr>
          <w:trHeight w:hRule="atLeast" w:val="567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本表用途</w:t>
            </w:r>
          </w:p>
        </w:tc>
        <w:tc>
          <w:tcPr>
            <w:tcW w:type="dxa" w:w="3970"/>
            <w:gridSpan w:val="10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出差申请 {trip_checked}</w:t>
            </w:r>
          </w:p>
        </w:tc>
        <w:tc>
          <w:tcPr>
            <w:tcW w:type="dxa" w:w="3970"/>
            <w:gridSpan w:val="10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报销申请 {reimbursement_checked}</w:t>
            </w:r>
          </w:p>
        </w:tc>
      </w:tr>
      <w:tr>
        <w:trPr>
          <w:trHeight w:hRule="atLeast" w:val="567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员工姓名</w:t>
            </w:r>
          </w:p>
        </w:tc>
        <w:tc>
          <w:tcPr>
            <w:tcW w:type="dxa" w:w="3176"/>
            <w:gridSpan w:val="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{name}</w:t>
            </w:r>
          </w:p>
        </w:tc>
        <w:tc>
          <w:tcPr>
            <w:tcW w:type="dxa" w:w="198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部门（HTC/SHOB）</w:t>
            </w:r>
          </w:p>
        </w:tc>
        <w:tc>
          <w:tcPr>
            <w:tcW w:type="dxa" w:w="2779"/>
            <w:gridSpan w:val="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{dept}</w:t>
            </w:r>
          </w:p>
        </w:tc>
      </w:tr>
      <w:tr>
        <w:trPr>
          <w:trHeight w:hRule="atLeast" w:val="567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出差时间</w:t>
            </w:r>
          </w:p>
        </w:tc>
        <w:tc>
          <w:tcPr>
            <w:tcW w:type="dxa" w:w="3176"/>
            <w:gridSpan w:val="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（{start_date}）至（{end_date}）</w:t>
            </w:r>
          </w:p>
        </w:tc>
        <w:tc>
          <w:tcPr>
            <w:tcW w:type="dxa" w:w="198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天数</w:t>
            </w:r>
          </w:p>
        </w:tc>
        <w:tc>
          <w:tcPr>
            <w:tcW w:type="dxa" w:w="2779"/>
            <w:gridSpan w:val="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{trip_days}</w:t>
            </w:r>
          </w:p>
        </w:tc>
      </w:tr>
      <w:tr>
        <w:trPr>
          <w:trHeight w:hRule="atLeast" w:val="595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出差事由</w:t>
            </w:r>
          </w:p>
        </w:tc>
        <w:tc>
          <w:tcPr>
            <w:tcW w:type="dxa" w:w="3176"/>
            <w:gridSpan w:val="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{reason}</w:t>
            </w:r>
          </w:p>
        </w:tc>
        <w:tc>
          <w:tcPr>
            <w:tcW w:type="dxa" w:w="198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目的地</w:t>
            </w:r>
          </w:p>
        </w:tc>
        <w:tc>
          <w:tcPr>
            <w:tcW w:type="dxa" w:w="2779"/>
            <w:gridSpan w:val="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{destination}</w:t>
            </w:r>
          </w:p>
        </w:tc>
      </w:tr>
      <w:tr>
        <w:trPr>
          <w:trHeight w:hRule="atLeast" w:val="624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城市间交通方案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出发时间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抵达时间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金额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服务商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报价时间</w:t>
            </w:r>
          </w:p>
        </w:tc>
      </w:tr>
      <w:tr>
        <w:trPr>
          <w:trHeight w:hRule="atLeast" w:val="652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方案1：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{transport_1_departure}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{transport_1_arrival}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{transport_1_budget}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{transport_1_vendor}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{transport_1_quote_at}</w:t>
            </w:r>
          </w:p>
        </w:tc>
      </w:tr>
      <w:tr>
        <w:trPr>
          <w:trHeight w:hRule="atLeast" w:val="652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方案2：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{transport_2_departure}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{transport_2_arrival}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{transport_2_budget}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{transport_2_vendor}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{transport_2_quote_at}</w:t>
            </w:r>
          </w:p>
        </w:tc>
      </w:tr>
      <w:tr>
        <w:trPr>
          <w:trHeight w:hRule="atLeast" w:val="652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方案3：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{transport_3_departure}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{transport_3_arrival}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{transport_3_budget}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{transport_3_vendor}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{transport_3_quote_at}</w:t>
            </w:r>
          </w:p>
        </w:tc>
      </w:tr>
      <w:tr>
        <w:trPr>
          <w:trHeight w:hRule="atLeast" w:val="624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住宿方案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入住时间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退房时间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金额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服务商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报价时间</w:t>
            </w:r>
          </w:p>
        </w:tc>
      </w:tr>
      <w:tr>
        <w:trPr>
          <w:trHeight w:hRule="atLeast" w:val="652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方案1：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{hotel_1_check_in}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{hotel_1_check_out}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{hotel_1_budget}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{hotel_1_vendor}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{hotel_1_quote_at}</w:t>
            </w:r>
          </w:p>
        </w:tc>
      </w:tr>
      <w:tr>
        <w:trPr>
          <w:trHeight w:hRule="atLeast" w:val="652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方案2：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{hotel_2_check_in}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{hotel_2_check_out}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{hotel_2_budget}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{hotel_2_vendor}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{hotel_2_quote_at}</w:t>
            </w:r>
          </w:p>
        </w:tc>
      </w:tr>
      <w:tr>
        <w:trPr>
          <w:trHeight w:hRule="atLeast" w:val="652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方案3：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{hotel_3_check_in}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{hotel_3_check_out}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{hotel_3_budget}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{hotel_3_vendor}</w:t>
            </w:r>
          </w:p>
        </w:tc>
        <w:tc>
          <w:tcPr>
            <w:tcW w:type="dxa" w:w="1588"/>
            <w:gridSpan w:val="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{hotel_3_quote_at}</w:t>
            </w:r>
          </w:p>
        </w:tc>
      </w:tr>
      <w:tr>
        <w:trPr>
          <w:trHeight w:hRule="atLeast" w:val="595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餐费总支出</w:t>
            </w:r>
          </w:p>
        </w:tc>
        <w:tc>
          <w:tcPr>
            <w:tcW w:type="dxa" w:w="3176"/>
            <w:gridSpan w:val="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{meal_budget}</w:t>
            </w:r>
          </w:p>
        </w:tc>
        <w:tc>
          <w:tcPr>
            <w:tcW w:type="dxa" w:w="2779"/>
            <w:gridSpan w:val="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地面交通费总支出</w:t>
            </w:r>
          </w:p>
        </w:tc>
        <w:tc>
          <w:tcPr>
            <w:tcW w:type="dxa" w:w="198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{ground_budget}</w:t>
            </w:r>
          </w:p>
        </w:tc>
      </w:tr>
      <w:tr>
        <w:trPr>
          <w:trHeight w:hRule="atLeast" w:val="624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其它支出</w:t>
            </w:r>
          </w:p>
        </w:tc>
        <w:tc>
          <w:tcPr>
            <w:tcW w:type="dxa" w:w="7940"/>
            <w:gridSpan w:val="20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{other_budget}</w:t>
            </w:r>
          </w:p>
        </w:tc>
      </w:tr>
      <w:tr>
        <w:trPr>
          <w:trHeight w:hRule="atLeast" w:val="595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总支出（预算）</w:t>
            </w:r>
          </w:p>
        </w:tc>
        <w:tc>
          <w:tcPr>
            <w:tcW w:type="dxa" w:w="3176"/>
            <w:gridSpan w:val="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{total_budget}</w:t>
            </w:r>
          </w:p>
        </w:tc>
        <w:tc>
          <w:tcPr>
            <w:tcW w:type="dxa" w:w="2779"/>
            <w:gridSpan w:val="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总支出（实际）</w:t>
            </w:r>
          </w:p>
        </w:tc>
        <w:tc>
          <w:tcPr>
            <w:tcW w:type="dxa" w:w="198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{total_actual}</w:t>
            </w:r>
          </w:p>
        </w:tc>
      </w:tr>
      <w:tr>
        <w:trPr>
          <w:trHeight w:hRule="atLeast" w:val="595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部门主管审核</w:t>
            </w:r>
          </w:p>
        </w:tc>
        <w:tc>
          <w:tcPr>
            <w:tcW w:type="dxa" w:w="3176"/>
            <w:gridSpan w:val="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779"/>
            <w:gridSpan w:val="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部门主管签名</w:t>
            </w:r>
          </w:p>
        </w:tc>
        <w:tc>
          <w:tcPr>
            <w:tcW w:type="dxa" w:w="198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rPr>
          <w:trHeight w:hRule="atLeast" w:val="595"/>
        </w:trPr>
        <w:tc>
          <w:tcPr>
            <w:tcW w:type="dxa" w:w="164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总经理批准</w:t>
            </w:r>
          </w:p>
        </w:tc>
        <w:tc>
          <w:tcPr>
            <w:tcW w:type="dxa" w:w="3176"/>
            <w:gridSpan w:val="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779"/>
            <w:gridSpan w:val="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总经理签名</w:t>
            </w:r>
          </w:p>
        </w:tc>
        <w:tc>
          <w:tcPr>
            <w:tcW w:type="dxa" w:w="198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spacing w:after="40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before="0" w:after="0" w:line="288" w:lineRule="auto"/>
      </w:pPr>
      <w:r>
        <w:rPr>
          <w:rFonts w:ascii="宋体" w:hAnsi="宋体" w:eastAsia="宋体"/>
          <w:sz w:val="24"/>
        </w:rPr>
        <w:t>基本原则：</w:t>
      </w:r>
      <w:r>
        <w:rPr>
          <w:rFonts w:ascii="宋体" w:hAnsi="宋体" w:eastAsia="宋体"/>
          <w:sz w:val="24"/>
          <w:u w:val="single"/>
        </w:rPr>
        <w:t>厉行节约、预算控制、事前审批、真实合规</w:t>
      </w:r>
      <w:r>
        <w:rPr>
          <w:rFonts w:ascii="宋体" w:hAnsi="宋体" w:eastAsia="宋体"/>
          <w:sz w:val="24"/>
        </w:rPr>
        <w:t>。</w:t>
      </w:r>
    </w:p>
    <w:p>
      <w:pPr>
        <w:spacing w:before="0" w:after="0" w:line="288" w:lineRule="auto"/>
      </w:pPr>
      <w:r>
        <w:rPr>
          <w:rFonts w:ascii="宋体" w:hAnsi="宋体" w:eastAsia="宋体"/>
          <w:sz w:val="24"/>
        </w:rPr>
        <w:t>出差前填写申请表，明确</w:t>
      </w:r>
      <w:r>
        <w:rPr>
          <w:rFonts w:ascii="宋体" w:hAnsi="宋体" w:eastAsia="宋体"/>
          <w:sz w:val="24"/>
          <w:u w:val="single"/>
        </w:rPr>
        <w:t>出差事由、时间、地点、预算</w:t>
      </w:r>
      <w:r>
        <w:rPr>
          <w:rFonts w:ascii="宋体" w:hAnsi="宋体" w:eastAsia="宋体"/>
          <w:sz w:val="24"/>
        </w:rPr>
        <w:t>，并完成部门主管审核和总经理批准。</w:t>
      </w:r>
    </w:p>
    <w:p>
      <w:pPr>
        <w:spacing w:before="0" w:after="0" w:line="288" w:lineRule="auto"/>
      </w:pPr>
      <w:r>
        <w:rPr>
          <w:rFonts w:ascii="宋体" w:hAnsi="宋体" w:eastAsia="宋体"/>
          <w:sz w:val="24"/>
        </w:rPr>
        <w:t>城市间交通优先选择经济便捷的交通工具，</w:t>
      </w:r>
      <w:r>
        <w:rPr>
          <w:rFonts w:ascii="宋体" w:hAnsi="宋体" w:eastAsia="宋体"/>
          <w:sz w:val="24"/>
          <w:u w:val="single"/>
        </w:rPr>
        <w:t>三选一</w:t>
      </w:r>
      <w:r>
        <w:rPr>
          <w:rFonts w:ascii="宋体" w:hAnsi="宋体" w:eastAsia="宋体"/>
          <w:sz w:val="24"/>
        </w:rPr>
        <w:t>；特殊情况需提前说明，未经许可超标部分由个人承担。</w:t>
      </w:r>
    </w:p>
    <w:p>
      <w:pPr>
        <w:spacing w:before="0" w:after="0" w:line="288" w:lineRule="auto"/>
      </w:pPr>
      <w:r>
        <w:rPr>
          <w:rFonts w:ascii="宋体" w:hAnsi="宋体" w:eastAsia="宋体"/>
          <w:sz w:val="24"/>
        </w:rPr>
        <w:t>住宿标准：</w:t>
      </w:r>
      <w:r>
        <w:rPr>
          <w:rFonts w:ascii="宋体" w:hAnsi="宋体" w:eastAsia="宋体"/>
          <w:sz w:val="24"/>
          <w:u w:val="single"/>
        </w:rPr>
        <w:t>一线城市 1000 元/晚以内，省会城市 800 元/晚以内，其他城市 600 元/晚以内</w:t>
      </w:r>
      <w:r>
        <w:rPr>
          <w:rFonts w:ascii="宋体" w:hAnsi="宋体" w:eastAsia="宋体"/>
          <w:sz w:val="24"/>
        </w:rPr>
        <w:t>。</w:t>
      </w:r>
    </w:p>
    <w:p>
      <w:pPr>
        <w:spacing w:before="0" w:after="0" w:line="288" w:lineRule="auto"/>
      </w:pPr>
      <w:r>
        <w:rPr>
          <w:rFonts w:ascii="宋体" w:hAnsi="宋体" w:eastAsia="宋体"/>
          <w:sz w:val="24"/>
        </w:rPr>
        <w:t>餐费和市内交通费</w:t>
      </w:r>
      <w:r>
        <w:rPr>
          <w:rFonts w:ascii="宋体" w:hAnsi="宋体" w:eastAsia="宋体"/>
          <w:sz w:val="24"/>
          <w:u w:val="single"/>
        </w:rPr>
        <w:t>标准内根据有效票据实报实销</w:t>
      </w:r>
      <w:r>
        <w:rPr>
          <w:rFonts w:ascii="宋体" w:hAnsi="宋体" w:eastAsia="宋体"/>
          <w:sz w:val="24"/>
        </w:rPr>
        <w:t>；接待单位安排工作餐或交通工具的，不单独报销。</w:t>
      </w:r>
    </w:p>
    <w:p>
      <w:pPr>
        <w:spacing w:before="0" w:after="0" w:line="288" w:lineRule="auto"/>
      </w:pPr>
      <w:r>
        <w:rPr>
          <w:rFonts w:ascii="宋体" w:hAnsi="宋体" w:eastAsia="宋体"/>
          <w:sz w:val="24"/>
        </w:rPr>
        <w:t>报销须在</w:t>
      </w:r>
      <w:r>
        <w:rPr>
          <w:rFonts w:ascii="宋体" w:hAnsi="宋体" w:eastAsia="宋体"/>
          <w:sz w:val="24"/>
          <w:u w:val="single"/>
        </w:rPr>
        <w:t>出差结束后 7 个工作日内</w:t>
      </w:r>
      <w:r>
        <w:rPr>
          <w:rFonts w:ascii="宋体" w:hAnsi="宋体" w:eastAsia="宋体"/>
          <w:sz w:val="24"/>
        </w:rPr>
        <w:t>完成，超期需书面说明。</w:t>
      </w:r>
    </w:p>
    <w:p>
      <w:pPr>
        <w:spacing w:before="0" w:after="0" w:line="288" w:lineRule="auto"/>
      </w:pPr>
      <w:r>
        <w:rPr>
          <w:rFonts w:ascii="宋体" w:hAnsi="宋体" w:eastAsia="宋体"/>
          <w:sz w:val="24"/>
        </w:rPr>
        <w:t>所有票据及附件需</w:t>
      </w:r>
      <w:r>
        <w:rPr>
          <w:rFonts w:ascii="宋体" w:hAnsi="宋体" w:eastAsia="宋体"/>
          <w:sz w:val="24"/>
          <w:u w:val="single"/>
        </w:rPr>
        <w:t>真实、合法、完整</w:t>
      </w:r>
      <w:r>
        <w:rPr>
          <w:rFonts w:ascii="宋体" w:hAnsi="宋体" w:eastAsia="宋体"/>
          <w:sz w:val="24"/>
        </w:rPr>
        <w:t>，用于纳税和审计。</w:t>
      </w:r>
    </w:p>
    <w:sectPr w:rsidR="00FC693F" w:rsidRPr="0006063C" w:rsidSect="00034616">
      <w:pgSz w:w="11906" w:h="16838"/>
      <w:pgMar w:top="1020" w:right="680" w:bottom="102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