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&lt; 넷마블 2025년 4분기 영업실적 콘퍼런스 콜 정리 &gt;</w:t>
      </w:r>
    </w:p>
    <w:p/>
    <w:p>
      <w:r>
        <w:rPr>
          <w:b/>
          <w:sz w:val="22"/>
        </w:rPr>
        <w:t># 연간 영업 실적</w:t>
      </w:r>
    </w:p>
    <w:p>
      <w:r>
        <w:t>[매출] 2조 8351억 원 (YoY +6.4%)</w:t>
      </w:r>
    </w:p>
    <w:p>
      <w:r>
        <w:t>[EBITDA] 4840억 원 (YoY +30.8%)</w:t>
      </w:r>
    </w:p>
    <w:p>
      <w:r>
        <w:t>- 다수의 흥행작 출시로 역대 최대 매출 기록</w:t>
      </w:r>
    </w:p>
    <w:p>
      <w:r>
        <w:t>- 비용 효율화로 17.1%의 EBITDA 이익률 달성</w:t>
      </w:r>
    </w:p>
    <w:p/>
    <w:p>
      <w:r>
        <w:rPr>
          <w:b/>
          <w:sz w:val="22"/>
        </w:rPr>
        <w:t># 2025년 4분기 영업 실적</w:t>
      </w:r>
    </w:p>
    <w:p>
      <w:r>
        <w:t>[매출] 7976억 원 (QoQ +14.6%, YoY +22.9%)</w:t>
      </w:r>
    </w:p>
    <w:p>
      <w:r>
        <w:t>[EBITDA] 1489억 원 (QoQ +21.7%, YoY +102.9%)</w:t>
      </w:r>
    </w:p>
    <w:p>
      <w:r>
        <w:t>[영업이익] 1108억 원</w:t>
      </w:r>
    </w:p>
    <w:p>
      <w:r>
        <w:t>[당기순이익] -359억 원</w:t>
      </w:r>
    </w:p>
    <w:p>
      <w:r>
        <w:t>- 해외 자회사의 계절성 업데이트와 글로벌 지역 확장 성과 반영</w:t>
      </w:r>
    </w:p>
    <w:p>
      <w:r>
        <w:t>- 무형자산 손상 반영으로 순손실 기록</w:t>
      </w:r>
    </w:p>
    <w:p/>
    <w:p>
      <w:r>
        <w:rPr>
          <w:b/>
          <w:sz w:val="22"/>
        </w:rPr>
        <w:t># 매출 포트폴리오</w:t>
      </w:r>
    </w:p>
    <w:p>
      <w:r>
        <w:t>주요 제품/서비스별 매출 비중</w:t>
      </w:r>
    </w:p>
    <w:p>
      <w:r>
        <w:t>: 세븐 나이츠 리버스 15%, 마블 콘테스트 오브 챔피언스 11%, 엠피로 잭팟 월드 각 7%, 라차 슬롯, 캐시 프렌지 각 6%</w:t>
      </w:r>
    </w:p>
    <w:p/>
    <w:p>
      <w:r>
        <w:rPr>
          <w:b/>
          <w:sz w:val="22"/>
        </w:rPr>
        <w:t># 지역/부문별 매출 구성</w:t>
      </w:r>
    </w:p>
    <w:p>
      <w:r>
        <w:t>[지역별] 북미 39%, 한국 23%, 유럽 및 동남아 각 12%, 일본 7%, 기타 7%</w:t>
      </w:r>
    </w:p>
    <w:p>
      <w:r>
        <w:t>[부문별] RPG 42%, 캐주얼 게임 33%, MMORPG 18%, 기타 7%</w:t>
      </w:r>
    </w:p>
    <w:p/>
    <w:p>
      <w:r>
        <w:rPr>
          <w:b/>
          <w:sz w:val="22"/>
        </w:rPr>
        <w:t># 주요 비용구조</w:t>
      </w:r>
    </w:p>
    <w:p>
      <w:r>
        <w:t>주요 비용 항목별 금액 및 증감</w:t>
      </w:r>
    </w:p>
    <w:p>
      <w:r>
        <w:t>- 영업비용 6868억 원 (QoQ +13.5%, YoY +11.9%)</w:t>
      </w:r>
    </w:p>
    <w:p>
      <w:r>
        <w:t>- 마케팅비 1787억 원 (QoQ +23%, YoY +48.3%)</w:t>
      </w:r>
    </w:p>
    <w:p>
      <w:r>
        <w:t>- 인건비 1820억 원 (QoQ +6.8%, YoY +1.8%)</w:t>
      </w:r>
    </w:p>
    <w:p>
      <w:r>
        <w:t>- 지급 수수료율 31.6% (QoQ -0.7%p)</w:t>
      </w:r>
    </w:p>
    <w:p/>
    <w:p>
      <w:r>
        <w:rPr>
          <w:b/>
          <w:sz w:val="22"/>
        </w:rPr>
        <w:t># 향후 계획/파이프라인</w:t>
      </w:r>
    </w:p>
    <w:p>
      <w:r>
        <w:t>[2026년 1분기] 스톤에이지 키우기, 7개의 대죄 오리지널 출시</w:t>
      </w:r>
    </w:p>
    <w:p>
      <w:r>
        <w:t>[2026년 2분기] 솔 인텐트, 모계 스타다이브 출시 예정</w:t>
      </w:r>
    </w:p>
    <w:p>
      <w:r>
        <w:t>[하반기] 신작 4종 추가 출시 계획</w:t>
      </w:r>
    </w:p>
    <w:p/>
    <w:p>
      <w:r>
        <w:rPr>
          <w:b/>
          <w:sz w:val="22"/>
        </w:rPr>
        <w:t># 주주환원 정책</w:t>
      </w:r>
    </w:p>
    <w:p>
      <w:r>
        <w:t>- 2025년 지배주주 순이익의 30%를 활용하여 718억 원의 현금 배당 시행 예정 (YoY +110%)</w:t>
      </w:r>
    </w:p>
    <w:p>
      <w:r>
        <w:t>- 2026년부터 주주환원 비율을 40%로 확대, 자사주 매입 및 소각 계획</w:t>
      </w:r>
    </w:p>
    <w:p/>
    <w:p>
      <w:r>
        <w:rPr>
          <w:b/>
        </w:rPr>
        <w:t>* Comment</w:t>
      </w:r>
    </w:p>
    <w:p>
      <w:r>
        <w:t>- 넷마블은 흥행작의 성공적인 출시와 비용 효율화를 통해 견조한 수익성을 유지하고 있음</w:t>
      </w:r>
    </w:p>
    <w:p>
      <w:r>
        <w:t>- 2026년에는 대형 신작 출시와 전략적 비용 관리로 실적 개선 기대</w:t>
      </w:r>
    </w:p>
    <w:p>
      <w:r>
        <w:t>- 주주환원 정책 강화로 주주 가치를 높이기 위한 노력을 지속</w:t>
      </w:r>
    </w:p>
    <w:p/>
    <w:p>
      <w:r>
        <w:rPr>
          <w:b/>
        </w:rPr>
        <w:t>Q&amp;A</w:t>
      </w:r>
    </w:p>
    <w:p>
      <w:r>
        <w:rPr>
          <w:b/>
        </w:rPr>
        <w:t>Q1. (김준현/HSBC)</w:t>
      </w:r>
    </w:p>
    <w:p>
      <w:r>
        <w:rPr>
          <w:b/>
        </w:rPr>
        <w:t>Q1-1. 2026년 지급 수수료율에 대한 전망은?</w:t>
      </w:r>
    </w:p>
    <w:p>
      <w:r>
        <w:t>- 2026년 지급 수수료율은 2025년 대비 감소할 것으로 예상됨. PC 결제 비중 증가와 해외 자회사의 PC 결제 확대가 주요 원인.</w:t>
      </w:r>
    </w:p>
    <w:p/>
    <w:p>
      <w:r>
        <w:rPr>
          <w:b/>
        </w:rPr>
        <w:t>Q2. (최승호/DS투자증권)</w:t>
      </w:r>
    </w:p>
    <w:p>
      <w:r>
        <w:rPr>
          <w:b/>
        </w:rPr>
        <w:t>Q2-1. 2026년 마케팅비 및 인건비 가이던스는?</w:t>
      </w:r>
    </w:p>
    <w:p>
      <w:r>
        <w:t>- 마케팅비는 2025년과 유사한 비율로 유지될 예정이며, 인건비는 매출 증가에 따라 비중이 줄어들 것으로 예상.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