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 xml:space="preserve"> Организационно-экономическая часть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В данной научно-исследовательской работе рассматривается вопрос повышения эффективности конструкторско-технологической подготовки производства с использованием САПР.</w:t>
      </w:r>
    </w:p>
    <w:p w:rsidR="00E974CE" w:rsidRPr="00DD50C7" w:rsidRDefault="00E974CE" w:rsidP="00E974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D50C7">
        <w:rPr>
          <w:rFonts w:ascii="Times New Roman" w:hAnsi="Times New Roman" w:cs="Times New Roman"/>
          <w:color w:val="000000"/>
          <w:sz w:val="28"/>
          <w:szCs w:val="28"/>
        </w:rPr>
        <w:t xml:space="preserve">Ключевыми факторами эффективности современного машиностроительного производства являются сжатые сроки и высокое качество его технологической подготовки, включающей технологический контроль чертежей, назначение оптимальных заготовок, нормирование расхода основных и вспомогательных материалов, </w:t>
      </w:r>
      <w:proofErr w:type="spellStart"/>
      <w:r w:rsidRPr="00DD50C7">
        <w:rPr>
          <w:rFonts w:ascii="Times New Roman" w:hAnsi="Times New Roman" w:cs="Times New Roman"/>
          <w:color w:val="000000"/>
          <w:sz w:val="28"/>
          <w:szCs w:val="28"/>
        </w:rPr>
        <w:t>расцеховку</w:t>
      </w:r>
      <w:proofErr w:type="spellEnd"/>
      <w:r w:rsidRPr="00DD50C7">
        <w:rPr>
          <w:rFonts w:ascii="Times New Roman" w:hAnsi="Times New Roman" w:cs="Times New Roman"/>
          <w:color w:val="000000"/>
          <w:sz w:val="28"/>
          <w:szCs w:val="28"/>
        </w:rPr>
        <w:t xml:space="preserve"> всех составляющих компонентов изделия, разработку технологических процессов изготовления деталей и сборочных единиц (ДСЕ) по различным видам производства, выдачу заданий на проектирование и изготовление/доработку оснастки, составление плана-графика подготовки производства, проектирование и</w:t>
      </w:r>
      <w:proofErr w:type="gramEnd"/>
      <w:r w:rsidRPr="00DD50C7">
        <w:rPr>
          <w:rFonts w:ascii="Times New Roman" w:hAnsi="Times New Roman" w:cs="Times New Roman"/>
          <w:color w:val="000000"/>
          <w:sz w:val="28"/>
          <w:szCs w:val="28"/>
        </w:rPr>
        <w:t xml:space="preserve"> изготовление средств технологического оснащения (СТО), выверку разработанных технологических процессов и отладку средств оснащения в процессе производства. Удельная доля технологической подготовки производства (ТПП) в общем объеме всей трудоемкости подготовки производства составляет от 50 до 80%. И от того, насколько качественно выполнена ТПП, зависят и эффективность производства, и качество выпускаемых изделий.</w:t>
      </w:r>
    </w:p>
    <w:p w:rsidR="00E974CE" w:rsidRPr="00DD50C7" w:rsidRDefault="00E974CE" w:rsidP="00E974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Теоретический анализ, а также проведенная практическая работа показали, что </w:t>
      </w:r>
      <w:r w:rsidRPr="00DD50C7">
        <w:rPr>
          <w:rFonts w:ascii="Times New Roman" w:hAnsi="Times New Roman" w:cs="Times New Roman"/>
          <w:color w:val="231F20"/>
          <w:sz w:val="28"/>
          <w:szCs w:val="28"/>
        </w:rPr>
        <w:t>максимально автоматизировать процесс разработки технологических процессов можно только за счет связи конструкторских и технологических данных. Автоматический перенос данных из чертежа, трехмерной модели, а также информации о детали (сборке), материале и заготовке позволит на начальном этапе разработки ТП сразу использовать эти данные без дополнительного назначения и выбора их из справочников. Также следует отметить, что при разработке техпроцесса технологу постоянно требуется различная справочная информация - данные о материалах, оборудовании, инструменте и т.п.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50C7">
        <w:rPr>
          <w:rFonts w:ascii="Times New Roman" w:hAnsi="Times New Roman" w:cs="Times New Roman"/>
          <w:sz w:val="28"/>
          <w:szCs w:val="28"/>
        </w:rPr>
        <w:t>Поэтому применение современных систем автоматизированного проектирования технологических процессов существенно позволяет сократить сроки и повысить качество конструкторско-технологической подготовки производства за счет возможности: проектировать технологические процессы в автоматизированном режиме; рассчитывать материальные и трудовые затраты производства; формировать все необходимые комплекты технологической документации, используемые на предприятии; организовать и развивать технологические базы данных предприятия; передавать данные в различные системы планирования и управления.</w:t>
      </w:r>
      <w:proofErr w:type="gramEnd"/>
    </w:p>
    <w:p w:rsidR="00E974CE" w:rsidRPr="00DD50C7" w:rsidRDefault="00E974CE" w:rsidP="00E974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Организационно-экономическая часть выполняется для определения затрат на научно-исследовательскую работу (НИР) по изучению методов и алгоритмов автоматизированной конструкторско-технологической подготовки производства с использованием САПР.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D50C7">
        <w:rPr>
          <w:rFonts w:ascii="Times New Roman" w:hAnsi="Times New Roman" w:cs="Times New Roman"/>
          <w:sz w:val="28"/>
          <w:szCs w:val="28"/>
        </w:rPr>
        <w:t>.1 Организация конструкторско-технологической подготовки производства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Основной задачей конструкторско-технологической подготовки производства (КТПП) является подготовка конструкторско-технологической документации для изготовления изделия. 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3.1.1 Исходные данные по НИР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Исходные данные для проведения НИР:</w:t>
      </w:r>
    </w:p>
    <w:p w:rsidR="00E974CE" w:rsidRPr="004B3356" w:rsidRDefault="00E974CE" w:rsidP="00E974CE">
      <w:pPr>
        <w:pStyle w:val="a3"/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</w:rPr>
      </w:pPr>
      <w:r w:rsidRPr="004B3356">
        <w:rPr>
          <w:rFonts w:ascii="Times New Roman" w:hAnsi="Times New Roman"/>
        </w:rPr>
        <w:t>количество исполнителей, привлекаемых к проведению НИР – 1 человек с полной занятостью, 1 человек с частичной занятостью;</w:t>
      </w:r>
    </w:p>
    <w:p w:rsidR="00E974CE" w:rsidRPr="004B3356" w:rsidRDefault="00E974CE" w:rsidP="00E974CE">
      <w:pPr>
        <w:pStyle w:val="a3"/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</w:rPr>
      </w:pPr>
      <w:r w:rsidRPr="004B3356">
        <w:rPr>
          <w:rFonts w:ascii="Times New Roman" w:hAnsi="Times New Roman"/>
        </w:rPr>
        <w:t>оборудованием является 1 ЭВМ (ПК);</w:t>
      </w:r>
    </w:p>
    <w:p w:rsidR="00E974CE" w:rsidRPr="004B3356" w:rsidRDefault="00E974CE" w:rsidP="00E974CE">
      <w:pPr>
        <w:pStyle w:val="a3"/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</w:rPr>
      </w:pPr>
      <w:r w:rsidRPr="004B3356">
        <w:rPr>
          <w:rFonts w:ascii="Times New Roman" w:hAnsi="Times New Roman"/>
        </w:rPr>
        <w:t>при проведении работ исполнителем закупаются лицензионные программы:</w:t>
      </w:r>
      <w:r w:rsidRPr="004B3356">
        <w:rPr>
          <w:rFonts w:ascii="Times New Roman" w:hAnsi="Times New Roman"/>
          <w:lang w:val="en-US"/>
        </w:rPr>
        <w:t>CAPP</w:t>
      </w:r>
      <w:r w:rsidRPr="004B3356">
        <w:rPr>
          <w:rFonts w:ascii="Times New Roman" w:hAnsi="Times New Roman"/>
        </w:rPr>
        <w:t xml:space="preserve"> система САПР ТП «ВЕРТИКАЛЬ </w:t>
      </w:r>
      <w:r w:rsidRPr="004B3356">
        <w:rPr>
          <w:rFonts w:ascii="Times New Roman" w:hAnsi="Times New Roman"/>
          <w:lang w:val="en-US"/>
        </w:rPr>
        <w:t>V</w:t>
      </w:r>
      <w:r w:rsidRPr="004B3356">
        <w:rPr>
          <w:rFonts w:ascii="Times New Roman" w:hAnsi="Times New Roman"/>
        </w:rPr>
        <w:t xml:space="preserve">5», CAD система «КОМПАС 3D V14», </w:t>
      </w:r>
      <w:r w:rsidRPr="004B3356">
        <w:rPr>
          <w:rFonts w:ascii="Times New Roman" w:hAnsi="Times New Roman"/>
          <w:lang w:val="en-US"/>
        </w:rPr>
        <w:t>CAE</w:t>
      </w:r>
      <w:r w:rsidRPr="004B3356">
        <w:rPr>
          <w:rFonts w:ascii="Times New Roman" w:hAnsi="Times New Roman"/>
        </w:rPr>
        <w:t xml:space="preserve"> система прочностного анализа «</w:t>
      </w:r>
      <w:r w:rsidRPr="004B3356">
        <w:rPr>
          <w:rFonts w:ascii="Times New Roman" w:hAnsi="Times New Roman"/>
          <w:lang w:val="en-US"/>
        </w:rPr>
        <w:t>APMFEM</w:t>
      </w:r>
      <w:r w:rsidRPr="004B3356">
        <w:rPr>
          <w:rFonts w:ascii="Times New Roman" w:hAnsi="Times New Roman"/>
        </w:rPr>
        <w:t xml:space="preserve">», </w:t>
      </w:r>
      <w:r w:rsidRPr="004B3356">
        <w:rPr>
          <w:rFonts w:ascii="Times New Roman" w:hAnsi="Times New Roman"/>
          <w:lang w:val="en-US"/>
        </w:rPr>
        <w:t>CAM</w:t>
      </w:r>
      <w:r w:rsidRPr="004B3356">
        <w:rPr>
          <w:rFonts w:ascii="Times New Roman" w:hAnsi="Times New Roman"/>
        </w:rPr>
        <w:t xml:space="preserve"> система ГЕММА-3</w:t>
      </w:r>
      <w:r w:rsidRPr="004B3356">
        <w:rPr>
          <w:rFonts w:ascii="Times New Roman" w:hAnsi="Times New Roman"/>
          <w:lang w:val="en-US"/>
        </w:rPr>
        <w:t>D</w:t>
      </w:r>
      <w:r w:rsidRPr="004B3356">
        <w:rPr>
          <w:rFonts w:ascii="Times New Roman" w:hAnsi="Times New Roman"/>
        </w:rPr>
        <w:t>, комплекс лицензионных программ для оформления документации «</w:t>
      </w:r>
      <w:r w:rsidRPr="004B3356">
        <w:rPr>
          <w:rFonts w:ascii="Times New Roman" w:hAnsi="Times New Roman"/>
          <w:lang w:val="en-US"/>
        </w:rPr>
        <w:t>MicrosoftOffice</w:t>
      </w:r>
      <w:r w:rsidRPr="004B3356">
        <w:rPr>
          <w:rFonts w:ascii="Times New Roman" w:hAnsi="Times New Roman"/>
        </w:rPr>
        <w:t>»;</w:t>
      </w:r>
    </w:p>
    <w:p w:rsidR="00E974CE" w:rsidRPr="004B3356" w:rsidRDefault="00E974CE" w:rsidP="00E974CE">
      <w:pPr>
        <w:pStyle w:val="a3"/>
        <w:numPr>
          <w:ilvl w:val="0"/>
          <w:numId w:val="31"/>
        </w:numPr>
        <w:tabs>
          <w:tab w:val="left" w:pos="851"/>
        </w:tabs>
        <w:spacing w:after="0" w:line="240" w:lineRule="auto"/>
        <w:ind w:left="0" w:firstLine="709"/>
        <w:contextualSpacing/>
        <w:jc w:val="both"/>
        <w:rPr>
          <w:rFonts w:ascii="Times New Roman" w:hAnsi="Times New Roman"/>
        </w:rPr>
      </w:pPr>
      <w:r w:rsidRPr="004B3356">
        <w:rPr>
          <w:rFonts w:ascii="Times New Roman" w:hAnsi="Times New Roman"/>
        </w:rPr>
        <w:t>срок выполнения НИР 8 месяцев.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3356">
        <w:rPr>
          <w:rFonts w:ascii="Times New Roman" w:hAnsi="Times New Roman" w:cs="Times New Roman"/>
          <w:sz w:val="28"/>
          <w:szCs w:val="28"/>
        </w:rPr>
        <w:t>Состав и занятость исполнителей, привлекаемых к выполнению научно-исследовательской работы, показаны в таблице 3.1.</w:t>
      </w:r>
      <w:proofErr w:type="gramEnd"/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Таблица 3.1 – Состав и количество исполнителей, привлекаемых к выполнению НИР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2268"/>
        <w:gridCol w:w="2816"/>
        <w:gridCol w:w="2393"/>
      </w:tblGrid>
      <w:tr w:rsidR="00E974CE" w:rsidRPr="004B3356" w:rsidTr="004650BC">
        <w:tc>
          <w:tcPr>
            <w:tcW w:w="2093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Исполнители</w:t>
            </w:r>
          </w:p>
        </w:tc>
        <w:tc>
          <w:tcPr>
            <w:tcW w:w="2268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Количество, чел.</w:t>
            </w:r>
          </w:p>
        </w:tc>
        <w:tc>
          <w:tcPr>
            <w:tcW w:w="2816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Занятость по теме, мес.</w:t>
            </w:r>
          </w:p>
        </w:tc>
        <w:tc>
          <w:tcPr>
            <w:tcW w:w="2393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Месячные оклады</w:t>
            </w:r>
            <w:r w:rsidR="00D26622">
              <w:rPr>
                <w:sz w:val="28"/>
                <w:szCs w:val="28"/>
              </w:rPr>
              <w:t xml:space="preserve"> с учетом занятости</w:t>
            </w:r>
            <w:r w:rsidRPr="004B3356">
              <w:rPr>
                <w:sz w:val="28"/>
                <w:szCs w:val="28"/>
              </w:rPr>
              <w:t>, руб.</w:t>
            </w:r>
          </w:p>
        </w:tc>
      </w:tr>
      <w:tr w:rsidR="00E974CE" w:rsidRPr="004B3356" w:rsidTr="004650BC">
        <w:tc>
          <w:tcPr>
            <w:tcW w:w="2093" w:type="dxa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268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7700</w:t>
            </w:r>
          </w:p>
        </w:tc>
      </w:tr>
      <w:tr w:rsidR="00E974CE" w:rsidRPr="004B3356" w:rsidTr="004650BC">
        <w:tc>
          <w:tcPr>
            <w:tcW w:w="2093" w:type="dxa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Магистрант</w:t>
            </w:r>
          </w:p>
        </w:tc>
        <w:tc>
          <w:tcPr>
            <w:tcW w:w="2268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8</w:t>
            </w:r>
          </w:p>
        </w:tc>
        <w:tc>
          <w:tcPr>
            <w:tcW w:w="2393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1800 (1 стипендия)</w:t>
            </w:r>
          </w:p>
        </w:tc>
      </w:tr>
    </w:tbl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3356">
        <w:rPr>
          <w:rFonts w:ascii="Times New Roman" w:hAnsi="Times New Roman" w:cs="Times New Roman"/>
          <w:sz w:val="28"/>
          <w:szCs w:val="28"/>
        </w:rPr>
        <w:t>Состав оборудования, используемого при выполнении научно-исследовательской работы, показаны в таблице 3.2.</w:t>
      </w:r>
      <w:proofErr w:type="gramEnd"/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Таблица 3.2 – Состав оборудования, непосредственно привлекаемого к выполнению НИР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1687"/>
        <w:gridCol w:w="1588"/>
        <w:gridCol w:w="1390"/>
        <w:gridCol w:w="1434"/>
        <w:gridCol w:w="1507"/>
      </w:tblGrid>
      <w:tr w:rsidR="00E974CE" w:rsidRPr="004B3356" w:rsidTr="004650BC"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Количество, единиц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Балансовая стоимость, руб.</w:t>
            </w:r>
          </w:p>
        </w:tc>
        <w:tc>
          <w:tcPr>
            <w:tcW w:w="1595" w:type="dxa"/>
            <w:vAlign w:val="center"/>
          </w:tcPr>
          <w:p w:rsidR="00E974CE" w:rsidRPr="004B3356" w:rsidRDefault="00354EE3" w:rsidP="004650B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</w:rPr>
                      <m:t>им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E974CE" w:rsidRPr="004B3356" w:rsidRDefault="00354EE3" w:rsidP="004650B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у</m:t>
                  </m:r>
                </m:sub>
              </m:sSub>
            </m:oMath>
            <w:r w:rsidR="00E974CE" w:rsidRPr="004B3356">
              <w:rPr>
                <w:rFonts w:eastAsiaTheme="minorEastAsia"/>
                <w:sz w:val="28"/>
                <w:szCs w:val="28"/>
              </w:rPr>
              <w:t>, кВт·</w:t>
            </w:r>
            <w:proofErr w:type="gramStart"/>
            <w:r w:rsidR="00E974CE" w:rsidRPr="004B3356">
              <w:rPr>
                <w:rFonts w:eastAsiaTheme="minorEastAsia"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Срок службы, лет</w:t>
            </w:r>
          </w:p>
        </w:tc>
      </w:tr>
      <w:tr w:rsidR="00E974CE" w:rsidRPr="004B3356" w:rsidTr="004650BC"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ЭВМ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30000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0,85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0,35</w:t>
            </w:r>
          </w:p>
        </w:tc>
        <w:tc>
          <w:tcPr>
            <w:tcW w:w="1595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  <w:lang w:val="en-US"/>
              </w:rPr>
            </w:pPr>
            <w:r w:rsidRPr="004B3356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B3356">
        <w:rPr>
          <w:rFonts w:ascii="Times New Roman" w:hAnsi="Times New Roman" w:cs="Times New Roman"/>
          <w:sz w:val="28"/>
          <w:szCs w:val="28"/>
        </w:rPr>
        <w:t>Состав расходного материала, используемого при выполнении научно-исследовательской работы, показаны в таблице 3.3.</w:t>
      </w:r>
      <w:proofErr w:type="gramEnd"/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lastRenderedPageBreak/>
        <w:t>Таблица 3.3 – Состав и стоимость расходного материала, используемого при выполнении НИР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974CE" w:rsidRPr="004B3356" w:rsidTr="004650BC"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Количество, единиц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Стоимость одной единицы, руб.</w:t>
            </w:r>
          </w:p>
        </w:tc>
      </w:tr>
      <w:tr w:rsidR="00E974CE" w:rsidRPr="004B3356" w:rsidTr="004650BC"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Бумага (формат А</w:t>
            </w:r>
            <w:proofErr w:type="gramStart"/>
            <w:r w:rsidRPr="004B3356">
              <w:rPr>
                <w:sz w:val="28"/>
                <w:szCs w:val="28"/>
              </w:rPr>
              <w:t>4</w:t>
            </w:r>
            <w:proofErr w:type="gramEnd"/>
            <w:r w:rsidRPr="004B3356">
              <w:rPr>
                <w:sz w:val="28"/>
                <w:szCs w:val="28"/>
              </w:rPr>
              <w:t>)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250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0,3</w:t>
            </w:r>
          </w:p>
        </w:tc>
      </w:tr>
      <w:tr w:rsidR="00E974CE" w:rsidRPr="004B3356" w:rsidTr="004650BC"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Краска для принтера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0,03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250</w:t>
            </w:r>
          </w:p>
        </w:tc>
      </w:tr>
      <w:tr w:rsidR="00E974CE" w:rsidRPr="004B3356" w:rsidTr="004650BC"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Ручка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E974CE" w:rsidRPr="004B3356" w:rsidRDefault="00E974CE" w:rsidP="004650BC">
            <w:pPr>
              <w:jc w:val="center"/>
              <w:rPr>
                <w:sz w:val="28"/>
                <w:szCs w:val="28"/>
              </w:rPr>
            </w:pPr>
            <w:r w:rsidRPr="004B3356">
              <w:rPr>
                <w:sz w:val="28"/>
                <w:szCs w:val="28"/>
              </w:rPr>
              <w:t>8</w:t>
            </w:r>
          </w:p>
        </w:tc>
      </w:tr>
    </w:tbl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3.2 Расчет себестоимости темы НИР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Расчет сметной себестоимости темы НИР производится по методике согласно источнику [3].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Смета затрат на выполнение темы состоит из следующих основных статей затрат: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>, (1)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прямые материальные затраты;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– затраты по основной заработной плате исполнителей темы (включая руководителя темы);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затраты по дополнительной заработной плате исполнителей темы;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затраты на использование оборудования;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отчисления по единому социальному налогу;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накладные (общехозяйственные) расходы;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затраты на командировки исполнителей;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контрагентские расходы;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– затраты, связанные с приобретением пакета программ для автоматизированного проектирования.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В составе прямых материальных затрат учитываются затраты на потребляемые непосредственно при выполнении темы материальные ресурсы: расходные материалы, затраты на изготовление макетов, образцов и др.: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расх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(2)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– коэффициент, учитывающий транспортно-заготовительные расходы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=1,15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1,25</m:t>
        </m:r>
      </m:oMath>
      <w:r w:rsidRPr="00254EB5">
        <w:rPr>
          <w:rFonts w:ascii="Times New Roman" w:hAnsi="Times New Roman" w:cs="Times New Roman"/>
          <w:sz w:val="28"/>
          <w:szCs w:val="28"/>
        </w:rPr>
        <w:t>);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– количество видов (номенклатура) материальных ресурсов, потребляемых при изготовлении темы;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расх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количество материальных ресурсов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-го вида, планируемых к использованию при выполнении темы;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цена приобретения единицы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-го вида потребляемых материальных ресурсов.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Затраты по основной заработной плате исполнителей темы рассчитываются с учетом установленной продолжительности темы и занятости исполнителей при выполнении отдельных видов работ: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мес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974CE" w:rsidRPr="00453107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(3)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 xml:space="preserve">где </w:t>
      </w:r>
      <w:r w:rsidRPr="00453107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453107">
        <w:rPr>
          <w:rFonts w:ascii="Times New Roman" w:hAnsi="Times New Roman" w:cs="Times New Roman"/>
          <w:sz w:val="28"/>
          <w:szCs w:val="28"/>
        </w:rPr>
        <w:t xml:space="preserve"> – количество видов работ (категорий исполнителей);</w:t>
      </w: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453107">
        <w:rPr>
          <w:rFonts w:ascii="Times New Roman" w:hAnsi="Times New Roman" w:cs="Times New Roman"/>
          <w:sz w:val="28"/>
          <w:szCs w:val="28"/>
        </w:rPr>
        <w:t xml:space="preserve"> -</w:t>
      </w:r>
      <w:r w:rsidR="00E974CE" w:rsidRPr="00DD50C7">
        <w:rPr>
          <w:rFonts w:ascii="Times New Roman" w:hAnsi="Times New Roman" w:cs="Times New Roman"/>
          <w:sz w:val="28"/>
          <w:szCs w:val="28"/>
        </w:rPr>
        <w:t xml:space="preserve"> занятость по теме </w:t>
      </w:r>
      <w:r w:rsidR="00E974CE" w:rsidRPr="00DD50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DD50C7">
        <w:rPr>
          <w:rFonts w:ascii="Times New Roman" w:hAnsi="Times New Roman" w:cs="Times New Roman"/>
          <w:sz w:val="28"/>
          <w:szCs w:val="28"/>
        </w:rPr>
        <w:t>-й категории исполнителей, мес.;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мес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месячные оклады исполнителей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-й категории, руб./мес.;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количество исполнителей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-й категории.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Затраты по дополнительной зарплате исполнителей учитывают оплату отпусков, доплаты за выполнение гражданских обязанностей и иные доплаты, предусмотренные Трудовым кодексом РФ: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      (4)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коэффициент, учитывающий затраты по дополнительной зарплате (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254EB5">
        <w:rPr>
          <w:rFonts w:ascii="Times New Roman" w:hAnsi="Times New Roman" w:cs="Times New Roman"/>
          <w:sz w:val="28"/>
          <w:szCs w:val="28"/>
        </w:rPr>
        <w:t>=0,10…0,15).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Затраты на использование оборудования учитывают затраты по использованию вычислительной, измерительной, копировальной, моделирующей и иной техники (машин, приборов, оборудования). Их величина определяется по конкретным видам оборудования: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м-ч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маш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(5)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количество типов оборудования, используемых при выполнении темы;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м-ч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себестоимость одного </w:t>
      </w:r>
      <w:proofErr w:type="spellStart"/>
      <w:r w:rsidR="00E974CE" w:rsidRPr="00254EB5">
        <w:rPr>
          <w:rFonts w:ascii="Times New Roman" w:hAnsi="Times New Roman" w:cs="Times New Roman"/>
          <w:sz w:val="28"/>
          <w:szCs w:val="28"/>
        </w:rPr>
        <w:t>маш</w:t>
      </w:r>
      <w:proofErr w:type="spellEnd"/>
      <w:r w:rsidR="00E974CE" w:rsidRPr="00254EB5">
        <w:rPr>
          <w:rFonts w:ascii="Times New Roman" w:hAnsi="Times New Roman" w:cs="Times New Roman"/>
          <w:sz w:val="28"/>
          <w:szCs w:val="28"/>
        </w:rPr>
        <w:t xml:space="preserve">-ч работы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-го типа оборудования, руб./</w:t>
      </w:r>
      <w:proofErr w:type="spellStart"/>
      <w:r w:rsidR="00E974CE" w:rsidRPr="00254EB5">
        <w:rPr>
          <w:rFonts w:ascii="Times New Roman" w:hAnsi="Times New Roman" w:cs="Times New Roman"/>
          <w:sz w:val="28"/>
          <w:szCs w:val="28"/>
        </w:rPr>
        <w:t>маш</w:t>
      </w:r>
      <w:proofErr w:type="spellEnd"/>
      <w:r w:rsidR="00E974CE" w:rsidRPr="00254EB5">
        <w:rPr>
          <w:rFonts w:ascii="Times New Roman" w:hAnsi="Times New Roman" w:cs="Times New Roman"/>
          <w:sz w:val="28"/>
          <w:szCs w:val="28"/>
        </w:rPr>
        <w:t>-ч;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маш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– планируемая продолжительность использования оборудования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 xml:space="preserve">-го типа при выполнении темы, </w:t>
      </w:r>
      <w:proofErr w:type="gramStart"/>
      <w:r w:rsidR="00E974CE" w:rsidRPr="00254EB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E974CE" w:rsidRPr="00254EB5">
        <w:rPr>
          <w:rFonts w:ascii="Times New Roman" w:hAnsi="Times New Roman" w:cs="Times New Roman"/>
          <w:sz w:val="28"/>
          <w:szCs w:val="28"/>
        </w:rPr>
        <w:t>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Величина себестоимости рассчитывается следующим образом: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м-ч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год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="00E974CE" w:rsidRPr="00DD50C7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(6)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где </w:t>
      </w:r>
      <w:r w:rsidRPr="00DD50C7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sub>
        </m:sSub>
      </m:oMath>
      <w:r w:rsidRPr="00DD50C7">
        <w:rPr>
          <w:rFonts w:ascii="Times New Roman" w:hAnsi="Times New Roman" w:cs="Times New Roman"/>
          <w:sz w:val="28"/>
          <w:szCs w:val="28"/>
        </w:rPr>
        <w:t xml:space="preserve"> - годовой фонд основной и дополнительной зарплаты, отчислений по социальному налогу персонала, обслуживающего оборудование, руб./год;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w:lastRenderedPageBreak/>
          <m:t>Э</m:t>
        </m:r>
      </m:oMath>
      <w:r w:rsidRPr="00DD50C7">
        <w:rPr>
          <w:rFonts w:ascii="Times New Roman" w:hAnsi="Times New Roman" w:cs="Times New Roman"/>
          <w:sz w:val="28"/>
          <w:szCs w:val="28"/>
        </w:rPr>
        <w:t xml:space="preserve"> - годовые затраты на электроэнергию, потребляемую оборудованием, руб./год;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А</m:t>
        </m:r>
      </m:oMath>
      <w:r w:rsidRPr="00DD50C7">
        <w:rPr>
          <w:rFonts w:ascii="Times New Roman" w:hAnsi="Times New Roman" w:cs="Times New Roman"/>
          <w:sz w:val="28"/>
          <w:szCs w:val="28"/>
        </w:rPr>
        <w:t xml:space="preserve"> - годовые амортизационные отчисления по оборудованию, руб./год;</w:t>
      </w: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в</m:t>
            </m:r>
          </m:sub>
        </m:sSub>
      </m:oMath>
      <w:r w:rsidR="00E974CE" w:rsidRPr="00DD50C7">
        <w:rPr>
          <w:rFonts w:ascii="Times New Roman" w:hAnsi="Times New Roman" w:cs="Times New Roman"/>
          <w:sz w:val="28"/>
          <w:szCs w:val="28"/>
        </w:rPr>
        <w:t xml:space="preserve"> - годовые затраты на вспомогательные материалы, связанные с работой оборудования (бумага, картриджи, магнитная лента и др.), руб./год;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</m:t>
        </m:r>
      </m:oMath>
      <w:r w:rsidRPr="00DD50C7">
        <w:rPr>
          <w:rFonts w:ascii="Times New Roman" w:hAnsi="Times New Roman" w:cs="Times New Roman"/>
          <w:sz w:val="28"/>
          <w:szCs w:val="28"/>
        </w:rPr>
        <w:t xml:space="preserve"> - годовые затраты на ремонтное обслуживание оборудования, руб./год;</w:t>
      </w: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</m:oMath>
      <w:r w:rsidR="00E974CE" w:rsidRPr="00DD50C7">
        <w:rPr>
          <w:rFonts w:ascii="Times New Roman" w:hAnsi="Times New Roman" w:cs="Times New Roman"/>
          <w:sz w:val="28"/>
          <w:szCs w:val="28"/>
        </w:rPr>
        <w:t xml:space="preserve"> - годовой эффективный фонд времени работы оборудования, </w:t>
      </w:r>
      <w:proofErr w:type="gramStart"/>
      <w:r w:rsidR="00E974CE" w:rsidRPr="00DD50C7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Величина годового фонда основной и дополнительной зарплаты определяется по формуле: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=12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мес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sub>
            </m:sSub>
          </m:e>
        </m:d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(7)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численность персонала, обслуживающего оборудование;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мес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месячный оклад </w:t>
      </w:r>
      <w:r w:rsidR="00E974CE" w:rsidRPr="00254EB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974CE" w:rsidRPr="00254EB5">
        <w:rPr>
          <w:rFonts w:ascii="Times New Roman" w:hAnsi="Times New Roman" w:cs="Times New Roman"/>
          <w:sz w:val="28"/>
          <w:szCs w:val="28"/>
        </w:rPr>
        <w:t>-го работника, обслуживающего оборудование, руб./мес.;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коэффициент, учитывающий затраты по дополнительной зарплате обслуживающего персонала;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коэффициент, учитывающий отчисления по единому социальному налогу.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Годовые затраты на электроэнергию, потребляемую оборудованием: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 (8)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у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- установленная мощность оборудования, кВт·</w:t>
      </w:r>
      <w:proofErr w:type="gramStart"/>
      <w:r w:rsidRPr="00254EB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тариф на электроэнергию, руб./кВт·</w:t>
      </w:r>
      <w:proofErr w:type="gramStart"/>
      <w:r w:rsidR="00E974CE" w:rsidRPr="00254EB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– коэффициент использования оборудования по мощности (для многих видов оборудования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=0,75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0,9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).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Годовые амортизационные отчисления: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аЦ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</m:oMath>
      <w:r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                    (9)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где </w:t>
      </w:r>
      <w:r w:rsidRPr="00DD50C7"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а</m:t>
        </m:r>
      </m:oMath>
      <w:r w:rsidRPr="00DD50C7">
        <w:rPr>
          <w:rFonts w:ascii="Times New Roman" w:hAnsi="Times New Roman" w:cs="Times New Roman"/>
          <w:sz w:val="28"/>
          <w:szCs w:val="28"/>
        </w:rPr>
        <w:t xml:space="preserve"> - норма амортизации, установленная для конкретного вида оборудования</w:t>
      </w:r>
      <w:proofErr w:type="gramStart"/>
      <w:r w:rsidRPr="00DD50C7">
        <w:rPr>
          <w:rFonts w:ascii="Times New Roman" w:hAnsi="Times New Roman" w:cs="Times New Roman"/>
          <w:sz w:val="28"/>
          <w:szCs w:val="28"/>
        </w:rPr>
        <w:t>, %;</w:t>
      </w:r>
      <w:proofErr w:type="gramEnd"/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Ц</m:t>
        </m:r>
      </m:oMath>
      <w:r w:rsidRPr="00DD50C7">
        <w:rPr>
          <w:rFonts w:ascii="Times New Roman" w:hAnsi="Times New Roman" w:cs="Times New Roman"/>
          <w:sz w:val="28"/>
          <w:szCs w:val="28"/>
        </w:rPr>
        <w:t xml:space="preserve"> – цена (балансовая стоимость) оборудования, руб.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Годовые затраты на вспомогательные материалы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b>
            <w:proofErr w:type="gramStart"/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в</m:t>
            </m:r>
            <w:proofErr w:type="gramEnd"/>
          </m:sub>
        </m:sSub>
      </m:oMath>
      <w:r w:rsidRPr="00DD50C7">
        <w:rPr>
          <w:rFonts w:ascii="Times New Roman" w:hAnsi="Times New Roman" w:cs="Times New Roman"/>
          <w:sz w:val="28"/>
          <w:szCs w:val="28"/>
        </w:rPr>
        <w:t xml:space="preserve"> определяются либо </w:t>
      </w:r>
      <w:proofErr w:type="gramStart"/>
      <w:r w:rsidRPr="00DD50C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D50C7">
        <w:rPr>
          <w:rFonts w:ascii="Times New Roman" w:hAnsi="Times New Roman" w:cs="Times New Roman"/>
          <w:sz w:val="28"/>
          <w:szCs w:val="28"/>
        </w:rPr>
        <w:t xml:space="preserve"> учетом норм их расхода и отпускных цен на них, либо в процентном отношении к цене оборудования.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Годовые затраты на ремонтное обслуживание оборудования </w:t>
      </w:r>
      <w:proofErr w:type="gramStart"/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</m:t>
        </m:r>
      </m:oMath>
      <w:proofErr w:type="gramEnd"/>
      <w:r w:rsidRPr="00DD50C7">
        <w:rPr>
          <w:rFonts w:ascii="Times New Roman" w:hAnsi="Times New Roman" w:cs="Times New Roman"/>
          <w:sz w:val="28"/>
          <w:szCs w:val="28"/>
        </w:rPr>
        <w:t xml:space="preserve"> рассчитываются либо с учетом имеющихся удельных нормативов затрат этого вида (т.е. затрат на один час работы оборудования, на единицу </w:t>
      </w:r>
      <w:r w:rsidRPr="00DD50C7">
        <w:rPr>
          <w:rFonts w:ascii="Times New Roman" w:hAnsi="Times New Roman" w:cs="Times New Roman"/>
          <w:sz w:val="28"/>
          <w:szCs w:val="28"/>
        </w:rPr>
        <w:lastRenderedPageBreak/>
        <w:t>производительности оборудования), либо в процентном отношении к цене оборудования.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Годовой эффективный фонд времени: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(10)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годовой номинальный фонд времени, ч;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коэффициент использования, учитывающий полезное использование оборудования в организации в течени</w:t>
      </w:r>
      <w:proofErr w:type="gramStart"/>
      <w:r w:rsidR="00E974CE" w:rsidRPr="00254EB5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E974CE" w:rsidRPr="00254EB5">
        <w:rPr>
          <w:rFonts w:ascii="Times New Roman" w:hAnsi="Times New Roman" w:cs="Times New Roman"/>
          <w:sz w:val="28"/>
          <w:szCs w:val="28"/>
        </w:rPr>
        <w:t xml:space="preserve"> года;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количество рабочих дней в году;</w:t>
      </w: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- продолжительность смены, </w:t>
      </w:r>
      <w:proofErr w:type="gramStart"/>
      <w:r w:rsidR="00E974CE" w:rsidRPr="00254EB5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планируемая сменность работы.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Отчисления </w:t>
      </w:r>
      <w:r>
        <w:rPr>
          <w:rFonts w:ascii="Times New Roman" w:hAnsi="Times New Roman" w:cs="Times New Roman"/>
          <w:sz w:val="28"/>
          <w:szCs w:val="28"/>
        </w:rPr>
        <w:t>во внебюджетные фонды и фонды социального страхования</w:t>
      </w:r>
      <w:r w:rsidRPr="00DD50C7">
        <w:rPr>
          <w:rFonts w:ascii="Times New Roman" w:hAnsi="Times New Roman" w:cs="Times New Roman"/>
          <w:sz w:val="28"/>
          <w:szCs w:val="28"/>
        </w:rPr>
        <w:t xml:space="preserve"> учитывают взносы организации в государственные внебюджетные фонды: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доп</m:t>
                </m:r>
              </m:sub>
            </m:sSub>
          </m:e>
        </m:d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   (11)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коэффициент, соответствующий действующей ставке единого социального налога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=0,3</m:t>
        </m:r>
      </m:oMath>
      <w:r w:rsidRPr="00254EB5">
        <w:rPr>
          <w:rFonts w:ascii="Times New Roman" w:hAnsi="Times New Roman" w:cs="Times New Roman"/>
          <w:sz w:val="28"/>
          <w:szCs w:val="28"/>
        </w:rPr>
        <w:t>).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Накладные (общехозяйственные и общепроизводственные расходы) учитывают затраты организации на зарплату управленческого персонала и персонала функциональных служб, на содержание и ремонт зданий и сооружений организации, иные расходы: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осн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зп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доп</m:t>
                </m:r>
              </m:sub>
            </m:sSub>
          </m:e>
        </m:d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>,                                                                     (12)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где </w:t>
      </w:r>
      <w:r w:rsidRPr="00254EB5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- коэффициент, учитывающий накладные расходы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2,2</m:t>
        </m:r>
      </m:oMath>
      <w:r w:rsidRPr="00254EB5">
        <w:rPr>
          <w:rFonts w:ascii="Times New Roman" w:hAnsi="Times New Roman" w:cs="Times New Roman"/>
          <w:sz w:val="28"/>
          <w:szCs w:val="28"/>
        </w:rPr>
        <w:t>).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Затраты на командировки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исполнителей определяются в соответствии с планом выполнения темы и учетом действующих норм командировочных расходов различного вида и транспортных тарифов.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Контрагентские расходы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включают затраты, связанные с выполнением каких-либо работ по теме сторонними организациями. Величина расходов зависит от планируемого объема этих работ и определяется по договоренности с контрагентом.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 xml:space="preserve">Затраты, связанные с приобретением пакета программ для автоматизированного проектирования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Pr="00254EB5">
        <w:rPr>
          <w:rFonts w:ascii="Times New Roman" w:hAnsi="Times New Roman" w:cs="Times New Roman"/>
          <w:sz w:val="28"/>
          <w:szCs w:val="28"/>
        </w:rPr>
        <w:t xml:space="preserve"> определяются по договоренности с поставщиками.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Выполняем расчеты: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250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0,3+0,03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250+1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=108,6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=4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7700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1+8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1800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1=45200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=45200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0,15=6780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=248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0,85=1686,4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ч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=0,35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4,5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1686,4=2124,86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=6000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=2000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м-ч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0+2124,86+6000+0+2000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1686,4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=6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 руб./маш-ч;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маш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248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8=1322,7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ч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=6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1322,7=7936,2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45200+6780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0,3=16113,8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45200+6780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2=103960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контр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=1400+1000+1000=3400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.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;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=108,6+45200+6780+7936,2+16113,8+103960+0+0++3400=183498,6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Планируемая цена выполнения темы: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sub>
        </m:sSub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100</m:t>
                </m:r>
              </m:den>
            </m:f>
          </m:e>
        </m:d>
      </m:oMath>
      <w:r w:rsidR="00E974CE" w:rsidRPr="00254EB5">
        <w:rPr>
          <w:rFonts w:ascii="Times New Roman" w:hAnsi="Times New Roman" w:cs="Times New Roman"/>
          <w:sz w:val="28"/>
          <w:szCs w:val="28"/>
        </w:rPr>
        <w:t xml:space="preserve">,                                 </w:t>
      </w:r>
      <w:r w:rsidR="00E974CE" w:rsidRPr="00254EB5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(13)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где </w:t>
      </w:r>
      <w:r w:rsidRPr="00DD50C7">
        <w:rPr>
          <w:rFonts w:ascii="Times New Roman" w:hAnsi="Times New Roman" w:cs="Times New Roman"/>
          <w:sz w:val="28"/>
          <w:szCs w:val="28"/>
        </w:rPr>
        <w:tab/>
      </w:r>
      <w:proofErr w:type="gramStart"/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</m:t>
        </m:r>
      </m:oMath>
      <w:proofErr w:type="gramEnd"/>
      <w:r w:rsidRPr="00DD50C7">
        <w:rPr>
          <w:rFonts w:ascii="Times New Roman" w:hAnsi="Times New Roman" w:cs="Times New Roman"/>
          <w:sz w:val="28"/>
          <w:szCs w:val="28"/>
        </w:rPr>
        <w:t xml:space="preserve"> - норма рентабельности, %.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Находим: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=183498,6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20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=220198,32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.3 Затраты на подготовку технологической документации по существующей технологии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Состав и занятость исполнителей, </w:t>
      </w:r>
      <w:proofErr w:type="gramStart"/>
      <w:r w:rsidRPr="00DD50C7"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 w:rsidRPr="00DD50C7">
        <w:rPr>
          <w:rFonts w:ascii="Times New Roman" w:hAnsi="Times New Roman" w:cs="Times New Roman"/>
          <w:sz w:val="28"/>
          <w:szCs w:val="28"/>
        </w:rPr>
        <w:t xml:space="preserve">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 xml:space="preserve">.4, состав и стоимость расходного материала –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.5.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.4 – Состав и количество исполнителей, привлекаемых к подготовке технологической документации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816"/>
        <w:gridCol w:w="2393"/>
      </w:tblGrid>
      <w:tr w:rsidR="00E974CE" w:rsidRPr="00DD50C7" w:rsidTr="004650BC">
        <w:tc>
          <w:tcPr>
            <w:tcW w:w="237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Количество, чел.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Занятость по теме, мес.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Месячные оклады, руб.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Главный технолог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50000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 xml:space="preserve">Начальник </w:t>
            </w:r>
            <w:proofErr w:type="spellStart"/>
            <w:r w:rsidRPr="00DD50C7">
              <w:rPr>
                <w:sz w:val="28"/>
                <w:szCs w:val="28"/>
              </w:rPr>
              <w:t>техбюро</w:t>
            </w:r>
            <w:proofErr w:type="spellEnd"/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2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12000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Инженер-технолог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4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7000</w:t>
            </w:r>
          </w:p>
        </w:tc>
      </w:tr>
    </w:tbl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.5 – Состав и стоимость расходного материала, используемого при подготовке технологической документации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974CE" w:rsidRPr="00DD50C7" w:rsidTr="004650BC"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Количество, единиц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Стоимость одной единицы, руб.</w:t>
            </w:r>
          </w:p>
        </w:tc>
      </w:tr>
      <w:tr w:rsidR="00E974CE" w:rsidRPr="00DD50C7" w:rsidTr="004650BC"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Бумага (формат А</w:t>
            </w:r>
            <w:proofErr w:type="gramStart"/>
            <w:r w:rsidRPr="00DD50C7">
              <w:rPr>
                <w:sz w:val="28"/>
                <w:szCs w:val="28"/>
              </w:rPr>
              <w:t>4</w:t>
            </w:r>
            <w:proofErr w:type="gramEnd"/>
            <w:r w:rsidRPr="00DD50C7">
              <w:rPr>
                <w:sz w:val="28"/>
                <w:szCs w:val="28"/>
              </w:rPr>
              <w:t>)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1000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0,3</w:t>
            </w:r>
          </w:p>
        </w:tc>
      </w:tr>
      <w:tr w:rsidR="00E974CE" w:rsidRPr="00DD50C7" w:rsidTr="004650BC"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Ручка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10</w:t>
            </w:r>
          </w:p>
        </w:tc>
        <w:tc>
          <w:tcPr>
            <w:tcW w:w="3190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3</w:t>
            </w:r>
          </w:p>
        </w:tc>
      </w:tr>
    </w:tbl>
    <w:p w:rsidR="00E974CE" w:rsidRPr="00DD50C7" w:rsidRDefault="00E974CE" w:rsidP="00E974C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Затраты на подготовку технологической документации по существующей технологии можно вычислить по формуле: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</m:oMath>
      <w:r w:rsidR="00E974CE" w:rsidRPr="00254EB5">
        <w:rPr>
          <w:rFonts w:ascii="Times New Roman" w:hAnsi="Times New Roman" w:cs="Times New Roman"/>
          <w:sz w:val="28"/>
          <w:szCs w:val="28"/>
        </w:rPr>
        <w:t>.                                             (14)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EB5">
        <w:rPr>
          <w:rFonts w:ascii="Times New Roman" w:hAnsi="Times New Roman" w:cs="Times New Roman"/>
          <w:sz w:val="28"/>
          <w:szCs w:val="28"/>
        </w:rPr>
        <w:t>Прямые материальные затраты определяем по формуле (2):</w:t>
      </w:r>
    </w:p>
    <w:p w:rsidR="00E974CE" w:rsidRPr="00254EB5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254EB5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0,3+10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=396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254EB5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Затраты по основной заработной плате определяем по формуле (3):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зп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50000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12000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1+4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7000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1=</m:t>
          </m:r>
        </m:oMath>
      </m:oMathPara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=102000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Затраты по дополнительной заработной плате определяем по формуле (4):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=102000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0,15=15300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 xml:space="preserve">Отчисления </w:t>
      </w:r>
      <w:r>
        <w:rPr>
          <w:rFonts w:ascii="Times New Roman" w:hAnsi="Times New Roman" w:cs="Times New Roman"/>
          <w:sz w:val="28"/>
          <w:szCs w:val="28"/>
        </w:rPr>
        <w:t>во внебюджетные фонды и фонды социального страхования</w:t>
      </w:r>
      <w:r w:rsidRPr="00453107">
        <w:rPr>
          <w:rFonts w:ascii="Times New Roman" w:hAnsi="Times New Roman" w:cs="Times New Roman"/>
          <w:sz w:val="28"/>
          <w:szCs w:val="28"/>
        </w:rPr>
        <w:t xml:space="preserve"> определяем по формуле (11):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102000+15300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0,3=36363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Накладные расходы определяем по формуле (12):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102000+15300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2=234600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Тогда общие затраты составят: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=396+102000+15300+36363+234600=388659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53107">
        <w:rPr>
          <w:rFonts w:ascii="Times New Roman" w:hAnsi="Times New Roman" w:cs="Times New Roman"/>
          <w:sz w:val="28"/>
          <w:szCs w:val="28"/>
        </w:rPr>
        <w:t>.4 Затраты на подготовку технологической документации при использовании разработок НИР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Состав и занятость исполнителей, приведены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 xml:space="preserve">.6, состав оборудования –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 xml:space="preserve">.7, а состав и стоимость расходного материала – в таблице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.8.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>.6 – Состав и количество исполнителей, привлекаемых к подготовке технологической документации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2816"/>
        <w:gridCol w:w="2393"/>
      </w:tblGrid>
      <w:tr w:rsidR="00E974CE" w:rsidRPr="00DD50C7" w:rsidTr="004650BC">
        <w:tc>
          <w:tcPr>
            <w:tcW w:w="237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Исполнители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Количество, чел.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Занятость по теме, мес.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Месячные оклады, руб.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Главный технолог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0,1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50000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 xml:space="preserve">Начальник </w:t>
            </w:r>
            <w:proofErr w:type="spellStart"/>
            <w:r w:rsidRPr="00DD50C7">
              <w:rPr>
                <w:sz w:val="28"/>
                <w:szCs w:val="28"/>
              </w:rPr>
              <w:t>техбюро</w:t>
            </w:r>
            <w:proofErr w:type="spellEnd"/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0,3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15000</w:t>
            </w:r>
          </w:p>
        </w:tc>
      </w:tr>
      <w:tr w:rsidR="00E974CE" w:rsidRPr="00DD50C7" w:rsidTr="004650BC">
        <w:tc>
          <w:tcPr>
            <w:tcW w:w="2376" w:type="dxa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Инженер-технолог</w:t>
            </w:r>
          </w:p>
        </w:tc>
        <w:tc>
          <w:tcPr>
            <w:tcW w:w="1985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</w:t>
            </w:r>
          </w:p>
        </w:tc>
        <w:tc>
          <w:tcPr>
            <w:tcW w:w="2816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0,5</w:t>
            </w:r>
          </w:p>
        </w:tc>
        <w:tc>
          <w:tcPr>
            <w:tcW w:w="2393" w:type="dxa"/>
            <w:vAlign w:val="center"/>
          </w:tcPr>
          <w:p w:rsidR="00E974CE" w:rsidRPr="00DD50C7" w:rsidRDefault="00E974CE" w:rsidP="004650BC">
            <w:pPr>
              <w:jc w:val="center"/>
              <w:rPr>
                <w:sz w:val="28"/>
                <w:szCs w:val="28"/>
              </w:rPr>
            </w:pPr>
            <w:r w:rsidRPr="00DD50C7">
              <w:rPr>
                <w:sz w:val="28"/>
                <w:szCs w:val="28"/>
              </w:rPr>
              <w:t>10000</w:t>
            </w:r>
          </w:p>
        </w:tc>
      </w:tr>
    </w:tbl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D50C7">
        <w:rPr>
          <w:rFonts w:ascii="Times New Roman" w:hAnsi="Times New Roman" w:cs="Times New Roman"/>
          <w:sz w:val="28"/>
          <w:szCs w:val="28"/>
        </w:rPr>
        <w:t xml:space="preserve">.7 </w:t>
      </w:r>
      <w:r w:rsidRPr="00453107">
        <w:rPr>
          <w:rFonts w:ascii="Times New Roman" w:hAnsi="Times New Roman" w:cs="Times New Roman"/>
          <w:sz w:val="28"/>
          <w:szCs w:val="28"/>
        </w:rPr>
        <w:t>– Состав оборудования, используемого при подготовке технологической документации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65"/>
        <w:gridCol w:w="1687"/>
        <w:gridCol w:w="1588"/>
        <w:gridCol w:w="1390"/>
        <w:gridCol w:w="1434"/>
        <w:gridCol w:w="1507"/>
      </w:tblGrid>
      <w:tr w:rsidR="00E974CE" w:rsidRPr="00453107" w:rsidTr="004650BC"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Наименование оборудования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Количество, единиц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Балансовая стоимость, руб.</w:t>
            </w:r>
          </w:p>
        </w:tc>
        <w:tc>
          <w:tcPr>
            <w:tcW w:w="1595" w:type="dxa"/>
            <w:vAlign w:val="center"/>
          </w:tcPr>
          <w:p w:rsidR="00E974CE" w:rsidRPr="00453107" w:rsidRDefault="00354EE3" w:rsidP="004650B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им</m:t>
                    </m:r>
                  </m:sub>
                </m:sSub>
              </m:oMath>
            </m:oMathPara>
          </w:p>
        </w:tc>
        <w:tc>
          <w:tcPr>
            <w:tcW w:w="1595" w:type="dxa"/>
            <w:vAlign w:val="center"/>
          </w:tcPr>
          <w:p w:rsidR="00E974CE" w:rsidRPr="00453107" w:rsidRDefault="00354EE3" w:rsidP="004650BC">
            <w:pPr>
              <w:jc w:val="center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oMath>
            <w:r w:rsidR="00E974CE" w:rsidRPr="00453107">
              <w:rPr>
                <w:rFonts w:eastAsiaTheme="minorEastAsia"/>
                <w:sz w:val="28"/>
                <w:szCs w:val="28"/>
              </w:rPr>
              <w:t>, кВт·</w:t>
            </w:r>
            <w:proofErr w:type="gramStart"/>
            <w:r w:rsidR="00E974CE" w:rsidRPr="00453107">
              <w:rPr>
                <w:rFonts w:eastAsiaTheme="minorEastAsia"/>
                <w:sz w:val="28"/>
                <w:szCs w:val="28"/>
              </w:rPr>
              <w:t>ч</w:t>
            </w:r>
            <w:proofErr w:type="gramEnd"/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Срок службы, лет</w:t>
            </w:r>
          </w:p>
        </w:tc>
      </w:tr>
      <w:tr w:rsidR="00E974CE" w:rsidRPr="00453107" w:rsidTr="004650BC"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ЭВМ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3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30000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0,85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0,35</w:t>
            </w:r>
          </w:p>
        </w:tc>
        <w:tc>
          <w:tcPr>
            <w:tcW w:w="1595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  <w:lang w:val="en-US"/>
              </w:rPr>
            </w:pPr>
            <w:r w:rsidRPr="00453107"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53107">
        <w:rPr>
          <w:rFonts w:ascii="Times New Roman" w:hAnsi="Times New Roman" w:cs="Times New Roman"/>
          <w:sz w:val="28"/>
          <w:szCs w:val="28"/>
        </w:rPr>
        <w:t>.8 – Состав и стоимость расходного материала, используемого при выполнении НИР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974CE" w:rsidRPr="00453107" w:rsidTr="004650BC"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Количество, единиц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Стоимость одной единицы, руб.</w:t>
            </w:r>
          </w:p>
        </w:tc>
      </w:tr>
      <w:tr w:rsidR="00E974CE" w:rsidRPr="00453107" w:rsidTr="004650BC"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lastRenderedPageBreak/>
              <w:t>Бумага (формат А</w:t>
            </w:r>
            <w:proofErr w:type="gramStart"/>
            <w:r w:rsidRPr="00453107">
              <w:rPr>
                <w:sz w:val="28"/>
                <w:szCs w:val="28"/>
              </w:rPr>
              <w:t>4</w:t>
            </w:r>
            <w:proofErr w:type="gramEnd"/>
            <w:r w:rsidRPr="00453107">
              <w:rPr>
                <w:sz w:val="28"/>
                <w:szCs w:val="28"/>
              </w:rPr>
              <w:t>)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100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0,3</w:t>
            </w:r>
          </w:p>
        </w:tc>
      </w:tr>
      <w:tr w:rsidR="00E974CE" w:rsidRPr="00453107" w:rsidTr="004650BC"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Краска для принтера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0,02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250</w:t>
            </w:r>
          </w:p>
        </w:tc>
      </w:tr>
      <w:tr w:rsidR="00E974CE" w:rsidRPr="00453107" w:rsidTr="004650BC"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Ручка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1</w:t>
            </w:r>
          </w:p>
        </w:tc>
        <w:tc>
          <w:tcPr>
            <w:tcW w:w="3190" w:type="dxa"/>
            <w:vAlign w:val="center"/>
          </w:tcPr>
          <w:p w:rsidR="00E974CE" w:rsidRPr="00453107" w:rsidRDefault="00E974CE" w:rsidP="004650BC">
            <w:pPr>
              <w:jc w:val="center"/>
              <w:rPr>
                <w:sz w:val="28"/>
                <w:szCs w:val="28"/>
              </w:rPr>
            </w:pPr>
            <w:r w:rsidRPr="00453107">
              <w:rPr>
                <w:sz w:val="28"/>
                <w:szCs w:val="28"/>
              </w:rPr>
              <w:t>3</w:t>
            </w:r>
          </w:p>
        </w:tc>
      </w:tr>
    </w:tbl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Затраты на подготовку технологической документации при использовании разработок НИР можно вычислить по формуле: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осн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лиц</m:t>
            </m:r>
          </m:sub>
        </m:sSub>
      </m:oMath>
      <w:r w:rsidR="00E974CE" w:rsidRPr="00453107">
        <w:rPr>
          <w:rFonts w:ascii="Times New Roman" w:hAnsi="Times New Roman" w:cs="Times New Roman"/>
          <w:sz w:val="28"/>
          <w:szCs w:val="28"/>
        </w:rPr>
        <w:t>.                           (15)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Прямые материальные затраты определяем по формуле (2):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5310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=1,2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0,3+0,02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250+1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=45,6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руб</m:t>
        </m:r>
      </m:oMath>
      <w:r w:rsidR="00E974CE" w:rsidRPr="0045310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5310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3107">
        <w:rPr>
          <w:rFonts w:ascii="Times New Roman" w:hAnsi="Times New Roman" w:cs="Times New Roman"/>
          <w:sz w:val="28"/>
          <w:szCs w:val="28"/>
        </w:rPr>
        <w:t>Затраты по основной заработной плате определяем</w:t>
      </w:r>
      <w:r w:rsidRPr="00DD50C7">
        <w:rPr>
          <w:rFonts w:ascii="Times New Roman" w:hAnsi="Times New Roman" w:cs="Times New Roman"/>
          <w:sz w:val="28"/>
          <w:szCs w:val="28"/>
        </w:rPr>
        <w:t xml:space="preserve"> по формуле (3):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зп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осн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=0,1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50000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1+0,3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15000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1+0,5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10000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1=</m:t>
          </m:r>
        </m:oMath>
      </m:oMathPara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=14500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Затраты по дополнительной заработной плате определяем по формуле (4):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зп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=14500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0,15=2175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з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п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Годовой эффективный фонд времени определяем по формуле (10):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год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эф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=248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8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1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0,85=1686,4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ч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Годовые затраты на электроэнергию определяем по формуле (8):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Э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=0,35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4,5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0,8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1686,4=2124,86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Годовые амортизационные отчисления по оборудованию определяем по формуле (9):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А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20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30000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=6000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в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Годовые затраты на ремонтное обслуживание оборудования считаем равными </w:t>
      </w:r>
      <w:proofErr w:type="gramStart"/>
      <m:oMath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</m:t>
        </m:r>
        <w:proofErr w:type="gramEnd"/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=2000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Величину себестоимости одного </w:t>
      </w:r>
      <w:proofErr w:type="spellStart"/>
      <w:r w:rsidRPr="00DD50C7">
        <w:rPr>
          <w:rFonts w:ascii="Times New Roman" w:hAnsi="Times New Roman" w:cs="Times New Roman"/>
          <w:sz w:val="28"/>
          <w:szCs w:val="28"/>
        </w:rPr>
        <w:t>маш</w:t>
      </w:r>
      <w:proofErr w:type="spellEnd"/>
      <w:r w:rsidRPr="00DD50C7">
        <w:rPr>
          <w:rFonts w:ascii="Times New Roman" w:hAnsi="Times New Roman" w:cs="Times New Roman"/>
          <w:sz w:val="28"/>
          <w:szCs w:val="28"/>
        </w:rPr>
        <w:t>-ч работы оборудования определяем по формуле (6):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м-ч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0+2124,86+6000+0+2000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1686,4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=6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 xml:space="preserve"> руб./маш-ч.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Планируемая продолжительность использования оборудования: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маш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248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den>
        </m:f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8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0,5=82,7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ч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Затраты на использование оборудования определяем по формуле (5):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об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6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82,7=1788,6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 xml:space="preserve">Отчисления </w:t>
      </w:r>
      <w:r>
        <w:rPr>
          <w:rFonts w:ascii="Times New Roman" w:hAnsi="Times New Roman" w:cs="Times New Roman"/>
          <w:sz w:val="28"/>
          <w:szCs w:val="28"/>
        </w:rPr>
        <w:t>во внебюджетные фонды и фонды социального страхования</w:t>
      </w:r>
      <w:r w:rsidRPr="00DD50C7">
        <w:rPr>
          <w:rFonts w:ascii="Times New Roman" w:hAnsi="Times New Roman" w:cs="Times New Roman"/>
          <w:sz w:val="28"/>
          <w:szCs w:val="28"/>
        </w:rPr>
        <w:t xml:space="preserve"> определяем по формуле (11):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е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14500+2175</m:t>
            </m:r>
          </m:e>
        </m:d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0,3=5169,25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Накладные расходы определяем по формуле (12):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14500+2175</m:t>
            </m:r>
          </m:e>
        </m:d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2=33350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Затраты на приобретение пакета программ для автоматизированного проектирования: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лиц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28000+20000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=144000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Тогда общие затраты составят: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=45,6+14500+2175+1488,6+5169,25+33350+144000=</m:t>
          </m:r>
        </m:oMath>
      </m:oMathPara>
    </w:p>
    <w:p w:rsidR="00E974CE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=200728,45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DD50C7">
        <w:rPr>
          <w:rFonts w:ascii="Times New Roman" w:hAnsi="Times New Roman" w:cs="Times New Roman"/>
          <w:sz w:val="28"/>
          <w:szCs w:val="28"/>
        </w:rPr>
        <w:t>.</w:t>
      </w:r>
    </w:p>
    <w:p w:rsidR="00E974CE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3.5 Определение годового экономического эффекта и срока окупаемости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Годовой экономический эффект от внедрения разработок НИР рассчитывается по формуле: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усл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</m:oMath>
      <w:r w:rsidR="00E974CE" w:rsidRPr="004B3356">
        <w:rPr>
          <w:rFonts w:ascii="Times New Roman" w:hAnsi="Times New Roman" w:cs="Times New Roman"/>
          <w:sz w:val="28"/>
          <w:szCs w:val="28"/>
        </w:rPr>
        <w:t>,                                                                                        (16)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4B3356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  <w:proofErr w:type="gramEnd"/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усл</m:t>
            </m:r>
          </m:sub>
        </m:sSub>
      </m:oMath>
      <w:r w:rsidRPr="004B3356">
        <w:rPr>
          <w:rFonts w:ascii="Times New Roman" w:hAnsi="Times New Roman" w:cs="Times New Roman"/>
          <w:sz w:val="28"/>
          <w:szCs w:val="28"/>
        </w:rPr>
        <w:t xml:space="preserve"> - условный экономический эффект, руб.;</w:t>
      </w: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</m:oMath>
      <w:r w:rsidR="00E974CE" w:rsidRPr="004B3356">
        <w:rPr>
          <w:rFonts w:ascii="Times New Roman" w:hAnsi="Times New Roman" w:cs="Times New Roman"/>
          <w:sz w:val="28"/>
          <w:szCs w:val="28"/>
        </w:rPr>
        <w:t xml:space="preserve"> – коэффициент сравнительной экономической эффективности,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=0,15</m:t>
        </m:r>
      </m:oMath>
      <w:r w:rsidR="00E974CE" w:rsidRPr="004B3356">
        <w:rPr>
          <w:rFonts w:ascii="Times New Roman" w:hAnsi="Times New Roman" w:cs="Times New Roman"/>
          <w:sz w:val="28"/>
          <w:szCs w:val="28"/>
        </w:rPr>
        <w:t>;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</m:oMath>
      <w:r w:rsidRPr="004B3356">
        <w:rPr>
          <w:rFonts w:ascii="Times New Roman" w:hAnsi="Times New Roman" w:cs="Times New Roman"/>
          <w:sz w:val="28"/>
          <w:szCs w:val="28"/>
        </w:rPr>
        <w:t xml:space="preserve"> - дополнительные капитальные вложения.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lastRenderedPageBreak/>
        <w:t>Условный экономический эффект определяется по формуле: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усл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="00E974CE" w:rsidRPr="004B3356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    (17)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Находим: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усл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=388659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200728,45=187930,55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4B3356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Дополнительные капитальные вложения: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лиц</m:t>
            </m:r>
          </m:sub>
        </m:sSub>
      </m:oMath>
      <w:r w:rsidRPr="004B3356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    (18)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Находим: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K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=220198,32+144000=364198,32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Pr="004B3356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Тогда: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Э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=187930,55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0,15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364198,32=151510,72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руб</m:t>
        </m:r>
      </m:oMath>
      <w:r w:rsidR="00E974CE" w:rsidRPr="004B3356">
        <w:rPr>
          <w:rFonts w:ascii="Times New Roman" w:hAnsi="Times New Roman" w:cs="Times New Roman"/>
          <w:sz w:val="28"/>
          <w:szCs w:val="28"/>
        </w:rPr>
        <w:t>.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Срок окупаемости рассчитывается по формуле: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ок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Э</m:t>
                </m:r>
              </m:e>
              <m: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>усл</m:t>
                </m:r>
              </m:sub>
            </m:sSub>
          </m:den>
        </m:f>
      </m:oMath>
      <w:r w:rsidR="00E974CE" w:rsidRPr="004B3356">
        <w:rPr>
          <w:rFonts w:ascii="Times New Roman" w:hAnsi="Times New Roman" w:cs="Times New Roman"/>
          <w:sz w:val="28"/>
          <w:szCs w:val="28"/>
        </w:rPr>
        <w:t>.                                                                                                   (19)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56">
        <w:rPr>
          <w:rFonts w:ascii="Times New Roman" w:hAnsi="Times New Roman" w:cs="Times New Roman"/>
          <w:sz w:val="28"/>
          <w:szCs w:val="28"/>
        </w:rPr>
        <w:t>Находим:</w:t>
      </w:r>
    </w:p>
    <w:p w:rsidR="00E974CE" w:rsidRPr="004B3356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354EE3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</w:rPr>
              <m:t>ок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364198,32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187930,55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=1,94 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года</m:t>
        </m:r>
      </m:oMath>
      <w:r w:rsidR="00E974CE" w:rsidRPr="004B3356">
        <w:rPr>
          <w:rFonts w:ascii="Times New Roman" w:hAnsi="Times New Roman" w:cs="Times New Roman"/>
          <w:sz w:val="28"/>
          <w:szCs w:val="28"/>
        </w:rPr>
        <w:t>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50C7">
        <w:rPr>
          <w:rFonts w:ascii="Times New Roman" w:hAnsi="Times New Roman" w:cs="Times New Roman"/>
          <w:sz w:val="28"/>
          <w:szCs w:val="28"/>
        </w:rPr>
        <w:t>Так как значение срока окупаемости меньше двух лет, то мероприятие по внедрению новых разработок считается эффективным и их целесообразно внедрить в процесс производства.</w:t>
      </w:r>
    </w:p>
    <w:p w:rsidR="00E974CE" w:rsidRPr="00DD50C7" w:rsidRDefault="00E974CE" w:rsidP="00E974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D50C7">
        <w:rPr>
          <w:rFonts w:ascii="Times New Roman" w:hAnsi="Times New Roman" w:cs="Times New Roman"/>
          <w:sz w:val="28"/>
          <w:szCs w:val="28"/>
        </w:rPr>
        <w:t>Анализ применения САПР при КТПП показывает, что при проведении работ по моделированию модели детали, ее прочностном расчете, проектировании маршрутной и операционной технологии, разработки управляющих программ для станков с ЧПУ на первом этапе происходит их увеличение, но в связи с тем, что в дальнейшем при использовании САПР резко снижаются затраты на разработку единичных технологических процессов, существенно сокращаются сроки и трудоемкость конструкторско-технологической</w:t>
      </w:r>
      <w:proofErr w:type="gramEnd"/>
      <w:r w:rsidRPr="00DD50C7">
        <w:rPr>
          <w:rFonts w:ascii="Times New Roman" w:hAnsi="Times New Roman" w:cs="Times New Roman"/>
          <w:sz w:val="28"/>
          <w:szCs w:val="28"/>
        </w:rPr>
        <w:t xml:space="preserve"> подготовки производства, существенно повышается качество технологической документации, сокращается число воспроизводимых технологических маршрутов и тем самым снижаются издержки на материально-техническое обеспечение производства за счет </w:t>
      </w:r>
      <w:r w:rsidRPr="00DD50C7">
        <w:rPr>
          <w:rFonts w:ascii="Times New Roman" w:hAnsi="Times New Roman" w:cs="Times New Roman"/>
          <w:sz w:val="28"/>
          <w:szCs w:val="28"/>
        </w:rPr>
        <w:lastRenderedPageBreak/>
        <w:t>оптимизации номенклатуры применяемых материалов, оснастки и режущих инструментов, их использование дает большой экономический эффект.</w:t>
      </w:r>
    </w:p>
    <w:p w:rsidR="00E974CE" w:rsidRDefault="00E974CE" w:rsidP="00E974CE">
      <w:pPr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br w:type="page"/>
      </w:r>
    </w:p>
    <w:p w:rsidR="0048606A" w:rsidRDefault="0048606A"/>
    <w:sectPr w:rsidR="0048606A" w:rsidSect="00570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eterburg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EE5"/>
    <w:multiLevelType w:val="hybridMultilevel"/>
    <w:tmpl w:val="F91E87CA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0F0E"/>
    <w:multiLevelType w:val="multilevel"/>
    <w:tmpl w:val="6D46796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A9F2D36"/>
    <w:multiLevelType w:val="hybridMultilevel"/>
    <w:tmpl w:val="1D70B810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3D69"/>
    <w:multiLevelType w:val="multilevel"/>
    <w:tmpl w:val="89DC573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6571E5"/>
    <w:multiLevelType w:val="hybridMultilevel"/>
    <w:tmpl w:val="8200D614"/>
    <w:lvl w:ilvl="0" w:tplc="6454479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A5523"/>
    <w:multiLevelType w:val="multilevel"/>
    <w:tmpl w:val="5B72AA2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7622A2"/>
    <w:multiLevelType w:val="hybridMultilevel"/>
    <w:tmpl w:val="6248BCF2"/>
    <w:lvl w:ilvl="0" w:tplc="ADCE2874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19644340"/>
    <w:multiLevelType w:val="hybridMultilevel"/>
    <w:tmpl w:val="D0783E90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142FF"/>
    <w:multiLevelType w:val="hybridMultilevel"/>
    <w:tmpl w:val="074EA5E4"/>
    <w:lvl w:ilvl="0" w:tplc="ADCE28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3338F3"/>
    <w:multiLevelType w:val="hybridMultilevel"/>
    <w:tmpl w:val="F3E8A134"/>
    <w:lvl w:ilvl="0" w:tplc="D4705C9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9120D"/>
    <w:multiLevelType w:val="hybridMultilevel"/>
    <w:tmpl w:val="694AA4C2"/>
    <w:lvl w:ilvl="0" w:tplc="D4705C9C">
      <w:start w:val="1"/>
      <w:numFmt w:val="bullet"/>
      <w:lvlText w:val="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753FE6"/>
    <w:multiLevelType w:val="hybridMultilevel"/>
    <w:tmpl w:val="A7585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A31027"/>
    <w:multiLevelType w:val="multilevel"/>
    <w:tmpl w:val="DAF6BE7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30915526"/>
    <w:multiLevelType w:val="hybridMultilevel"/>
    <w:tmpl w:val="8F867E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AB40CA"/>
    <w:multiLevelType w:val="hybridMultilevel"/>
    <w:tmpl w:val="9984CB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2755D8C"/>
    <w:multiLevelType w:val="multilevel"/>
    <w:tmpl w:val="2F7E5F12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‒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34130406"/>
    <w:multiLevelType w:val="hybridMultilevel"/>
    <w:tmpl w:val="4848548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666E6F"/>
    <w:multiLevelType w:val="multilevel"/>
    <w:tmpl w:val="89DEAF0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36E644A1"/>
    <w:multiLevelType w:val="multilevel"/>
    <w:tmpl w:val="DBC0EC8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3B7655AF"/>
    <w:multiLevelType w:val="hybridMultilevel"/>
    <w:tmpl w:val="BDA634C2"/>
    <w:lvl w:ilvl="0" w:tplc="D4705C9C">
      <w:start w:val="1"/>
      <w:numFmt w:val="bullet"/>
      <w:lvlText w:val=""/>
      <w:lvlJc w:val="righ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41D967C6"/>
    <w:multiLevelType w:val="hybridMultilevel"/>
    <w:tmpl w:val="0B2ABE40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20ACA"/>
    <w:multiLevelType w:val="multilevel"/>
    <w:tmpl w:val="1D98D444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>
    <w:nsid w:val="50191AFA"/>
    <w:multiLevelType w:val="hybridMultilevel"/>
    <w:tmpl w:val="3DF40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C6259"/>
    <w:multiLevelType w:val="multilevel"/>
    <w:tmpl w:val="84485B1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4">
    <w:nsid w:val="51420B6B"/>
    <w:multiLevelType w:val="hybridMultilevel"/>
    <w:tmpl w:val="353EF35A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F6AA0"/>
    <w:multiLevelType w:val="hybridMultilevel"/>
    <w:tmpl w:val="047C77D2"/>
    <w:lvl w:ilvl="0" w:tplc="E1AAEFE6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>
    <w:nsid w:val="576036D0"/>
    <w:multiLevelType w:val="hybridMultilevel"/>
    <w:tmpl w:val="9BC66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F14B5B"/>
    <w:multiLevelType w:val="hybridMultilevel"/>
    <w:tmpl w:val="3B8CB47C"/>
    <w:lvl w:ilvl="0" w:tplc="6454479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7B5354"/>
    <w:multiLevelType w:val="multilevel"/>
    <w:tmpl w:val="2EA00E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5E802517"/>
    <w:multiLevelType w:val="hybridMultilevel"/>
    <w:tmpl w:val="D7FA4204"/>
    <w:lvl w:ilvl="0" w:tplc="E1AAEF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7480BE1"/>
    <w:multiLevelType w:val="hybridMultilevel"/>
    <w:tmpl w:val="7E980F96"/>
    <w:lvl w:ilvl="0" w:tplc="6454479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85A75"/>
    <w:multiLevelType w:val="hybridMultilevel"/>
    <w:tmpl w:val="08AAC740"/>
    <w:lvl w:ilvl="0" w:tplc="64544792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64544792">
      <w:start w:val="1"/>
      <w:numFmt w:val="bullet"/>
      <w:lvlText w:val="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6F0432C2"/>
    <w:multiLevelType w:val="hybridMultilevel"/>
    <w:tmpl w:val="55AC35FA"/>
    <w:lvl w:ilvl="0" w:tplc="64544792">
      <w:start w:val="1"/>
      <w:numFmt w:val="bullet"/>
      <w:lvlText w:val="‒"/>
      <w:lvlJc w:val="left"/>
      <w:pPr>
        <w:ind w:left="177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15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1987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205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2131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2203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227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23472" w:hanging="360"/>
      </w:pPr>
      <w:rPr>
        <w:rFonts w:ascii="Wingdings" w:hAnsi="Wingdings" w:cs="Wingdings" w:hint="default"/>
      </w:rPr>
    </w:lvl>
  </w:abstractNum>
  <w:abstractNum w:abstractNumId="33">
    <w:nsid w:val="71E8135A"/>
    <w:multiLevelType w:val="hybridMultilevel"/>
    <w:tmpl w:val="53A8C900"/>
    <w:lvl w:ilvl="0" w:tplc="7AD00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4E01202"/>
    <w:multiLevelType w:val="hybridMultilevel"/>
    <w:tmpl w:val="7DE080A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6A3C76"/>
    <w:multiLevelType w:val="hybridMultilevel"/>
    <w:tmpl w:val="934EC558"/>
    <w:lvl w:ilvl="0" w:tplc="D4705C9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3A031B"/>
    <w:multiLevelType w:val="hybridMultilevel"/>
    <w:tmpl w:val="BF80107E"/>
    <w:lvl w:ilvl="0" w:tplc="D4705C9C">
      <w:start w:val="1"/>
      <w:numFmt w:val="bullet"/>
      <w:lvlText w:val=""/>
      <w:lvlJc w:val="righ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12"/>
  </w:num>
  <w:num w:numId="4">
    <w:abstractNumId w:val="28"/>
  </w:num>
  <w:num w:numId="5">
    <w:abstractNumId w:val="21"/>
  </w:num>
  <w:num w:numId="6">
    <w:abstractNumId w:val="1"/>
  </w:num>
  <w:num w:numId="7">
    <w:abstractNumId w:val="15"/>
  </w:num>
  <w:num w:numId="8">
    <w:abstractNumId w:val="17"/>
  </w:num>
  <w:num w:numId="9">
    <w:abstractNumId w:val="18"/>
  </w:num>
  <w:num w:numId="10">
    <w:abstractNumId w:val="33"/>
  </w:num>
  <w:num w:numId="11">
    <w:abstractNumId w:val="14"/>
  </w:num>
  <w:num w:numId="12">
    <w:abstractNumId w:val="30"/>
  </w:num>
  <w:num w:numId="13">
    <w:abstractNumId w:val="27"/>
  </w:num>
  <w:num w:numId="14">
    <w:abstractNumId w:val="22"/>
  </w:num>
  <w:num w:numId="15">
    <w:abstractNumId w:val="25"/>
  </w:num>
  <w:num w:numId="16">
    <w:abstractNumId w:val="4"/>
  </w:num>
  <w:num w:numId="17">
    <w:abstractNumId w:val="7"/>
  </w:num>
  <w:num w:numId="18">
    <w:abstractNumId w:val="0"/>
  </w:num>
  <w:num w:numId="19">
    <w:abstractNumId w:val="26"/>
  </w:num>
  <w:num w:numId="20">
    <w:abstractNumId w:val="24"/>
  </w:num>
  <w:num w:numId="21">
    <w:abstractNumId w:val="20"/>
  </w:num>
  <w:num w:numId="22">
    <w:abstractNumId w:val="2"/>
  </w:num>
  <w:num w:numId="23">
    <w:abstractNumId w:val="9"/>
  </w:num>
  <w:num w:numId="24">
    <w:abstractNumId w:val="11"/>
  </w:num>
  <w:num w:numId="25">
    <w:abstractNumId w:val="34"/>
  </w:num>
  <w:num w:numId="26">
    <w:abstractNumId w:val="16"/>
  </w:num>
  <w:num w:numId="27">
    <w:abstractNumId w:val="35"/>
  </w:num>
  <w:num w:numId="28">
    <w:abstractNumId w:val="31"/>
  </w:num>
  <w:num w:numId="29">
    <w:abstractNumId w:val="19"/>
  </w:num>
  <w:num w:numId="30">
    <w:abstractNumId w:val="36"/>
  </w:num>
  <w:num w:numId="31">
    <w:abstractNumId w:val="10"/>
  </w:num>
  <w:num w:numId="32">
    <w:abstractNumId w:val="29"/>
  </w:num>
  <w:num w:numId="33">
    <w:abstractNumId w:val="6"/>
  </w:num>
  <w:num w:numId="34">
    <w:abstractNumId w:val="8"/>
  </w:num>
  <w:num w:numId="35">
    <w:abstractNumId w:val="3"/>
  </w:num>
  <w:num w:numId="36">
    <w:abstractNumId w:val="13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4CE"/>
    <w:rsid w:val="00354EE3"/>
    <w:rsid w:val="0048606A"/>
    <w:rsid w:val="004B3356"/>
    <w:rsid w:val="0057036B"/>
    <w:rsid w:val="00B520E2"/>
    <w:rsid w:val="00C96CB3"/>
    <w:rsid w:val="00D26622"/>
    <w:rsid w:val="00D9687E"/>
    <w:rsid w:val="00E974CE"/>
    <w:rsid w:val="00F562B3"/>
    <w:rsid w:val="00FC1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E97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7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974CE"/>
    <w:pPr>
      <w:ind w:left="720"/>
    </w:pPr>
    <w:rPr>
      <w:rFonts w:ascii="Calibri" w:eastAsia="Calibri" w:hAnsi="Calibri" w:cs="Times New Roman"/>
      <w:color w:val="000000"/>
      <w:sz w:val="28"/>
      <w:szCs w:val="28"/>
      <w:lang w:eastAsia="en-US"/>
    </w:rPr>
  </w:style>
  <w:style w:type="paragraph" w:customStyle="1" w:styleId="a4">
    <w:name w:val="Чертежный"/>
    <w:rsid w:val="00E974CE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5">
    <w:name w:val="Normal (Web)"/>
    <w:basedOn w:val="a"/>
    <w:uiPriority w:val="99"/>
    <w:rsid w:val="00E9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E974CE"/>
    <w:pPr>
      <w:spacing w:after="0" w:line="240" w:lineRule="auto"/>
    </w:pPr>
    <w:rPr>
      <w:rFonts w:ascii="Times New Roman" w:eastAsia="Calibri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Мой"/>
    <w:basedOn w:val="a"/>
    <w:rsid w:val="00E974CE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pacing w:val="22"/>
      <w:sz w:val="28"/>
      <w:szCs w:val="20"/>
    </w:rPr>
  </w:style>
  <w:style w:type="paragraph" w:customStyle="1" w:styleId="Default">
    <w:name w:val="Default"/>
    <w:rsid w:val="00E974CE"/>
    <w:pPr>
      <w:autoSpaceDE w:val="0"/>
      <w:autoSpaceDN w:val="0"/>
      <w:adjustRightInd w:val="0"/>
      <w:spacing w:after="0" w:line="240" w:lineRule="auto"/>
    </w:pPr>
    <w:rPr>
      <w:rFonts w:ascii="Peterburg" w:eastAsia="Calibri" w:hAnsi="Peterburg" w:cs="Peterburg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E974CE"/>
    <w:pPr>
      <w:spacing w:line="201" w:lineRule="atLeast"/>
    </w:pPr>
    <w:rPr>
      <w:rFonts w:cs="Times New Roman"/>
      <w:color w:val="auto"/>
    </w:rPr>
  </w:style>
  <w:style w:type="character" w:styleId="a8">
    <w:name w:val="Emphasis"/>
    <w:basedOn w:val="a0"/>
    <w:uiPriority w:val="20"/>
    <w:qFormat/>
    <w:rsid w:val="00E974C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E974CE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E974CE"/>
    <w:rPr>
      <w:rFonts w:ascii="Tahoma" w:eastAsia="Calibri" w:hAnsi="Tahoma" w:cs="Tahoma"/>
      <w:sz w:val="16"/>
      <w:szCs w:val="16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E974C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E974CE"/>
    <w:rPr>
      <w:rFonts w:ascii="Calibri" w:eastAsia="Calibri" w:hAnsi="Calibri" w:cs="Calibri"/>
      <w:lang w:eastAsia="en-US"/>
    </w:rPr>
  </w:style>
  <w:style w:type="paragraph" w:styleId="ad">
    <w:name w:val="footer"/>
    <w:basedOn w:val="a"/>
    <w:link w:val="ae"/>
    <w:uiPriority w:val="99"/>
    <w:unhideWhenUsed/>
    <w:rsid w:val="00E974C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E974CE"/>
    <w:rPr>
      <w:rFonts w:ascii="Calibri" w:eastAsia="Calibri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E974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74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974CE"/>
    <w:pPr>
      <w:ind w:left="720"/>
    </w:pPr>
    <w:rPr>
      <w:rFonts w:ascii="Calibri" w:eastAsia="Calibri" w:hAnsi="Calibri" w:cs="Times New Roman"/>
      <w:color w:val="000000"/>
      <w:sz w:val="28"/>
      <w:szCs w:val="28"/>
      <w:lang w:eastAsia="en-US"/>
    </w:rPr>
  </w:style>
  <w:style w:type="paragraph" w:customStyle="1" w:styleId="a4">
    <w:name w:val="Чертежный"/>
    <w:rsid w:val="00E974CE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5">
    <w:name w:val="Normal (Web)"/>
    <w:basedOn w:val="a"/>
    <w:uiPriority w:val="99"/>
    <w:rsid w:val="00E9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E974CE"/>
    <w:pPr>
      <w:spacing w:after="0" w:line="240" w:lineRule="auto"/>
    </w:pPr>
    <w:rPr>
      <w:rFonts w:ascii="Times New Roman" w:eastAsia="Calibri" w:hAnsi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Мой"/>
    <w:basedOn w:val="a"/>
    <w:rsid w:val="00E974CE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pacing w:val="22"/>
      <w:sz w:val="28"/>
      <w:szCs w:val="20"/>
    </w:rPr>
  </w:style>
  <w:style w:type="paragraph" w:customStyle="1" w:styleId="Default">
    <w:name w:val="Default"/>
    <w:rsid w:val="00E974CE"/>
    <w:pPr>
      <w:autoSpaceDE w:val="0"/>
      <w:autoSpaceDN w:val="0"/>
      <w:adjustRightInd w:val="0"/>
      <w:spacing w:after="0" w:line="240" w:lineRule="auto"/>
    </w:pPr>
    <w:rPr>
      <w:rFonts w:ascii="Peterburg" w:eastAsia="Calibri" w:hAnsi="Peterburg" w:cs="Peterburg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E974CE"/>
    <w:pPr>
      <w:spacing w:line="201" w:lineRule="atLeast"/>
    </w:pPr>
    <w:rPr>
      <w:rFonts w:cs="Times New Roman"/>
      <w:color w:val="auto"/>
    </w:rPr>
  </w:style>
  <w:style w:type="character" w:styleId="a8">
    <w:name w:val="Emphasis"/>
    <w:basedOn w:val="a0"/>
    <w:uiPriority w:val="20"/>
    <w:qFormat/>
    <w:rsid w:val="00E974C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E974CE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a">
    <w:name w:val="Текст выноски Знак"/>
    <w:basedOn w:val="a0"/>
    <w:link w:val="a9"/>
    <w:uiPriority w:val="99"/>
    <w:semiHidden/>
    <w:rsid w:val="00E974CE"/>
    <w:rPr>
      <w:rFonts w:ascii="Tahoma" w:eastAsia="Calibri" w:hAnsi="Tahoma" w:cs="Tahoma"/>
      <w:sz w:val="16"/>
      <w:szCs w:val="16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E974C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ac">
    <w:name w:val="Верхний колонтитул Знак"/>
    <w:basedOn w:val="a0"/>
    <w:link w:val="ab"/>
    <w:uiPriority w:val="99"/>
    <w:semiHidden/>
    <w:rsid w:val="00E974CE"/>
    <w:rPr>
      <w:rFonts w:ascii="Calibri" w:eastAsia="Calibri" w:hAnsi="Calibri" w:cs="Calibri"/>
      <w:lang w:eastAsia="en-US"/>
    </w:rPr>
  </w:style>
  <w:style w:type="paragraph" w:styleId="ad">
    <w:name w:val="footer"/>
    <w:basedOn w:val="a"/>
    <w:link w:val="ae"/>
    <w:uiPriority w:val="99"/>
    <w:unhideWhenUsed/>
    <w:rsid w:val="00E974C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ae">
    <w:name w:val="Нижний колонтитул Знак"/>
    <w:basedOn w:val="a0"/>
    <w:link w:val="ad"/>
    <w:uiPriority w:val="99"/>
    <w:rsid w:val="00E974CE"/>
    <w:rPr>
      <w:rFonts w:ascii="Calibri" w:eastAsia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2839</Words>
  <Characters>16186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Student112</dc:creator>
  <cp:lastModifiedBy>User</cp:lastModifiedBy>
  <cp:revision>2</cp:revision>
  <dcterms:created xsi:type="dcterms:W3CDTF">2020-04-20T13:17:00Z</dcterms:created>
  <dcterms:modified xsi:type="dcterms:W3CDTF">2020-04-20T13:17:00Z</dcterms:modified>
</cp:coreProperties>
</file>