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8520"/>
        <w:tblGridChange w:id="0">
          <w:tblGrid>
            <w:gridCol w:w="1560"/>
            <w:gridCol w:w="85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38200" cy="8382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48"/>
                <w:szCs w:val="48"/>
                <w:rtl w:val="0"/>
              </w:rPr>
              <w:t xml:space="preserve">Eugene Bochkov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5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66"/>
                <w:sz w:val="21"/>
                <w:szCs w:val="21"/>
                <w:rtl w:val="0"/>
              </w:rPr>
              <w:t xml:space="preserve">Product Leader  ·  AI-Powered SaaS &amp; Fintech Infrastructure  ·  B2B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5ea6"/>
                <w:sz w:val="18"/>
                <w:szCs w:val="18"/>
                <w:rtl w:val="0"/>
              </w:rPr>
              <w:t xml:space="preserve">eu.bochkov@gmail.com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55566"/>
                <w:sz w:val="18"/>
                <w:szCs w:val="18"/>
                <w:rtl w:val="0"/>
              </w:rPr>
              <w:t xml:space="preserve">  ·  linkedin.com/in/eugene-bochkov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  ·  AU PR · Global Talent Visa (858) · Full Work Rights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Product leader with 10+ years shipping B2B SaaS and fintech platforms across APAC and global markets. Proven track record building API-driven platforms, launching AI-powered features, and scaling products from 0 to significant commercial traction. Deep experience in financial infrastructure, payments, compliance workflows, SME-facing analytics dashboards, and accounting software integrations (Xero). Relocating to Australia with full work rights (Global Talent visa, subclass 858); no sponsorship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Co-founder &amp; Head of Product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Foundation (Fintech Infrastructure)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Mar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and shipped a yield index and fund platform (fdnusd.com)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an API-first financial infrastructure product blending institutional-grade yield sources into a single vault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Architected a real-time NAV liquidity model with instant exit capability; directly relevant to cashflow intelligence and financial insight product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Established regulated legal structure (BVI) and yield partner integrations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navigating compliance constraints comparable to Australia's ATO and GST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Hands-on 0→1 product delivery on Solana: designed compute model, data architecture, and partner integration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Product Lead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MC Research (Web3 / Consumer Platform)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May 2022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Led product definition and launch of a consumer-facing digital platform, reaching top-tier ecosystem usage within 12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Scaled from 0 → 10k MAU and 50k+ digital assets issued; built and executed cross-chain integration roadmap across wallets, marketplaces, and infrastructure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Product Lead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Spenmo · YC S20 (Fintech SaaS)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Nov 2021 – Jul 2022  |  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Launched Spenmo's B2B credit product (Brex/Ramp equivalent for APAC), expanding into a new regulated revenue line via banking-as-a-service partnerships and regional compliance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Owned data export integrations to Xero, enabling SME customers to sync spend and financial data directly into their accounting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the analytics foundation for the entire product org: instrumented Mixpanel across all teams, introduced Braze for marketing automation, and rolled out feature flags and A/B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Scaled the product function: hired and onboarded PMs, introduced product analytics standards, and established operating rhythms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Head of Product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Empala · Antler SG4 (Fintech / Lending)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Mar 2020 – Sep 2021  |  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End-to-end ownership of a wage access platform: discovery, design, regulatory compliance, and launch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including salary advance, repayment workflows, and payroll partner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Designed compliant financial product flows under regulatory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Director of Product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Vincere (B2B SaaS · HR Tech)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Jul 2019 – Feb 2020  |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Led global product strategy for a B2B SaaS ATS platform serving recruitment firms managing multiple end-client relationships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 multi-client model analogous to accountant/bookkeeper channels where advisors manage portfolios of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Owned full roadmap reporting to CEO and board; managed cross-functional team of 20 (PMs +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Senior Product Owner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Navigos / En-Japan (HR Tech)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Aug 2017 – Jul 2019  |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Delivered products on a multi-client recruitment platform serving agencies managing large client portfolios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reinforcing experience with intermediary-led B2B SaaS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Applied lean product methods cutting time-to-market 4× (down to 3 months), saving $150K per initiative; achieved 25% revenue growth and 20% improvement in customer satisfaction across three product launches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Product Manager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Paymentwall (Global Payments)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Aug 2014 – Jun 2017  | 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Led Mobiamo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Paymentwall's second-largest product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serving users across 90+ countries with telco and payment provider partnerships across SEA and Europe (Telenor, Orange, others)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merchant-facing analytics dashboards surfacing revenue, transaction volumes, and payout reporting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equipping merchants with real financial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Drove 50% reduction in merchant time-to-live and 20% increase in activation rate as PM for merchant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internal tooling including document signing workflows and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Associate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KPMG Ukraine (Audit &amp; Advisory)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Oct 2011 – Jun 2014  |  Ukraine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Audit and advisory across financial services and fintech clients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foundational grounding in accounting, compliance, and financial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AI &amp; Platform:</w:t>
      </w:r>
      <w:r w:rsidDel="00000000" w:rsidR="00000000" w:rsidRPr="00000000">
        <w:rPr>
          <w:rFonts w:ascii="Cardo" w:cs="Cardo" w:eastAsia="Cardo" w:hAnsi="Cardo"/>
          <w:color w:val="1a1a1a"/>
          <w:sz w:val="19"/>
          <w:szCs w:val="19"/>
          <w:rtl w:val="0"/>
        </w:rPr>
        <w:t xml:space="preserve">AI-powered SaaS, agentic product design, API-driven platforms, 0→1 development, feature flags &amp; A/B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Analytics: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Product analytics instrumentation (Mixpanel), marketing automation (Braze), SME/merchant financial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Fintech: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Payments infrastructure, credit &amp; lending, cashflow products, Xero integrations, APAC regulatory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B2B SaaS: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Multi-client platforms, subscription SaaS, partner &amp; channel programs, roadmap &amp;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Leadership: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Cross-functional team leadership (up to 20), hiring &amp; PM coaching, startup &amp; scale-up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after="3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19"/>
          <w:szCs w:val="19"/>
          <w:rtl w:val="0"/>
        </w:rPr>
        <w:t xml:space="preserve">Master of Business Administration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19"/>
          <w:szCs w:val="19"/>
          <w:rtl w:val="0"/>
        </w:rPr>
        <w:t xml:space="preserve">  ·  Kyiv National Economic University (KNEU)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2011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after="60" w:before="3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19"/>
          <w:szCs w:val="19"/>
          <w:rtl w:val="0"/>
        </w:rPr>
        <w:t xml:space="preserve">Bachelor of Management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19"/>
          <w:szCs w:val="19"/>
          <w:rtl w:val="0"/>
        </w:rPr>
        <w:t xml:space="preserve">  ·  Kyiv National Economic University (KNEU)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2007 –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Entrepreneur-in-Residence, Antler Singapore (SG4 cohort,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Hackathon winner: Colosseum Hackathon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Australia PR (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Subclass 858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Global Talent visa)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full work rights, no employer sponsorship required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