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Курсы обучения.</w:t>
      </w:r>
    </w:p>
    <w:tbl>
      <w:tblPr>
        <w:tblStyle w:val="a3"/>
        <w:tblW w:w="10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12"/>
        <w:gridCol w:w="1275"/>
        <w:gridCol w:w="1951"/>
      </w:tblGrid>
      <w:tr>
        <w:trPr/>
        <w:tc>
          <w:tcPr>
            <w:tcW w:w="69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b/>
                <w:bCs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b/>
                <w:bCs/>
                <w:sz w:val="24"/>
                <w:szCs w:val="24"/>
                <w:lang w:eastAsia="ru-RU"/>
              </w:rPr>
              <w:t>Длительность обучения</w:t>
            </w:r>
          </w:p>
        </w:tc>
      </w:tr>
      <w:tr>
        <w:trPr/>
        <w:tc>
          <w:tcPr>
            <w:tcW w:w="69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CYR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Устройства релейной защиты и автоматики подстанционного оборудования классов напряжений 110-220 кВ. Экра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9,04,2010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80 часов</w:t>
            </w:r>
          </w:p>
        </w:tc>
      </w:tr>
      <w:tr>
        <w:trPr/>
        <w:tc>
          <w:tcPr>
            <w:tcW w:w="69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Наладка и техническое обслуживание устройств РЗА на базе терминалов серии "SIPROTEC 4"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25,05,2010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72 часа</w:t>
            </w:r>
          </w:p>
        </w:tc>
      </w:tr>
      <w:tr>
        <w:trPr/>
        <w:tc>
          <w:tcPr>
            <w:tcW w:w="69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Микропроцессорная аппратура релейной защиты станционного оборудования. Экра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>
              <w:rPr>
                <w:rFonts w:cs="Arial CYR" w:ascii="Arial Narrow" w:hAnsi="Arial Narrow"/>
                <w:sz w:val="24"/>
                <w:szCs w:val="24"/>
              </w:rPr>
              <w:t>2,11,2012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>
              <w:rPr>
                <w:rFonts w:cs="Arial CYR" w:ascii="Arial Narrow" w:hAnsi="Arial Narrow"/>
                <w:sz w:val="24"/>
                <w:szCs w:val="24"/>
              </w:rPr>
              <w:t>80 часов</w:t>
            </w:r>
          </w:p>
        </w:tc>
      </w:tr>
    </w:tbl>
    <w:p>
      <w:pPr>
        <w:pStyle w:val="Normal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Опыт работы с устройствами РЗиА</w:t>
      </w:r>
    </w:p>
    <w:tbl>
      <w:tblPr>
        <w:tblStyle w:val="a3"/>
        <w:tblW w:w="941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6"/>
        <w:gridCol w:w="284"/>
        <w:gridCol w:w="5778"/>
      </w:tblGrid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Устройство РЗиА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Применение терминала РЗиА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Siemens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6MD66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 и автоматика ЭВ ВЛ-110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6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MD</w:t>
            </w:r>
            <w:r>
              <w:rPr>
                <w:rFonts w:ascii="Arial Narrow" w:hAnsi="Arial Narrow"/>
                <w:sz w:val="24"/>
                <w:szCs w:val="24"/>
              </w:rPr>
              <w:t>63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 и автоматика ВВ КЛ-10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7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SD</w:t>
            </w:r>
            <w:r>
              <w:rPr>
                <w:rFonts w:ascii="Arial Narrow" w:hAnsi="Arial Narrow"/>
                <w:sz w:val="24"/>
                <w:szCs w:val="24"/>
              </w:rPr>
              <w:t>52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ВЛ-110 кВ; КЛ-10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>
              <w:rPr>
                <w:rFonts w:ascii="Arial Narrow" w:hAnsi="Arial Narrow"/>
                <w:sz w:val="24"/>
                <w:szCs w:val="24"/>
              </w:rPr>
              <w:t>60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и автоматика ВВ-10 кВ ЭД-10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>
              <w:rPr>
                <w:rFonts w:ascii="Arial Narrow" w:hAnsi="Arial Narrow"/>
                <w:sz w:val="24"/>
                <w:szCs w:val="24"/>
              </w:rPr>
              <w:t>61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и автоматика ВВ-10 кВ ТСН-10/0,4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>
              <w:rPr>
                <w:rFonts w:ascii="Arial Narrow" w:hAnsi="Arial Narrow"/>
                <w:sz w:val="24"/>
                <w:szCs w:val="24"/>
              </w:rPr>
              <w:t>62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и автоматика ВВ-10 кВ ЭД-10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>
              <w:rPr>
                <w:rFonts w:ascii="Arial Narrow" w:hAnsi="Arial Narrow"/>
                <w:sz w:val="24"/>
                <w:szCs w:val="24"/>
              </w:rPr>
              <w:t>64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 ВВ-35 кВ ТСН-35/6; ВВ-10 кВ ТСН-10/0,4; ТН-10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>
              <w:rPr>
                <w:rFonts w:ascii="Arial Narrow" w:hAnsi="Arial Narrow"/>
                <w:sz w:val="24"/>
                <w:szCs w:val="24"/>
              </w:rPr>
              <w:t>80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и автоматика ВВ-10 кВ ЭД-10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7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UM</w:t>
            </w:r>
            <w:r>
              <w:rPr>
                <w:rFonts w:ascii="Arial Narrow" w:hAnsi="Arial Narrow"/>
                <w:sz w:val="24"/>
                <w:szCs w:val="24"/>
              </w:rPr>
              <w:t>62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 ВВ-10 кВ; ЭД-10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061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Дифференциальная защита сборных шин 110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041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трёхобмоточного трансформатора 110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/10/6 </w:t>
            </w:r>
            <w:r>
              <w:rPr>
                <w:rFonts w:ascii="Arial Narrow" w:hAnsi="Arial Narrow"/>
                <w:sz w:val="24"/>
                <w:szCs w:val="24"/>
              </w:rPr>
              <w:t>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155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 РПН трёхобмоточного трансформатора 110/10/6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093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Дифференциальная  защита и КСЗ ВЛ-110-220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019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 ВЛ-110-220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016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 ОВ-110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015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 ШСВ-110 кВ; СВ-110 кВ; КЛ-110 кВ к трансформатору с приёмом отключающего импульса (шкаф ЭПО 1054-91)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 217 0602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ВВ-10кВ вводного выключателя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 217 0402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ВВ-10кВ секционного выключателя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 217 1501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ТН-10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 217 0301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ВВ-10кВ фидера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val="en-US" w:eastAsia="ru-RU"/>
              </w:rPr>
              <w:t>Schneider Electric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Micom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143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и автоматика ВВ-10 кВ ЭД-10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Бреслер ШЛ 2605.11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Дифференциальная защита линии 10 кВ</w:t>
            </w:r>
          </w:p>
        </w:tc>
      </w:tr>
      <w:tr>
        <w:trPr>
          <w:trHeight w:val="322" w:hRule="atLeast"/>
        </w:trPr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ООО "Прософт - Системы" РЭС-3</w:t>
            </w:r>
          </w:p>
        </w:tc>
        <w:tc>
          <w:tcPr>
            <w:tcW w:w="28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5778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Регистратор электрических событий</w:t>
            </w:r>
          </w:p>
        </w:tc>
      </w:tr>
    </w:tbl>
    <w:p>
      <w:pPr>
        <w:pStyle w:val="ListParagraph"/>
        <w:rPr>
          <w:rFonts w:ascii="Arial Narrow" w:hAnsi="Arial Narrow" w:eastAsia="Times New Roman" w:cs="Arial CYR"/>
          <w:sz w:val="24"/>
          <w:szCs w:val="24"/>
          <w:lang w:eastAsia="ru-RU"/>
        </w:rPr>
      </w:pPr>
      <w:r>
        <w:rPr>
          <w:rFonts w:eastAsia="Times New Roman" w:cs="Arial CYR" w:ascii="Arial Narrow" w:hAnsi="Arial Narrow"/>
          <w:sz w:val="24"/>
          <w:szCs w:val="24"/>
          <w:lang w:eastAsia="ru-RU"/>
        </w:rPr>
      </w:r>
    </w:p>
    <w:p>
      <w:pPr>
        <w:pStyle w:val="ListParagraph"/>
        <w:rPr>
          <w:rFonts w:ascii="Arial Narrow" w:hAnsi="Arial Narrow" w:eastAsia="Times New Roman" w:cs="Arial CYR"/>
          <w:sz w:val="24"/>
          <w:szCs w:val="24"/>
          <w:lang w:eastAsia="ru-RU"/>
        </w:rPr>
      </w:pPr>
      <w:r>
        <w:rPr>
          <w:rFonts w:eastAsia="Times New Roman" w:cs="Arial CYR" w:ascii="Arial Narrow" w:hAnsi="Arial Narrow"/>
          <w:sz w:val="24"/>
          <w:szCs w:val="24"/>
          <w:lang w:eastAsia="ru-RU"/>
        </w:rPr>
      </w:r>
    </w:p>
    <w:p>
      <w:pPr>
        <w:pStyle w:val="ListParagraph"/>
        <w:rPr>
          <w:rFonts w:ascii="Arial Narrow" w:hAnsi="Arial Narrow" w:eastAsia="Times New Roman" w:cs="Arial CYR"/>
          <w:sz w:val="24"/>
          <w:szCs w:val="24"/>
          <w:lang w:eastAsia="ru-RU"/>
        </w:rPr>
      </w:pPr>
      <w:r>
        <w:rPr>
          <w:rFonts w:eastAsia="Times New Roman" w:cs="Arial CYR" w:ascii="Arial Narrow" w:hAnsi="Arial Narrow"/>
          <w:sz w:val="24"/>
          <w:szCs w:val="24"/>
          <w:lang w:eastAsia="ru-RU"/>
        </w:rPr>
      </w:r>
    </w:p>
    <w:p>
      <w:pPr>
        <w:pStyle w:val="ListParagraph"/>
        <w:rPr>
          <w:rFonts w:ascii="Arial Narrow" w:hAnsi="Arial Narrow" w:eastAsia="Times New Roman" w:cs="Arial CYR"/>
          <w:sz w:val="24"/>
          <w:szCs w:val="24"/>
          <w:lang w:eastAsia="ru-RU"/>
        </w:rPr>
      </w:pPr>
      <w:r>
        <w:rPr>
          <w:rFonts w:eastAsia="Times New Roman" w:cs="Arial CYR" w:ascii="Arial Narrow" w:hAnsi="Arial Narrow"/>
          <w:sz w:val="24"/>
          <w:szCs w:val="24"/>
          <w:lang w:eastAsia="ru-RU"/>
        </w:rPr>
      </w:r>
    </w:p>
    <w:p>
      <w:pPr>
        <w:pStyle w:val="ListParagraph"/>
        <w:rPr>
          <w:rFonts w:ascii="Arial Narrow" w:hAnsi="Arial Narrow" w:eastAsia="Times New Roman" w:cs="Arial CYR"/>
          <w:sz w:val="24"/>
          <w:szCs w:val="24"/>
          <w:lang w:eastAsia="ru-RU"/>
        </w:rPr>
      </w:pPr>
      <w:r>
        <w:rPr>
          <w:rFonts w:eastAsia="Times New Roman" w:cs="Arial CYR" w:ascii="Arial Narrow" w:hAnsi="Arial Narrow"/>
          <w:sz w:val="24"/>
          <w:szCs w:val="24"/>
          <w:lang w:eastAsia="ru-RU"/>
        </w:rPr>
      </w:r>
    </w:p>
    <w:p>
      <w:pPr>
        <w:pStyle w:val="ListParagraph"/>
        <w:rPr>
          <w:rFonts w:ascii="Arial Narrow" w:hAnsi="Arial Narrow" w:eastAsia="Times New Roman" w:cs="Arial CYR"/>
          <w:sz w:val="24"/>
          <w:szCs w:val="24"/>
          <w:lang w:eastAsia="ru-RU"/>
        </w:rPr>
      </w:pPr>
      <w:r>
        <w:rPr>
          <w:rFonts w:ascii="Arial Narrow" w:hAnsi="Arial Narrow"/>
          <w:sz w:val="24"/>
          <w:szCs w:val="24"/>
          <w:lang w:val="en-US"/>
        </w:rPr>
        <w:t>SPAC</w:t>
      </w:r>
      <w:r>
        <w:rPr>
          <w:rFonts w:ascii="Arial Narrow" w:hAnsi="Arial Narrow"/>
          <w:sz w:val="24"/>
          <w:szCs w:val="24"/>
        </w:rPr>
        <w:t xml:space="preserve"> 801, 810; Сириус; </w:t>
      </w:r>
      <w:r>
        <w:rPr>
          <w:rFonts w:eastAsia="Times New Roman" w:cs="Arial CYR" w:ascii="Arial Narrow" w:hAnsi="Arial Narrow"/>
          <w:sz w:val="24"/>
          <w:szCs w:val="24"/>
          <w:lang w:eastAsia="ru-RU"/>
        </w:rPr>
        <w:t xml:space="preserve"> </w:t>
      </w:r>
      <w:r>
        <w:rPr>
          <w:rFonts w:ascii="Arial Narrow" w:hAnsi="Arial Narrow"/>
          <w:sz w:val="24"/>
          <w:szCs w:val="24"/>
        </w:rPr>
        <w:t>Механотроника;</w:t>
      </w:r>
      <w:r>
        <w:rPr>
          <w:rFonts w:eastAsia="Times New Roman" w:cs="Arial CYR" w:ascii="Arial Narrow" w:hAnsi="Arial Narrow"/>
          <w:sz w:val="24"/>
          <w:szCs w:val="24"/>
          <w:lang w:eastAsia="ru-RU"/>
        </w:rPr>
        <w:t xml:space="preserve"> </w:t>
      </w:r>
    </w:p>
    <w:p>
      <w:pPr>
        <w:pStyle w:val="ListParagraph"/>
        <w:rPr>
          <w:rFonts w:ascii="Arial Narrow" w:hAnsi="Arial Narrow" w:eastAsia="Times New Roman" w:cs="Arial CYR"/>
          <w:sz w:val="24"/>
          <w:szCs w:val="24"/>
          <w:lang w:eastAsia="ru-RU"/>
        </w:rPr>
      </w:pPr>
      <w:r>
        <w:rPr>
          <w:rFonts w:eastAsia="Times New Roman" w:cs="Arial CYR" w:ascii="Arial Narrow" w:hAnsi="Arial Narrow"/>
          <w:sz w:val="24"/>
          <w:szCs w:val="24"/>
          <w:lang w:eastAsia="ru-RU"/>
        </w:rPr>
      </w:r>
    </w:p>
    <w:p>
      <w:pPr>
        <w:pStyle w:val="ListParagraph"/>
        <w:spacing w:before="0" w:after="200"/>
        <w:contextualSpacing/>
        <w:rPr>
          <w:rFonts w:ascii="Arial Narrow" w:hAnsi="Arial Narrow"/>
          <w:sz w:val="24"/>
          <w:szCs w:val="24"/>
        </w:rPr>
      </w:pPr>
      <w:r>
        <w:rPr>
          <w:rFonts w:eastAsia="Times New Roman" w:cs="Arial CYR" w:ascii="Arial Narrow" w:hAnsi="Arial Narrow"/>
          <w:sz w:val="24"/>
          <w:szCs w:val="24"/>
          <w:lang w:eastAsia="ru-RU"/>
        </w:rPr>
        <w:t>Защиты генераторов мощностью 20-50 МВт, защиты трансформаторов 110/10, 10/3, 10/0,4 кВ мощностью 1-60 МВт, защиты систем шин 10 кВ и 110 кВ на электромеханические реле.</w:t>
      </w:r>
    </w:p>
    <w:sectPr>
      <w:type w:val="nextPage"/>
      <w:pgSz w:w="11906" w:h="16838"/>
      <w:pgMar w:left="1134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06a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a266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LibreOffice/6.4.2.2$Linux_X86_64 LibreOffice_project/40$Build-2</Application>
  <Pages>2</Pages>
  <Words>304</Words>
  <Characters>1823</Characters>
  <CharactersWithSpaces>2062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2020-05-14T11:53:00Z</dcterms:created>
  <dc:creator>vw-smv</dc:creator>
  <dc:description/>
  <dc:language>ru-RU</dc:language>
  <cp:lastModifiedBy/>
  <dcterms:modified xsi:type="dcterms:W3CDTF">2020-05-18T21:37:03Z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