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 xml:space="preserve">НАЦІОНАЛЬНИЙ УНІВЕРСИТЕТ БІОРЕСУРСІВ І ПРИРОДОКОРИСТУВАННЯ УКРАЇНИ </w:t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ФАКУЛЬТЕТ ІНФОРМАЦІЙНИХ ТЕХНОЛОГІЙ</w:t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32"/>
          <w:szCs w:val="32"/>
        </w:rPr>
      </w:pPr>
      <w:r>
        <w:rPr>
          <w:rFonts w:eastAsia="Times New Roman" w:cs="Times New Roman" w:ascii="Times New Roman" w:hAnsi="Times New Roman"/>
          <w:sz w:val="32"/>
          <w:szCs w:val="32"/>
        </w:rPr>
        <w:t>Лабораторна робота №4</w:t>
      </w:r>
    </w:p>
    <w:p>
      <w:pPr>
        <w:pStyle w:val="Normal1"/>
        <w:keepNext w:val="false"/>
        <w:keepLines w:val="false"/>
        <w:pageBreakBefore w:val="false"/>
        <w:widowControl/>
        <w:pBdr/>
        <w:shd w:val="clear" w:fill="auto"/>
        <w:spacing w:lineRule="auto" w:line="240" w:before="120" w:after="120"/>
        <w:ind w:hanging="0" w:left="0" w:right="0"/>
        <w:jc w:val="center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«</w:t>
      </w: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1D2125"/>
          <w:position w:val="0"/>
          <w:sz w:val="23"/>
          <w:sz w:val="23"/>
          <w:szCs w:val="23"/>
          <w:u w:val="none"/>
          <w:shd w:fill="F8F9FA" w:val="clear"/>
          <w:vertAlign w:val="baseline"/>
        </w:rPr>
        <w:t>Розробка лінійної моделі методом </w:t>
      </w:r>
      <w:hyperlink r:id="rId2">
        <w:r>
          <w:rPr>
            <w:rStyle w:val="Hyperlink"/>
            <w:rFonts w:eastAsia="Arial" w:cs="Arial" w:ascii="Arial" w:hAnsi="Arial"/>
            <w:b/>
            <w:i w:val="false"/>
            <w:caps w:val="false"/>
            <w:smallCaps w:val="false"/>
            <w:strike w:val="false"/>
            <w:dstrike w:val="false"/>
            <w:color w:val="1D2125"/>
            <w:position w:val="0"/>
            <w:sz w:val="23"/>
            <w:sz w:val="23"/>
            <w:szCs w:val="23"/>
            <w:u w:val="none"/>
            <w:shd w:fill="F8F9FA" w:val="clear"/>
            <w:vertAlign w:val="baseline"/>
          </w:rPr>
          <w:t>планування експерименту</w:t>
        </w:r>
      </w:hyperlink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1D2125"/>
          <w:position w:val="0"/>
          <w:sz w:val="23"/>
          <w:sz w:val="23"/>
          <w:szCs w:val="23"/>
          <w:u w:val="none"/>
          <w:shd w:fill="F8F9FA" w:val="clear"/>
          <w:vertAlign w:val="baseline"/>
        </w:rPr>
        <w:t xml:space="preserve">.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»</w:t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</w:r>
    </w:p>
    <w:p>
      <w:pPr>
        <w:pStyle w:val="Normal1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Виконав:</w:t>
      </w:r>
    </w:p>
    <w:p>
      <w:pPr>
        <w:pStyle w:val="Normal1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студент групи КН-22002б</w:t>
      </w:r>
    </w:p>
    <w:p>
      <w:pPr>
        <w:pStyle w:val="Normal1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Піскаленко Євгеній Миколайович</w:t>
      </w:r>
    </w:p>
    <w:p>
      <w:pPr>
        <w:pStyle w:val="Normal1"/>
        <w:rPr/>
      </w:pPr>
      <w:r>
        <w:rPr/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color w:val="0070C0"/>
          <w:sz w:val="28"/>
          <w:szCs w:val="28"/>
        </w:rPr>
        <w:t xml:space="preserve">Мета роботи: </w:t>
      </w:r>
      <w:r>
        <w:rPr>
          <w:rFonts w:eastAsia="Arial" w:cs="Arial" w:ascii="Arial" w:hAnsi="Arial"/>
          <w:b/>
          <w:color w:val="1D2125"/>
          <w:sz w:val="23"/>
          <w:szCs w:val="23"/>
          <w:shd w:fill="F8F9FA" w:val="clear"/>
        </w:rPr>
        <w:t xml:space="preserve">Навчитися будувати функцію відгуку по результатам 2-факторного експерименту. 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color w:val="0D0D0D"/>
          <w:sz w:val="24"/>
          <w:szCs w:val="24"/>
        </w:rPr>
      </w:pPr>
      <w:r>
        <w:rPr>
          <w:rFonts w:eastAsia="Times New Roman" w:cs="Times New Roman" w:ascii="Times New Roman" w:hAnsi="Times New Roman"/>
          <w:color w:val="0D0D0D"/>
          <w:sz w:val="24"/>
          <w:szCs w:val="24"/>
        </w:rPr>
        <w:t>Варіант 15</w:t>
      </w:r>
    </w:p>
    <w:p>
      <w:pPr>
        <w:pStyle w:val="Heading1"/>
        <w:jc w:val="center"/>
        <w:rPr/>
      </w:pPr>
      <w:r>
        <w:rPr/>
        <w:t>Хід роботи</w:t>
      </w:r>
    </w:p>
    <w:p>
      <w:pPr>
        <w:pStyle w:val="Normal1"/>
        <w:spacing w:lineRule="auto" w:line="254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/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67"/>
        <w:gridCol w:w="1022"/>
        <w:gridCol w:w="965"/>
        <w:gridCol w:w="956"/>
        <w:gridCol w:w="1093"/>
        <w:gridCol w:w="1025"/>
        <w:gridCol w:w="1028"/>
        <w:gridCol w:w="1250"/>
        <w:gridCol w:w="1038"/>
      </w:tblGrid>
      <w:tr>
        <w:trPr>
          <w:trHeight w:val="238" w:hRule="atLeast"/>
        </w:trPr>
        <w:tc>
          <w:tcPr>
            <w:tcW w:w="967" w:type="dxa"/>
            <w:vMerge w:val="restart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N</w:t>
            </w:r>
          </w:p>
        </w:tc>
        <w:tc>
          <w:tcPr>
            <w:tcW w:w="1987" w:type="dxa"/>
            <w:gridSpan w:val="2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eastAsia="en-US" w:bidi="ar-SA"/>
              </w:rPr>
              <w:t>Рівні факторів</w:t>
            </w:r>
          </w:p>
        </w:tc>
        <w:tc>
          <w:tcPr>
            <w:tcW w:w="956" w:type="dxa"/>
            <w:vMerge w:val="restart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y</w:t>
            </w:r>
          </w:p>
        </w:tc>
        <w:tc>
          <w:tcPr>
            <w:tcW w:w="1093" w:type="dxa"/>
            <w:vMerge w:val="restart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Y(1)</w:t>
            </w:r>
          </w:p>
        </w:tc>
        <w:tc>
          <w:tcPr>
            <w:tcW w:w="1025" w:type="dxa"/>
            <w:vMerge w:val="restart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X12</w:t>
            </w:r>
          </w:p>
        </w:tc>
        <w:tc>
          <w:tcPr>
            <w:tcW w:w="1028" w:type="dxa"/>
            <w:vMerge w:val="restart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Y(2)</w:t>
            </w:r>
          </w:p>
        </w:tc>
        <w:tc>
          <w:tcPr>
            <w:tcW w:w="2288" w:type="dxa"/>
            <w:gridSpan w:val="2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eastAsia="en-US" w:bidi="ar-SA"/>
              </w:rPr>
              <w:t>Відхилення</w:t>
            </w:r>
          </w:p>
        </w:tc>
      </w:tr>
      <w:tr>
        <w:trPr>
          <w:trHeight w:val="243" w:hRule="atLeast"/>
        </w:trPr>
        <w:tc>
          <w:tcPr>
            <w:tcW w:w="967" w:type="dxa"/>
            <w:vMerge w:val="continue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eastAsia="en-US" w:bidi="ar-SA"/>
              </w:rPr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X1</w:t>
            </w:r>
          </w:p>
        </w:tc>
        <w:tc>
          <w:tcPr>
            <w:tcW w:w="965" w:type="dxa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X2</w:t>
            </w:r>
          </w:p>
        </w:tc>
        <w:tc>
          <w:tcPr>
            <w:tcW w:w="956" w:type="dxa"/>
            <w:vMerge w:val="continue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1093" w:type="dxa"/>
            <w:vMerge w:val="continue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1025" w:type="dxa"/>
            <w:vMerge w:val="continue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eastAsia="en-US" w:bidi="ar-SA"/>
              </w:rPr>
            </w:r>
          </w:p>
        </w:tc>
        <w:tc>
          <w:tcPr>
            <w:tcW w:w="1028" w:type="dxa"/>
            <w:vMerge w:val="continue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eastAsia="en-US" w:bidi="ar-SA"/>
              </w:rPr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Y1</w:t>
            </w:r>
          </w:p>
        </w:tc>
        <w:tc>
          <w:tcPr>
            <w:tcW w:w="1038" w:type="dxa"/>
            <w:tcBorders/>
          </w:tcPr>
          <w:p>
            <w:pPr>
              <w:pStyle w:val="Normal"/>
              <w:widowControl/>
              <w:spacing w:before="0" w:after="1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28"/>
                <w:szCs w:val="28"/>
                <w:lang w:val="en-US" w:eastAsia="en-US" w:bidi="ar-SA"/>
              </w:rPr>
              <w:t>Y2</w:t>
            </w:r>
          </w:p>
        </w:tc>
      </w:tr>
      <w:tr>
        <w:trPr>
          <w:trHeight w:val="238" w:hRule="atLeast"/>
        </w:trPr>
        <w:tc>
          <w:tcPr>
            <w:tcW w:w="967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-1</w:t>
            </w:r>
          </w:p>
        </w:tc>
        <w:tc>
          <w:tcPr>
            <w:tcW w:w="965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-1</w:t>
            </w:r>
          </w:p>
        </w:tc>
        <w:tc>
          <w:tcPr>
            <w:tcW w:w="956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eastAsia="en-US" w:bidi="ar-SA"/>
              </w:rPr>
              <w:t>32</w:t>
            </w:r>
          </w:p>
        </w:tc>
        <w:tc>
          <w:tcPr>
            <w:tcW w:w="1093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30.25</w:t>
            </w:r>
          </w:p>
        </w:tc>
        <w:tc>
          <w:tcPr>
            <w:tcW w:w="1025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1028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eastAsia="en-US" w:bidi="ar-SA"/>
              </w:rPr>
              <w:t>3</w:t>
            </w: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1.75</w:t>
            </w:r>
          </w:p>
        </w:tc>
        <w:tc>
          <w:tcPr>
            <w:tcW w:w="1038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0</w:t>
            </w:r>
          </w:p>
        </w:tc>
      </w:tr>
      <w:tr>
        <w:trPr>
          <w:trHeight w:val="243" w:hRule="atLeast"/>
        </w:trPr>
        <w:tc>
          <w:tcPr>
            <w:tcW w:w="967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+1</w:t>
            </w:r>
          </w:p>
        </w:tc>
        <w:tc>
          <w:tcPr>
            <w:tcW w:w="965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-1</w:t>
            </w:r>
          </w:p>
        </w:tc>
        <w:tc>
          <w:tcPr>
            <w:tcW w:w="956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eastAsia="en-US" w:bidi="ar-SA"/>
              </w:rPr>
              <w:t>2</w:t>
            </w: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7</w:t>
            </w:r>
          </w:p>
        </w:tc>
        <w:tc>
          <w:tcPr>
            <w:tcW w:w="1093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28.75</w:t>
            </w:r>
          </w:p>
        </w:tc>
        <w:tc>
          <w:tcPr>
            <w:tcW w:w="1025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-1</w:t>
            </w:r>
          </w:p>
        </w:tc>
        <w:tc>
          <w:tcPr>
            <w:tcW w:w="1028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eastAsia="en-US" w:bidi="ar-SA"/>
              </w:rPr>
              <w:t>2</w:t>
            </w: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7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-1.75</w:t>
            </w:r>
          </w:p>
        </w:tc>
        <w:tc>
          <w:tcPr>
            <w:tcW w:w="1038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0</w:t>
            </w:r>
          </w:p>
        </w:tc>
      </w:tr>
      <w:tr>
        <w:trPr>
          <w:trHeight w:val="238" w:hRule="atLeast"/>
        </w:trPr>
        <w:tc>
          <w:tcPr>
            <w:tcW w:w="967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3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-1</w:t>
            </w:r>
          </w:p>
        </w:tc>
        <w:tc>
          <w:tcPr>
            <w:tcW w:w="965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+1</w:t>
            </w:r>
          </w:p>
        </w:tc>
        <w:tc>
          <w:tcPr>
            <w:tcW w:w="956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eastAsia="en-US" w:bidi="ar-SA"/>
              </w:rPr>
              <w:t>1</w:t>
            </w: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9</w:t>
            </w:r>
          </w:p>
        </w:tc>
        <w:tc>
          <w:tcPr>
            <w:tcW w:w="1093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20.75</w:t>
            </w:r>
          </w:p>
        </w:tc>
        <w:tc>
          <w:tcPr>
            <w:tcW w:w="1025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-1</w:t>
            </w:r>
          </w:p>
        </w:tc>
        <w:tc>
          <w:tcPr>
            <w:tcW w:w="1028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eastAsia="en-US" w:bidi="ar-SA"/>
              </w:rPr>
              <w:t>1</w:t>
            </w: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9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-1.75</w:t>
            </w:r>
          </w:p>
        </w:tc>
        <w:tc>
          <w:tcPr>
            <w:tcW w:w="1038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0</w:t>
            </w:r>
          </w:p>
        </w:tc>
      </w:tr>
      <w:tr>
        <w:trPr>
          <w:trHeight w:val="243" w:hRule="atLeast"/>
        </w:trPr>
        <w:tc>
          <w:tcPr>
            <w:tcW w:w="967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4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+1</w:t>
            </w:r>
          </w:p>
        </w:tc>
        <w:tc>
          <w:tcPr>
            <w:tcW w:w="965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+1</w:t>
            </w:r>
          </w:p>
        </w:tc>
        <w:tc>
          <w:tcPr>
            <w:tcW w:w="956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eastAsia="en-US" w:bidi="ar-SA"/>
              </w:rPr>
              <w:t>2</w:t>
            </w: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1093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19.25</w:t>
            </w:r>
          </w:p>
        </w:tc>
        <w:tc>
          <w:tcPr>
            <w:tcW w:w="1025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1028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eastAsia="en-US" w:bidi="ar-SA"/>
              </w:rPr>
              <w:t>2</w:t>
            </w: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1.75</w:t>
            </w:r>
          </w:p>
        </w:tc>
        <w:tc>
          <w:tcPr>
            <w:tcW w:w="1038" w:type="dxa"/>
            <w:tcBorders/>
          </w:tcPr>
          <w:p>
            <w:pPr>
              <w:pStyle w:val="Normal"/>
              <w:widowControl/>
              <w:spacing w:before="0" w:after="16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 w:ascii="Times New Roman" w:hAnsi="Times New Roman"/>
                <w:kern w:val="2"/>
                <w:sz w:val="28"/>
                <w:szCs w:val="28"/>
                <w:lang w:val="en-US" w:eastAsia="en-US" w:bidi="ar-SA"/>
              </w:rPr>
              <w:t>0</w:t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375150" cy="463931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0845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160"/>
        <w:jc w:val="center"/>
        <w:rPr/>
      </w:pPr>
      <w:r>
        <w:rPr/>
        <w:drawing>
          <wp:inline distT="0" distB="0" distL="0" distR="0">
            <wp:extent cx="5238750" cy="552450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spacing w:lineRule="auto" w:line="240" w:before="240" w:after="0"/>
    </w:pPr>
    <w:rPr>
      <w:rFonts w:ascii="Calibri" w:hAnsi="Calibri" w:eastAsia="Calibri" w:cs="Calibri"/>
      <w:color w:val="2F5496"/>
      <w:sz w:val="32"/>
      <w:szCs w:val="32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libri" w:hAnsi="Calibri" w:eastAsia="Calibri" w:cs="Calibri"/>
      <w:color w:val="2F5496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learn.nubip.edu.ua/mod/url/view.php?id=189421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LibreOffice/24.2.2.2$Windows_X86_64 LibreOffice_project/d56cc158d8a96260b836f100ef4b4ef25d6f1a01</Application>
  <AppVersion>15.0000</AppVersion>
  <Pages>5</Pages>
  <Words>88</Words>
  <Characters>449</Characters>
  <CharactersWithSpaces>482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2024-05-07T13:29:41Z</dcterms:modified>
  <cp:revision>1</cp:revision>
  <dc:subject/>
  <dc:title/>
</cp:coreProperties>
</file>