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 xml:space="preserve">Search from Anywhere </w:t>
      </w:r>
    </w:p>
    <w:p>
      <w:pPr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 xml:space="preserve">We provide you the best real estate deals from selected locations across each continent with high quality standard of living,stable political environment, and great business opportunities. </w:t>
      </w:r>
    </w:p>
    <w:p>
      <w:pPr>
        <w:rPr>
          <w:b/>
          <w:bCs/>
          <w:sz w:val="22"/>
          <w:szCs w:val="28"/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 xml:space="preserve">Friendly Agent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It may sound harsh, but agents are not friendly or unfriendly towards you because they need a new pal. By statute, agents owe every client the same fiduciary responsibilities. These responsibilities are confidentiality, loyalty, obedience, disclosure, care, and accounting.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 xml:space="preserve">Buy or Rent </w:t>
      </w:r>
    </w:p>
    <w:p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default"/>
          <w:b/>
          <w:bCs/>
          <w:sz w:val="22"/>
          <w:szCs w:val="28"/>
          <w:lang w:val="en-US"/>
        </w:rPr>
        <w:t xml:space="preserve">When deciding if buying or renting a home it’s a better option we often look at the costs involved for both a Homeowner and a Tenant. The choice to buy or rent depends largely on your personal profile and the current conditions of the property market 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64EC1"/>
    <w:rsid w:val="528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2018-05-27T19:06:00Z</dcterms:created>
  <dc:creator>sunshine</dc:creator>
  <cp:lastModifiedBy>sunshine</cp:lastModifiedBy>
  <dcterms:modified xsi:type="dcterms:W3CDTF">2018-05-27T19:46:46Z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