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FC3AE" w:sz="4" w:space="6"/>
          <w:bottom w:val="single" w:color="CFC3AE" w:sz="4" w:space="6"/>
        </w:pBdr>
        <w:shd w:fill="F4EFE6" w:val="clear"/>
        <w:spacing w:after="80"/>
        <w:jc w:val="left"/>
      </w:pPr>
      <w:r>
        <w:rPr>
          <w:b/>
          <w:bCs/>
          <w:color w:val="8A2E2E"/>
          <w:sz w:val="18"/>
          <w:szCs w:val="18"/>
        </w:rPr>
        <w:t xml:space="preserve">DRAFT — FOR INTERNAL &amp; SINGAPORE LEGAL COUNSEL REVIEW. NOT FOR PUBLICATION.</w:t>
      </w:r>
    </w:p>
    <w:p>
      <w:pPr>
        <w:pStyle w:val="Title"/>
      </w:pPr>
      <w:r>
        <w:t xml:space="preserve">Data Protection &amp; Information Security Statement</w:t>
      </w:r>
    </w:p>
    <w:p>
      <w:pPr>
        <w:pStyle w:val="Subtitle"/>
      </w:pPr>
      <w:r>
        <w:t xml:space="preserve">DW Digital Invite CMS — Technical and Organisational Measures</w:t>
      </w:r>
    </w:p>
    <w:p>
      <w:pPr>
        <w:spacing w:after="280"/>
      </w:pPr>
      <w:r>
        <w:rPr>
          <w:i/>
          <w:iCs/>
          <w:color w:val="5B5343"/>
          <w:sz w:val="18"/>
          <w:szCs w:val="18"/>
        </w:rPr>
        <w:t xml:space="preserve">Document version: 0.1 (Draft)   |   Prepared: 16 June 2026   |   Applies to: DW Digital Invite CMS</w:t>
      </w:r>
    </w:p>
    <w:p>
      <w:pPr>
        <w:pStyle w:val="Heading1"/>
      </w:pPr>
      <w:r>
        <w:rPr>
          <w:b w:val="false"/>
          <w:bCs w:val="false"/>
        </w:rPr>
        <w:t xml:space="preserve">1. Purpose</w:t>
      </w:r>
    </w:p>
    <w:p>
      <w:r>
        <w:rPr>
          <w:b w:val="false"/>
          <w:bCs w:val="false"/>
        </w:rPr>
        <w:t xml:space="preserve">This Statement describes the technical and organisational measures Dreamweavers Pte. Ltd. applies to protect personal data and platform integrity in connection with DW Digital Invite CMS, in support of the Protection Obligation under the PDPA. It is intended to be read alongside our Privacy Policy.</w:t>
      </w:r>
    </w:p>
    <w:p>
      <w:pPr>
        <w:pBdr>
          <w:left w:val="single" w:color="9C7A3C" w:sz="12" w:space="6"/>
        </w:pBdr>
        <w:shd w:fill="F4EFE6" w:val="clear"/>
        <w:spacing w:after="200" w:before="120"/>
      </w:pPr>
      <w:r>
        <w:rPr>
          <w:b w:val="false"/>
          <w:bCs w:val="false"/>
          <w:i/>
          <w:iCs/>
        </w:rPr>
        <w:t xml:space="preserve">Drafting note: this Statement describes a target-state security posture appropriate for a SaaS platform handling guest personal data. Before publication, confirm against the platform's actual architecture, hosting provider, and any completed security assessments, so nothing described here is aspirational rather than factual.</w:t>
      </w:r>
    </w:p>
    <w:p>
      <w:pPr>
        <w:pStyle w:val="Heading1"/>
      </w:pPr>
      <w:r>
        <w:rPr>
          <w:b w:val="false"/>
          <w:bCs w:val="false"/>
        </w:rPr>
        <w:t xml:space="preserve">2. Encryption</w:t>
      </w:r>
    </w:p>
    <w:p>
      <w:pPr>
        <w:pStyle w:val="ListParagraph"/>
        <w:numPr>
          <w:ilvl w:val="0"/>
          <w:numId w:val="2"/>
        </w:numPr>
      </w:pPr>
      <w:r>
        <w:rPr>
          <w:b w:val="false"/>
          <w:bCs w:val="false"/>
        </w:rPr>
        <w:t xml:space="preserve">Data in transit between users and the Service is encrypted using industry-standard transport security (TLS).</w:t>
      </w:r>
    </w:p>
    <w:p>
      <w:pPr>
        <w:pStyle w:val="ListParagraph"/>
        <w:numPr>
          <w:ilvl w:val="0"/>
          <w:numId w:val="2"/>
        </w:numPr>
      </w:pPr>
      <w:r>
        <w:rPr>
          <w:b w:val="false"/>
          <w:bCs w:val="false"/>
        </w:rPr>
        <w:t xml:space="preserve">Data at rest, including guest lists, RSVP data, and uploaded media, is stored using encryption appropriate to its sensitivity.</w:t>
      </w:r>
    </w:p>
    <w:p>
      <w:pPr>
        <w:pStyle w:val="Heading1"/>
      </w:pPr>
      <w:r>
        <w:rPr>
          <w:b w:val="false"/>
          <w:bCs w:val="false"/>
        </w:rPr>
        <w:t xml:space="preserve">3. Access Controls</w:t>
      </w:r>
    </w:p>
    <w:p>
      <w:pPr>
        <w:pStyle w:val="ListParagraph"/>
        <w:numPr>
          <w:ilvl w:val="0"/>
          <w:numId w:val="3"/>
        </w:numPr>
      </w:pPr>
      <w:r>
        <w:rPr>
          <w:b w:val="false"/>
          <w:bCs w:val="false"/>
        </w:rPr>
        <w:t xml:space="preserve">Access to production systems and personal data is restricted to personnel who require it to perform their role, on a least-privilege basis.</w:t>
      </w:r>
    </w:p>
    <w:p>
      <w:pPr>
        <w:pStyle w:val="ListParagraph"/>
        <w:numPr>
          <w:ilvl w:val="0"/>
          <w:numId w:val="3"/>
        </w:numPr>
      </w:pPr>
      <w:r>
        <w:rPr>
          <w:b w:val="false"/>
          <w:bCs w:val="false"/>
        </w:rPr>
        <w:t xml:space="preserve">Administrative access is protected by strong authentication, and we encourage Organisers to use strong, unique passwords for their accounts.</w:t>
      </w:r>
    </w:p>
    <w:p>
      <w:pPr>
        <w:pStyle w:val="ListParagraph"/>
        <w:numPr>
          <w:ilvl w:val="0"/>
          <w:numId w:val="3"/>
        </w:numPr>
      </w:pPr>
      <w:r>
        <w:rPr>
          <w:b w:val="false"/>
          <w:bCs w:val="false"/>
        </w:rPr>
        <w:t xml:space="preserve">Where available, multi-factor authentication options should be offered for account login and especially for administrative or team-member access.</w:t>
      </w:r>
    </w:p>
    <w:p>
      <w:pPr>
        <w:pStyle w:val="Heading1"/>
      </w:pPr>
      <w:r>
        <w:rPr>
          <w:b w:val="false"/>
          <w:bCs w:val="false"/>
        </w:rPr>
        <w:t xml:space="preserve">4. Authentication</w:t>
      </w:r>
    </w:p>
    <w:p>
      <w:pPr>
        <w:pStyle w:val="ListParagraph"/>
        <w:numPr>
          <w:ilvl w:val="0"/>
          <w:numId w:val="4"/>
        </w:numPr>
      </w:pPr>
      <w:r>
        <w:rPr>
          <w:b w:val="false"/>
          <w:bCs w:val="false"/>
        </w:rPr>
        <w:t xml:space="preserve">User accounts are protected by password-based authentication meeting defined complexity requirements.</w:t>
      </w:r>
    </w:p>
    <w:p>
      <w:pPr>
        <w:pStyle w:val="ListParagraph"/>
        <w:numPr>
          <w:ilvl w:val="0"/>
          <w:numId w:val="4"/>
        </w:numPr>
      </w:pPr>
      <w:r>
        <w:rPr>
          <w:b w:val="false"/>
          <w:bCs w:val="false"/>
        </w:rPr>
        <w:t xml:space="preserve">We monitor for patterns consistent with credential-stuffing or brute-force attempts and apply rate limiting and lockout controls as appropriate.</w:t>
      </w:r>
    </w:p>
    <w:p>
      <w:pPr>
        <w:pStyle w:val="Heading1"/>
      </w:pPr>
      <w:r>
        <w:rPr>
          <w:b w:val="false"/>
          <w:bCs w:val="false"/>
        </w:rPr>
        <w:t xml:space="preserve">5. Logging and Monitoring</w:t>
      </w:r>
    </w:p>
    <w:p>
      <w:pPr>
        <w:pStyle w:val="ListParagraph"/>
        <w:numPr>
          <w:ilvl w:val="0"/>
          <w:numId w:val="5"/>
        </w:numPr>
      </w:pPr>
      <w:r>
        <w:rPr>
          <w:b w:val="false"/>
          <w:bCs w:val="false"/>
        </w:rPr>
        <w:t xml:space="preserve">Key system and security events are logged to support detection of unauthorised access or unusual activity.</w:t>
      </w:r>
    </w:p>
    <w:p>
      <w:pPr>
        <w:pStyle w:val="ListParagraph"/>
        <w:numPr>
          <w:ilvl w:val="0"/>
          <w:numId w:val="5"/>
        </w:numPr>
      </w:pPr>
      <w:r>
        <w:rPr>
          <w:b w:val="false"/>
          <w:bCs w:val="false"/>
        </w:rPr>
        <w:t xml:space="preserve">Logs are reviewed and retained for a defined period consistent with operational and legal needs, and access to logs is itself restricted.</w:t>
      </w:r>
    </w:p>
    <w:p>
      <w:pPr>
        <w:pStyle w:val="Heading1"/>
      </w:pPr>
      <w:r>
        <w:rPr>
          <w:b w:val="false"/>
          <w:bCs w:val="false"/>
        </w:rPr>
        <w:t xml:space="preserve">6. Backup Practices</w:t>
      </w:r>
    </w:p>
    <w:p>
      <w:pPr>
        <w:pStyle w:val="ListParagraph"/>
        <w:numPr>
          <w:ilvl w:val="0"/>
          <w:numId w:val="6"/>
        </w:numPr>
      </w:pPr>
      <w:r>
        <w:rPr>
          <w:b w:val="false"/>
          <w:bCs w:val="false"/>
        </w:rPr>
        <w:t xml:space="preserve">Data is backed up on a regular schedule to support recovery in the event of data loss, system failure, or a security incident.</w:t>
      </w:r>
    </w:p>
    <w:p>
      <w:pPr>
        <w:pStyle w:val="ListParagraph"/>
        <w:numPr>
          <w:ilvl w:val="0"/>
          <w:numId w:val="6"/>
        </w:numPr>
      </w:pPr>
      <w:r>
        <w:rPr>
          <w:b w:val="false"/>
          <w:bCs w:val="false"/>
        </w:rPr>
        <w:t xml:space="preserve">Backup copies are protected with controls consistent with those applied to production data, and retained only for the period necessary to support recovery objectives.</w:t>
      </w:r>
    </w:p>
    <w:p>
      <w:pPr>
        <w:pStyle w:val="Heading1"/>
      </w:pPr>
      <w:r>
        <w:rPr>
          <w:b w:val="false"/>
          <w:bCs w:val="false"/>
        </w:rPr>
        <w:t xml:space="preserve">7. Incident Response</w:t>
      </w:r>
    </w:p>
    <w:p>
      <w:pPr>
        <w:pStyle w:val="ListParagraph"/>
        <w:numPr>
          <w:ilvl w:val="0"/>
          <w:numId w:val="7"/>
        </w:numPr>
      </w:pPr>
      <w:r>
        <w:rPr>
          <w:b w:val="false"/>
          <w:bCs w:val="false"/>
        </w:rPr>
        <w:t xml:space="preserve">We maintain an incident response process to detect, assess, contain, and remediate security incidents.</w:t>
      </w:r>
    </w:p>
    <w:p>
      <w:pPr>
        <w:pStyle w:val="ListParagraph"/>
        <w:numPr>
          <w:ilvl w:val="0"/>
          <w:numId w:val="7"/>
        </w:numPr>
      </w:pPr>
      <w:r>
        <w:rPr>
          <w:b w:val="false"/>
          <w:bCs w:val="false"/>
        </w:rPr>
        <w:t xml:space="preserve">Where an incident involves a notifiable data breach under the PDPA's Data Breach Notification Obligation, we will assess the breach and, where required, notify the Personal Data Protection Commission of Singapore and affected individuals within the timeframes prescribed by law.</w:t>
      </w:r>
    </w:p>
    <w:p>
      <w:pPr>
        <w:pStyle w:val="ListParagraph"/>
        <w:numPr>
          <w:ilvl w:val="0"/>
          <w:numId w:val="7"/>
        </w:numPr>
      </w:pPr>
      <w:r>
        <w:rPr>
          <w:b w:val="false"/>
          <w:bCs w:val="false"/>
        </w:rPr>
        <w:t xml:space="preserve">Organisers will be notified of incidents affecting their account or Guest data without undue delay, so they can meet any notification obligations of their own.</w:t>
      </w:r>
    </w:p>
    <w:p>
      <w:pPr>
        <w:pStyle w:val="Heading1"/>
      </w:pPr>
      <w:r>
        <w:rPr>
          <w:b w:val="false"/>
          <w:bCs w:val="false"/>
        </w:rPr>
        <w:t xml:space="preserve">8. Vendor and Subprocessor Management</w:t>
      </w:r>
    </w:p>
    <w:p>
      <w:pPr>
        <w:pStyle w:val="ListParagraph"/>
        <w:numPr>
          <w:ilvl w:val="0"/>
          <w:numId w:val="8"/>
        </w:numPr>
      </w:pPr>
      <w:r>
        <w:rPr>
          <w:b w:val="false"/>
          <w:bCs w:val="false"/>
        </w:rPr>
        <w:t xml:space="preserve">Third-party vendors that process personal data on our behalf (such as hosting and email delivery providers) are assessed before onboarding and bound by contractual data protection obligations consistent with the PDPA.</w:t>
      </w:r>
    </w:p>
    <w:p>
      <w:pPr>
        <w:pStyle w:val="ListParagraph"/>
        <w:numPr>
          <w:ilvl w:val="0"/>
          <w:numId w:val="8"/>
        </w:numPr>
      </w:pPr>
      <w:r>
        <w:rPr>
          <w:b w:val="false"/>
          <w:bCs w:val="false"/>
        </w:rPr>
        <w:t xml:space="preserve">We maintain a record of subprocessors and review this periodically.</w:t>
      </w:r>
    </w:p>
    <w:p>
      <w:pPr>
        <w:pStyle w:val="Heading1"/>
      </w:pPr>
      <w:r>
        <w:rPr>
          <w:b w:val="false"/>
          <w:bCs w:val="false"/>
        </w:rPr>
        <w:t xml:space="preserve">9. Employee Access Restrictions</w:t>
      </w:r>
    </w:p>
    <w:p>
      <w:pPr>
        <w:pStyle w:val="ListParagraph"/>
        <w:numPr>
          <w:ilvl w:val="0"/>
          <w:numId w:val="9"/>
        </w:numPr>
      </w:pPr>
      <w:r>
        <w:rPr>
          <w:b w:val="false"/>
          <w:bCs w:val="false"/>
        </w:rPr>
        <w:t xml:space="preserve">Employee and contractor access to personal data is granted on a need-to-know basis and reviewed periodically.</w:t>
      </w:r>
    </w:p>
    <w:p>
      <w:pPr>
        <w:pStyle w:val="ListParagraph"/>
        <w:numPr>
          <w:ilvl w:val="0"/>
          <w:numId w:val="9"/>
        </w:numPr>
      </w:pPr>
      <w:r>
        <w:rPr>
          <w:b w:val="false"/>
          <w:bCs w:val="false"/>
        </w:rPr>
        <w:t xml:space="preserve">Personnel with access to personal data receive guidance on their data protection obligations as part of onboarding.</w:t>
      </w:r>
    </w:p>
    <w:p>
      <w:pPr>
        <w:pStyle w:val="ListParagraph"/>
        <w:numPr>
          <w:ilvl w:val="0"/>
          <w:numId w:val="9"/>
        </w:numPr>
      </w:pPr>
      <w:r>
        <w:rPr>
          <w:b w:val="false"/>
          <w:bCs w:val="false"/>
        </w:rPr>
        <w:t xml:space="preserve">Access is promptly revoked when no longer required, including upon role change or departure.</w:t>
      </w:r>
    </w:p>
    <w:p>
      <w:pPr>
        <w:pStyle w:val="Heading1"/>
      </w:pPr>
      <w:r>
        <w:rPr>
          <w:b w:val="false"/>
          <w:bCs w:val="false"/>
        </w:rPr>
        <w:t xml:space="preserve">10. Secure Software Development Practices</w:t>
      </w:r>
    </w:p>
    <w:p>
      <w:pPr>
        <w:pStyle w:val="ListParagraph"/>
        <w:numPr>
          <w:ilvl w:val="0"/>
          <w:numId w:val="10"/>
        </w:numPr>
      </w:pPr>
      <w:r>
        <w:rPr>
          <w:b w:val="false"/>
          <w:bCs w:val="false"/>
        </w:rPr>
        <w:t xml:space="preserve">Changes to the Service follow a defined development and review process, including code review before deployment to production.</w:t>
      </w:r>
    </w:p>
    <w:p>
      <w:pPr>
        <w:pStyle w:val="ListParagraph"/>
        <w:numPr>
          <w:ilvl w:val="0"/>
          <w:numId w:val="10"/>
        </w:numPr>
      </w:pPr>
      <w:r>
        <w:rPr>
          <w:b w:val="false"/>
          <w:bCs w:val="false"/>
        </w:rPr>
        <w:t xml:space="preserve">Security-relevant dependencies and components are monitored for known vulnerabilities, with patches applied within a risk-appropriate timeframe.</w:t>
      </w:r>
    </w:p>
    <w:p>
      <w:pPr>
        <w:pStyle w:val="ListParagraph"/>
        <w:numPr>
          <w:ilvl w:val="0"/>
          <w:numId w:val="10"/>
        </w:numPr>
      </w:pPr>
      <w:r>
        <w:rPr>
          <w:b w:val="false"/>
          <w:bCs w:val="false"/>
        </w:rPr>
        <w:t xml:space="preserve">Where reasonably practicable, security testing is performed before major releases.</w:t>
      </w:r>
    </w:p>
    <w:p>
      <w:pPr>
        <w:pStyle w:val="Heading1"/>
      </w:pPr>
      <w:r>
        <w:rPr>
          <w:b w:val="false"/>
          <w:bCs w:val="false"/>
        </w:rPr>
        <w:t xml:space="preserve">11. Updates to This Statement</w:t>
      </w:r>
    </w:p>
    <w:p>
      <w:r>
        <w:rPr>
          <w:b w:val="false"/>
          <w:bCs w:val="false"/>
        </w:rPr>
        <w:t xml:space="preserve">We may update this Statement as our security practices evolve. Material changes will be reflected with an updated date.</w:t>
      </w:r>
    </w:p>
    <w:p>
      <w:pPr>
        <w:pStyle w:val="Heading1"/>
      </w:pPr>
      <w:r>
        <w:rPr>
          <w:b w:val="false"/>
          <w:bCs w:val="false"/>
        </w:rPr>
        <w:t xml:space="preserve">12. Contact</w:t>
      </w:r>
    </w:p>
    <w:p>
      <w:r>
        <w:rPr>
          <w:b w:val="false"/>
          <w:bCs w:val="false"/>
        </w:rPr>
        <w:t xml:space="preserve">Security-related questions or reports of suspected vulnerabilities can be sent to privacy@dreamweavers.com.sg [placeholder — confirm before launch] or support@dwdigitalinvite.com [placeholder — confirm before launch].</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A8170"/>
        <w:sz w:val="16"/>
        <w:szCs w:val="16"/>
      </w:rPr>
      <w:t xml:space="preserve">Confidential draft — not for public distribution</w:t>
    </w:r>
    <w:r>
      <w:rPr>
        <w:color w:val="8A8170"/>
        <w:sz w:val="16"/>
        <w:szCs w:val="16"/>
      </w:rPr>
      <w:t xml:space="preserve">	Page </w:t>
    </w:r>
    <w:r>
      <w:rPr>
        <w:color w:val="8A8170"/>
        <w:sz w:val="16"/>
        <w:szCs w:val="16"/>
      </w:rPr>
      <w:fldChar w:fldCharType="begin"/>
      <w:instrText xml:space="preserve">PAGE</w:instrText>
      <w:fldChar w:fldCharType="separate"/>
      <w:fldChar w:fldCharType="end"/>
    </w:r>
    <w:r>
      <w:rPr>
        <w:color w:val="8A8170"/>
        <w:sz w:val="16"/>
        <w:szCs w:val="16"/>
      </w:rPr>
      <w:t xml:space="preserve"> of </w:t>
    </w:r>
    <w:r>
      <w:rPr>
        <w:color w:val="8A81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3AE" w:sz="4" w:space="4"/>
      </w:pBdr>
      <w:tabs>
        <w:tab w:val="right" w:pos="9026"/>
      </w:tabs>
    </w:pPr>
    <w:r>
      <w:rPr>
        <w:b/>
        <w:bCs/>
        <w:color w:val="9C7A3C"/>
        <w:sz w:val="16"/>
        <w:szCs w:val="16"/>
      </w:rPr>
      <w:t xml:space="preserve">DW Digital Invite CMS</w:t>
    </w:r>
    <w:r>
      <w:rPr>
        <w:color w:val="5B5343"/>
        <w:sz w:val="16"/>
        <w:szCs w:val="16"/>
      </w:rPr>
      <w:t xml:space="preserve">	Data Protection &amp; Security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3"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4"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5"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6"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7"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8"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9"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abstractNum w:abstractNumId="10" w15:restartNumberingAfterBreak="0">
    <w:multiLevelType w:val="hybridMultilevel"/>
    <w:lvl w:ilvl="0" w15:tentative="1">
      <w:start w:val="1"/>
      <w:numFmt w:val="bullet"/>
      <w:lvlText w:val="—"/>
      <w:lvlJc w:val="left"/>
      <w:pPr>
        <w:ind w:left="540" w:hanging="270"/>
      </w:pPr>
      <w:rPr>
        <w:color w:val="9C7A3C"/>
      </w:rPr>
    </w:lvl>
    <w:lvl w:ilvl="1" w15:tentative="1">
      <w:start w:val="1"/>
      <w:numFmt w:val="bullet"/>
      <w:lvlText w:val="·"/>
      <w:lvlJc w:val="left"/>
      <w:pPr>
        <w:ind w:left="980" w:hanging="270"/>
      </w:pPr>
      <w:rPr>
        <w:color w:val="9C7A3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420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Garamond" w:cs="Garamond" w:eastAsia="Garamond" w:hAnsi="Garamond"/>
      <w:b/>
      <w:bCs/>
      <w:color w:val="1F3A52"/>
      <w:sz w:val="44"/>
      <w:szCs w:val="44"/>
    </w:rPr>
  </w:style>
  <w:style w:type="paragraph" w:styleId="Subtitle">
    <w:name w:val="Subtitle"/>
    <w:basedOn w:val="Normal"/>
    <w:next w:val="Normal"/>
    <w:qFormat/>
    <w:pPr>
      <w:spacing w:after="360" w:before="0"/>
    </w:pPr>
    <w:rPr>
      <w:rFonts w:ascii="Garamond" w:cs="Garamond" w:eastAsia="Garamond" w:hAnsi="Garamond"/>
      <w:i/>
      <w:iCs/>
      <w:color w:val="9C7A3C"/>
      <w:sz w:val="24"/>
      <w:szCs w:val="24"/>
    </w:rPr>
  </w:style>
  <w:style w:type="paragraph" w:styleId="Heading1">
    <w:name w:val="Heading 1"/>
    <w:basedOn w:val="Normal"/>
    <w:next w:val="Normal"/>
    <w:qFormat/>
    <w:pPr>
      <w:pBdr>
        <w:bottom w:val="single" w:color="CFC3AE" w:sz="4" w:space="4"/>
      </w:pBdr>
      <w:spacing w:after="140" w:before="320"/>
      <w:outlineLvl w:val="0"/>
    </w:pPr>
    <w:rPr>
      <w:rFonts w:ascii="Garamond" w:cs="Garamond" w:eastAsia="Garamond" w:hAnsi="Garamond"/>
      <w:b/>
      <w:bCs/>
      <w:color w:val="1F3A52"/>
      <w:sz w:val="28"/>
      <w:szCs w:val="28"/>
    </w:rPr>
  </w:style>
  <w:style w:type="paragraph" w:styleId="Heading2">
    <w:name w:val="Heading 2"/>
    <w:basedOn w:val="Normal"/>
    <w:next w:val="Normal"/>
    <w:qFormat/>
    <w:pPr>
      <w:spacing w:after="100" w:before="220"/>
      <w:outlineLvl w:val="1"/>
    </w:pPr>
    <w:rPr>
      <w:rFonts w:ascii="Garamond" w:cs="Garamond" w:eastAsia="Garamond" w:hAnsi="Garamond"/>
      <w:b/>
      <w:bCs/>
      <w:color w:val="3A3326"/>
      <w:sz w:val="24"/>
      <w:szCs w:val="24"/>
    </w:rPr>
  </w:style>
  <w:style w:type="paragraph" w:styleId="Normal">
    <w:name w:val="Normal"/>
    <w:pPr>
      <w:spacing w:after="140" w:line="300"/>
    </w:pPr>
    <w:rPr>
      <w:rFonts w:ascii="Garamond" w:cs="Garamond" w:eastAsia="Garamond" w:hAnsi="Garamond"/>
      <w:color w:val="2420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2026-06-16T08:30:03.117Z</dcterms:created>
  <dcterms:modified xsi:type="dcterms:W3CDTF">2026-06-16T08:30:03.117Z</dcterms:modified>
</cp:coreProperties>
</file>

<file path=docProps/custom.xml><?xml version="1.0" encoding="utf-8"?>
<Properties xmlns="http://schemas.openxmlformats.org/officeDocument/2006/custom-properties" xmlns:vt="http://schemas.openxmlformats.org/officeDocument/2006/docPropsVTypes"/>
</file>