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36"/>
          <w:szCs w:val="36"/>
        </w:rPr>
        <w:t xml:space="preserve">SIFA — MySifa</w:t>
      </w:r>
    </w:p>
    <w:p>
      <w:pPr>
        <w:spacing w:after="60" w:before="0"/>
      </w:pPr>
      <w:r>
        <w:rPr>
          <w:rFonts w:ascii="Arial" w:cs="Arial" w:eastAsia="Arial" w:hAnsi="Arial"/>
          <w:b w:val="false"/>
          <w:bCs w:val="false"/>
          <w:color w:val="475569"/>
          <w:sz w:val="28"/>
          <w:szCs w:val="28"/>
        </w:rPr>
        <w:t xml:space="preserve">Certification FSC Chain of Custody</w:t>
      </w:r>
    </w:p>
    <w:p>
      <w:pPr>
        <w:spacing w:after="60" w:before="0"/>
      </w:pPr>
      <w:r>
        <w:rPr>
          <w:rFonts w:ascii="Arial" w:cs="Arial" w:eastAsia="Arial" w:hAnsi="Arial"/>
          <w:b/>
          <w:bCs/>
          <w:color w:val="0f5f8a"/>
          <w:sz w:val="26"/>
          <w:szCs w:val="26"/>
        </w:rPr>
        <w:t xml:space="preserve">Analyse d'écart — État d'avancement MySifa</w:t>
      </w:r>
    </w:p>
    <w:p>
      <w:pPr>
        <w:spacing w:after="60" w:before="0"/>
      </w:pPr>
      <w:r>
        <w:rPr>
          <w:rFonts w:ascii="Arial" w:cs="Arial" w:eastAsia="Arial" w:hAnsi="Arial"/>
          <w:color w:val="94a3b8"/>
          <w:sz w:val="20"/>
          <w:szCs w:val="20"/>
        </w:rPr>
        <w:t xml:space="preserve">Mai 2026 · Référentiel : FSC-STD-40-004 V3-1</w:t>
      </w:r>
    </w:p>
    <w:p>
      <w:pPr>
        <w:pBdr>
          <w:bottom w:val="single" w:color="1e3a5f" w:sz="6" w:space="1"/>
        </w:pBdr>
        <w:spacing w:after="400" w:before="0"/>
      </w:pPr>
    </w:p>
    <w:p>
      <w:pPr>
        <w:pStyle w:val="Heading1"/>
        <w:spacing w:after="120" w:before="360"/>
      </w:pPr>
      <w:r>
        <w:rPr>
          <w:rFonts w:ascii="Arial" w:cs="Arial" w:eastAsia="Arial" w:hAnsi="Arial"/>
          <w:b/>
          <w:bCs/>
          <w:color w:val="1e3a5f"/>
          <w:sz w:val="32"/>
          <w:szCs w:val="32"/>
        </w:rPr>
        <w:t xml:space="preserve">1. Résumé exécutif</w:t>
      </w:r>
    </w:p>
    <w:p>
      <w:pPr>
        <w:spacing w:after="60" w:before="60"/>
        <w:ind/>
      </w:pPr>
      <w:r>
        <w:rPr>
          <w:rFonts w:ascii="Arial" w:cs="Arial" w:eastAsia="Arial" w:hAnsi="Arial"/>
          <w:b w:val="false"/>
          <w:bCs w:val="false"/>
          <w:color w:val="1e293b"/>
          <w:sz w:val="22"/>
          <w:szCs w:val="22"/>
        </w:rPr>
        <w:t xml:space="preserve">La Phase 1 de la roadmap FSC est entièrement implémentée dans MySifa. Les cinq développements prioritaires identifiés dans l'audit (type de claim FSC sur les réceptions, flag FSC sur les dossiers, alerte en production, liaison bobine-dossier, rapport de traçabilité) sont fonctionnels en production.</w:t>
      </w:r>
    </w:p>
    <w:p>
      <w:pPr>
        <w:spacing w:after="60" w:before="60"/>
        <w:ind/>
      </w:pPr>
      <w:r>
        <w:rPr>
          <w:rFonts w:ascii="Arial" w:cs="Arial" w:eastAsia="Arial" w:hAnsi="Arial"/>
          <w:b w:val="false"/>
          <w:bCs w:val="false"/>
          <w:color w:val="1e293b"/>
          <w:sz w:val="22"/>
          <w:szCs w:val="22"/>
        </w:rPr>
        <w:t xml:space="preserve"/>
      </w:r>
    </w:p>
    <w:p>
      <w:pPr>
        <w:spacing w:after="60" w:before="60"/>
        <w:ind/>
      </w:pPr>
      <w:r>
        <w:rPr>
          <w:rFonts w:ascii="Arial" w:cs="Arial" w:eastAsia="Arial" w:hAnsi="Arial"/>
          <w:b w:val="false"/>
          <w:bCs w:val="false"/>
          <w:color w:val="1e293b"/>
          <w:sz w:val="22"/>
          <w:szCs w:val="22"/>
        </w:rPr>
        <w:t xml:space="preserve">La Phase 2 (spécifications matière, réconciliation des volumes, export registre 5 ans) et la Phase 3 (tableau de bord FSC, audit interne, suivi validité certificats) restent à développer.</w:t>
      </w:r>
    </w:p>
    <w:p>
      <w:pPr>
        <w:spacing w:after="60" w:before="60"/>
        <w:ind/>
      </w:pPr>
      <w:r>
        <w:rPr>
          <w:rFonts w:ascii="Arial" w:cs="Arial" w:eastAsia="Arial" w:hAnsi="Arial"/>
          <w:b w:val="false"/>
          <w:bCs w:val="false"/>
          <w:color w:val="1e293b"/>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Statut</w:t>
            </w:r>
          </w:p>
        </w:tc>
        <w:tc>
          <w:tcPr>
            <w:tcW w:type="dxa" w:w="594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Périmètre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Phase 1 — Fondations</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Terminé</w:t>
            </w:r>
          </w:p>
        </w:tc>
        <w:tc>
          <w:tcPr>
            <w:tcW w:type="dxa" w:w="59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fsc_type_claim réceptions · fsc_requis dossiers · alerte scan · rapport traçabilité</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Phase 2 — Vérification</w:t>
            </w:r>
          </w:p>
        </w:tc>
        <w:tc>
          <w:tcPr>
            <w:tcW w:type="dxa" w:w="14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 À faire</w:t>
            </w:r>
          </w:p>
        </w:tc>
        <w:tc>
          <w:tcPr>
            <w:tcW w:type="dxa" w:w="59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Spécifications matière · réconciliation volumes · export registre · coordination ERP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Phase 3 — Gouvernance</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Non démarré</w:t>
            </w:r>
          </w:p>
        </w:tc>
        <w:tc>
          <w:tcPr>
            <w:tcW w:type="dxa" w:w="59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Tableau de bord FSC · audit interne · suivi validité certificats fournisseurs</w:t>
            </w:r>
          </w:p>
        </w:tc>
      </w:tr>
    </w:tbl>
    <w:p>
      <w:pPr>
        <w:spacing w:after="60" w:before="60"/>
        <w:ind/>
      </w:pPr>
      <w:r>
        <w:rPr>
          <w:rFonts w:ascii="Arial" w:cs="Arial" w:eastAsia="Arial" w:hAnsi="Arial"/>
          <w:b w:val="false"/>
          <w:bCs w:val="false"/>
          <w:color w:val="1e293b"/>
          <w:sz w:val="22"/>
          <w:szCs w:val="22"/>
        </w:rPr>
        <w:t xml:space="preserve"/>
      </w:r>
    </w:p>
    <w:p>
      <w:pPr>
        <w:pStyle w:val="Heading1"/>
        <w:spacing w:after="120" w:before="360"/>
      </w:pPr>
      <w:r>
        <w:rPr>
          <w:rFonts w:ascii="Arial" w:cs="Arial" w:eastAsia="Arial" w:hAnsi="Arial"/>
          <w:b/>
          <w:bCs/>
          <w:color w:val="1e3a5f"/>
          <w:sz w:val="32"/>
          <w:szCs w:val="32"/>
        </w:rPr>
        <w:t xml:space="preserve">2. Grille de conformité FSC-STD-40-004 — État actuel</w:t>
      </w:r>
    </w:p>
    <w:p>
      <w:pPr>
        <w:spacing w:after="60" w:before="60"/>
        <w:ind/>
      </w:pPr>
      <w:r>
        <w:rPr>
          <w:rFonts w:ascii="Arial" w:cs="Arial" w:eastAsia="Arial" w:hAnsi="Arial"/>
          <w:b w:val="false"/>
          <w:bCs w:val="false"/>
          <w:color w:val="1e293b"/>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746"/>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Exigence FSC-STD-40-004</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Statut</w:t>
            </w:r>
          </w:p>
        </w:tc>
        <w:tc>
          <w:tcPr>
            <w:tcW w:type="dxa" w:w="474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Observations</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Référentiel fournisseurs certifiés FSC (licence + certificat CoC)</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Table fournisseurs_fsc avec 24 fournisseurs pré-seedés. Licence FSC-C... et certificat CU-COC... renseignés.</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Enregistrement des achats — numéro de certificat fournisseur</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stock_receptions.certificat_fsc enregistré à la réception.</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Type de claim FSC sur les intrants (100% / Mix / Recycled)</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Champ fsc_type_claim ajouté sur stock_receptions (migration v32). Select dans l'UI stock avec 5 valeurs. Badge coloré dans la liste.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Identification physique des bobines (code-barres)</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Scan code-barres obligatoire à la réception (stock_reception_items) et en production (fab_matieres_utilisees).</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Liaison bobine → dossier de fabrication</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fab_matieres_utilisees.no_dossier + reception_id. Liaison automatique par code-barres ou manuelle par fournisseur.</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Flag FSC requis sur les ordres de fabrication</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Champs fsc_requis et fsc_type_requis ajoutés sur planning_entries (migration v31). Checkbox + select dans le panel d'édition. Badge FSC sur la timeline.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Alerte / blocage bobine non-FSC sur OF FSC</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Vérification FSC dans POST /api/fabrication/matieres. Modal de confirmation avec raison obligatoire. Indicateur ⚠ sur les lignes en écart. Champs fsc_warning + fsc_warning_note en DB (migration v33).</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Rapport de traçabilité exportable par dossier</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 Conforme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Endpoint GET /api/fabrication/tracabilite/{no_dossier} implémenté. UI dans MyProd : bouton Rapport FSC sur les dossiers fsc_requis=1, modal avec tableau et badge statut global. Export PDF via @media print.</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Numéro de lot fournisseur sur chaque bobine</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champ no_lot_fournisseur distinct sur stock_reception_items. Manquant en DB, backend et UI. Prévu en Phase 2.</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Spécifications matière (laize, grammage, type, métrage)</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Aucun champ laize_mm, grammage, metrage_initial, type_matiere sur stock_reception_items. Prévu en Phase 2 (Prompt 5).</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Réconciliation volumes entrants FSC / sortants FSC</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champ métrage sur les bobines, pas d'outil de réconciliation. Bloqué par l'absence des specs matière.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Export registre FSC (conservation 5 ans)</w:t>
            </w:r>
          </w:p>
        </w:tc>
        <w:tc>
          <w:tcPr>
            <w:tcW w:type="dxa" w:w="14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 Partiel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Données présentes en base SQLite. Pas de fonctionnalité d'export/archive formelle (CSV horodaté, PDF signé). Prévu en Phase 2.</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Mention FSC sur documents de vente (BL, factures)</w:t>
            </w:r>
          </w:p>
        </w:tc>
        <w:tc>
          <w:tcPr>
            <w:tcW w:type="dxa" w:w="14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 Partiel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fsc_requis est connu dans MySifa mais la génération des documents commerciaux est dans l'ERP externe. Coordination ERP ↔ MySifa non formalisée.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Tableau de bord FSC (taux couverture, alertes)</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vue synthétique FSC. Prévu en Phase 3.</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Suivi validité certificats fournisseurs (date expiration)</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champ date_expiration sur fournisseurs_fsc. Pas d'alerte à 30 jours. Prévu en Phase 3.</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Audit interne annuel documenté</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module audit dans MySifa. Peut être conduit manuellement en Phase 3.</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Formation du personnel documentée</w:t>
            </w:r>
          </w:p>
        </w:tc>
        <w:tc>
          <w:tcPr>
            <w:tcW w:type="dxa" w:w="1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 Absent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19"/>
                <w:szCs w:val="19"/>
              </w:rPr>
              <w:t xml:space="preserve">Pas de suivi formation dans MySifa. À traiter hors outil (registre papier ou RH).</w:t>
            </w:r>
          </w:p>
        </w:tc>
      </w:tr>
    </w:tbl>
    <w:p>
      <w:pPr>
        <w:spacing w:after="60" w:before="60"/>
        <w:ind/>
      </w:pPr>
      <w:r>
        <w:rPr>
          <w:rFonts w:ascii="Arial" w:cs="Arial" w:eastAsia="Arial" w:hAnsi="Arial"/>
          <w:b w:val="false"/>
          <w:bCs w:val="false"/>
          <w:color w:val="1e293b"/>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50"/>
        <w:gridCol w:w="3250"/>
        <w:gridCol w:w="3246"/>
      </w:tblGrid>
      <w:tr>
        <w:tc>
          <w:tcPr>
            <w:tcW w:type="dxa" w:w="325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tcPr>
          <w:p>
            <w:pPr>
              <w:jc w:val="center"/>
            </w:pPr>
            <w:r>
              <w:rPr>
                <w:rFonts w:ascii="Arial" w:cs="Arial" w:eastAsia="Arial" w:hAnsi="Arial"/>
                <w:b/>
                <w:bCs/>
                <w:color w:val="166534"/>
                <w:sz w:val="24"/>
                <w:szCs w:val="24"/>
              </w:rPr>
              <w:t xml:space="preserve">8 Conformes</w:t>
            </w:r>
          </w:p>
        </w:tc>
        <w:tc>
          <w:tcPr>
            <w:tcW w:type="dxa" w:w="3250"/>
            <w:tcBorders>
              <w:top w:val="single" w:color="CCCCCC" w:sz="1"/>
              <w:left w:val="single" w:color="CCCCCC" w:sz="1"/>
              <w:bottom w:val="single" w:color="CCCCCC" w:sz="1"/>
              <w:right w:val="single" w:color="CCCCCC" w:sz="1"/>
            </w:tcBorders>
            <w:shd w:fill="fef9c3" w:val="clear"/>
            <w:tcMar>
              <w:top w:type="dxa" w:w="120"/>
              <w:left w:type="dxa" w:w="140"/>
              <w:bottom w:type="dxa" w:w="120"/>
              <w:right w:type="dxa" w:w="140"/>
            </w:tcMar>
          </w:tcPr>
          <w:p>
            <w:pPr>
              <w:jc w:val="center"/>
            </w:pPr>
            <w:r>
              <w:rPr>
                <w:rFonts w:ascii="Arial" w:cs="Arial" w:eastAsia="Arial" w:hAnsi="Arial"/>
                <w:b/>
                <w:bCs/>
                <w:color w:val="854d0e"/>
                <w:sz w:val="24"/>
                <w:szCs w:val="24"/>
              </w:rPr>
              <w:t xml:space="preserve">2 Partiels</w:t>
            </w:r>
          </w:p>
        </w:tc>
        <w:tc>
          <w:tcPr>
            <w:tcW w:type="dxa" w:w="3246"/>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tcPr>
          <w:p>
            <w:pPr>
              <w:jc w:val="center"/>
            </w:pPr>
            <w:r>
              <w:rPr>
                <w:rFonts w:ascii="Arial" w:cs="Arial" w:eastAsia="Arial" w:hAnsi="Arial"/>
                <w:b/>
                <w:bCs/>
                <w:color w:val="991b1b"/>
                <w:sz w:val="24"/>
                <w:szCs w:val="24"/>
              </w:rPr>
              <w:t xml:space="preserve">7 Absents</w:t>
            </w:r>
          </w:p>
        </w:tc>
      </w:tr>
    </w:tbl>
    <w:p>
      <w:pPr>
        <w:spacing w:after="60" w:before="60"/>
        <w:ind/>
      </w:pPr>
      <w:r>
        <w:rPr>
          <w:rFonts w:ascii="Arial" w:cs="Arial" w:eastAsia="Arial" w:hAnsi="Arial"/>
          <w:b w:val="false"/>
          <w:bCs w:val="false"/>
          <w:color w:val="1e293b"/>
          <w:sz w:val="22"/>
          <w:szCs w:val="22"/>
        </w:rPr>
        <w:t xml:space="preserve"/>
      </w:r>
    </w:p>
    <w:p>
      <w:pPr>
        <w:pStyle w:val="Heading1"/>
        <w:spacing w:after="120" w:before="360"/>
      </w:pPr>
      <w:r>
        <w:rPr>
          <w:rFonts w:ascii="Arial" w:cs="Arial" w:eastAsia="Arial" w:hAnsi="Arial"/>
          <w:b/>
          <w:bCs/>
          <w:color w:val="1e3a5f"/>
          <w:sz w:val="32"/>
          <w:szCs w:val="32"/>
        </w:rPr>
        <w:t xml:space="preserve">3. Phase 1 — Ce qui est implémenté</w:t>
      </w:r>
    </w:p>
    <w:p>
      <w:pPr>
        <w:pStyle w:val="Heading2"/>
        <w:spacing w:after="80" w:before="240"/>
      </w:pPr>
      <w:r>
        <w:rPr>
          <w:rFonts w:ascii="Arial" w:cs="Arial" w:eastAsia="Arial" w:hAnsi="Arial"/>
          <w:b/>
          <w:bCs/>
          <w:color w:val="0f5f8a"/>
          <w:sz w:val="26"/>
          <w:szCs w:val="26"/>
        </w:rPr>
        <w:t xml:space="preserve">3.1 Type de claim FSC sur les réceptions (Gap 1)</w:t>
      </w:r>
    </w:p>
    <w:p>
      <w:pPr>
        <w:spacing w:after="60" w:before="60"/>
        <w:ind/>
      </w:pPr>
      <w:r>
        <w:rPr>
          <w:rFonts w:ascii="Arial" w:cs="Arial" w:eastAsia="Arial" w:hAnsi="Arial"/>
          <w:b w:val="false"/>
          <w:bCs w:val="false"/>
          <w:color w:val="1e293b"/>
          <w:sz w:val="22"/>
          <w:szCs w:val="22"/>
        </w:rPr>
        <w:t xml:space="preserve">Entièrement développé. Migration v32 : colonne fsc_type_claim TEXT DEFAULT 'non_fsc' sur stock_receptions. Cinq valeurs : fsc_100, fsc_mix_credit, fsc_mix, fsc_recycled, non_fsc.</w:t>
      </w:r>
    </w:p>
    <w:p>
      <w:pPr>
        <w:spacing w:after="60" w:before="60"/>
        <w:ind/>
      </w:pPr>
      <w:r>
        <w:rPr>
          <w:rFonts w:ascii="Arial" w:cs="Arial" w:eastAsia="Arial" w:hAnsi="Arial"/>
          <w:b w:val="false"/>
          <w:bCs w:val="false"/>
          <w:color w:val="1e293b"/>
          <w:sz w:val="22"/>
          <w:szCs w:val="22"/>
        </w:rPr>
        <w:t xml:space="preserve">Backend stock.py : validation du claim dans POST et PATCH /api/stock/receptions. Si le claim est FSC (non non_fsc), le certificat devient obligatoire. Audit log sur modification.</w:t>
      </w:r>
    </w:p>
    <w:p>
      <w:pPr>
        <w:spacing w:after="60" w:before="60"/>
        <w:ind/>
      </w:pPr>
      <w:r>
        <w:rPr>
          <w:rFonts w:ascii="Arial" w:cs="Arial" w:eastAsia="Arial" w:hAnsi="Arial"/>
          <w:b w:val="false"/>
          <w:bCs w:val="false"/>
          <w:color w:val="1e293b"/>
          <w:sz w:val="22"/>
          <w:szCs w:val="22"/>
        </w:rPr>
        <w:t xml:space="preserve">UI stock_page.py : select obligatoire dans le formulaire de réception, badge coloré dans la liste (vert = FSC 100%, bleu = FSC Mix/Recycled, gris = Non FSC). Édition a posteriori possible.</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3.2 Flag FSC requis sur les dossiers planning (Gap 2)</w:t>
      </w:r>
    </w:p>
    <w:p>
      <w:pPr>
        <w:spacing w:after="60" w:before="60"/>
        <w:ind/>
      </w:pPr>
      <w:r>
        <w:rPr>
          <w:rFonts w:ascii="Arial" w:cs="Arial" w:eastAsia="Arial" w:hAnsi="Arial"/>
          <w:b w:val="false"/>
          <w:bCs w:val="false"/>
          <w:color w:val="1e293b"/>
          <w:sz w:val="22"/>
          <w:szCs w:val="22"/>
        </w:rPr>
        <w:t xml:space="preserve">Entièrement développé. Migration v31 : colonnes fsc_requis INTEGER DEFAULT 0 et fsc_type_requis TEXT DEFAULT '' sur planning_entries.</w:t>
      </w:r>
    </w:p>
    <w:p>
      <w:pPr>
        <w:spacing w:after="60" w:before="60"/>
        <w:ind/>
      </w:pPr>
      <w:r>
        <w:rPr>
          <w:rFonts w:ascii="Arial" w:cs="Arial" w:eastAsia="Arial" w:hAnsi="Arial"/>
          <w:b w:val="false"/>
          <w:bCs w:val="false"/>
          <w:color w:val="1e293b"/>
          <w:sz w:val="22"/>
          <w:szCs w:val="22"/>
        </w:rPr>
        <w:t xml:space="preserve">Backend planning.py : fonctions _parse_fsc_requis et _parse_fsc_type_requis. Champs exposés dans GET et PATCH. Log d'audit si la valeur change.</w:t>
      </w:r>
    </w:p>
    <w:p>
      <w:pPr>
        <w:spacing w:after="60" w:before="60"/>
        <w:ind/>
      </w:pPr>
      <w:r>
        <w:rPr>
          <w:rFonts w:ascii="Arial" w:cs="Arial" w:eastAsia="Arial" w:hAnsi="Arial"/>
          <w:b w:val="false"/>
          <w:bCs w:val="false"/>
          <w:color w:val="1e293b"/>
          <w:sz w:val="22"/>
          <w:szCs w:val="22"/>
        </w:rPr>
        <w:t xml:space="preserve">UI planning_page.py : checkbox 'Certification FSC requise' dans le panel d'édition, select du type (FSC 100% / FSC Mix / FSC Recycled) conditionné à la case cochée. Badge FSC discret sur chaque dossier concerné dans la timeline.</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3.3 Alerte en production — bobine non-FSC sur OF FSC (Gap 3)</w:t>
      </w:r>
    </w:p>
    <w:p>
      <w:pPr>
        <w:spacing w:after="60" w:before="60"/>
        <w:ind/>
      </w:pPr>
      <w:r>
        <w:rPr>
          <w:rFonts w:ascii="Arial" w:cs="Arial" w:eastAsia="Arial" w:hAnsi="Arial"/>
          <w:b w:val="false"/>
          <w:bCs w:val="false"/>
          <w:color w:val="1e293b"/>
          <w:sz w:val="22"/>
          <w:szCs w:val="22"/>
        </w:rPr>
        <w:t xml:space="preserve">Entièrement développé. Migration v33 : colonnes fsc_warning INTEGER DEFAULT 0 et fsc_warning_note TEXT sur fab_matieres_utilisees.</w:t>
      </w:r>
    </w:p>
    <w:p>
      <w:pPr>
        <w:spacing w:after="60" w:before="60"/>
        <w:ind/>
      </w:pPr>
      <w:r>
        <w:rPr>
          <w:rFonts w:ascii="Arial" w:cs="Arial" w:eastAsia="Arial" w:hAnsi="Arial"/>
          <w:b w:val="false"/>
          <w:bCs w:val="false"/>
          <w:color w:val="1e293b"/>
          <w:sz w:val="22"/>
          <w:szCs w:val="22"/>
        </w:rPr>
        <w:t xml:space="preserve">Backend fabrication.py : logique FSC_CLAIM_HIERARCHY vérifiée après chaque scan. Si incompatibilité détectée : réponse avec warning: true et message explicite. Si le scan est re-soumis avec fsc_warning_confirmed: true et une note : enregistrement en base avec fsc_warning=1.</w:t>
      </w:r>
    </w:p>
    <w:p>
      <w:pPr>
        <w:spacing w:after="60" w:before="60"/>
        <w:ind/>
      </w:pPr>
      <w:r>
        <w:rPr>
          <w:rFonts w:ascii="Arial" w:cs="Arial" w:eastAsia="Arial" w:hAnsi="Arial"/>
          <w:b w:val="false"/>
          <w:bCs w:val="false"/>
          <w:color w:val="1e293b"/>
          <w:sz w:val="22"/>
          <w:szCs w:val="22"/>
        </w:rPr>
        <w:t xml:space="preserve">UI fabrication_page.py : modal d'alerte avec raison obligatoire. Indicateur ⚠ dans la liste des matières sur les lignes avec fsc_warning=1.</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3.4 Rapport de traçabilité par dossier (Gap 6)</w:t>
      </w:r>
    </w:p>
    <w:p>
      <w:pPr>
        <w:spacing w:after="60" w:before="60"/>
        <w:ind/>
      </w:pPr>
      <w:r>
        <w:rPr>
          <w:rFonts w:ascii="Arial" w:cs="Arial" w:eastAsia="Arial" w:hAnsi="Arial"/>
          <w:b w:val="false"/>
          <w:bCs w:val="false"/>
          <w:color w:val="1e293b"/>
          <w:sz w:val="22"/>
          <w:szCs w:val="22"/>
        </w:rPr>
        <w:t xml:space="preserve">Entièrement développé. Endpoint GET /api/fabrication/tracabilite/{no_dossier} reconstituant la chaîne complète : dossier → bobines → réceptions → fournisseurs → certificats FSC. Calcul de conformité bobine par bobine (fsc_conforme: true/false/null). Synthèse avec statut_global (conforme / non_conforme / non_applicable).</w:t>
      </w:r>
    </w:p>
    <w:p>
      <w:pPr>
        <w:spacing w:after="60" w:before="60"/>
        <w:ind/>
      </w:pPr>
      <w:r>
        <w:rPr>
          <w:rFonts w:ascii="Arial" w:cs="Arial" w:eastAsia="Arial" w:hAnsi="Arial"/>
          <w:b w:val="false"/>
          <w:bCs w:val="false"/>
          <w:color w:val="1e293b"/>
          <w:sz w:val="22"/>
          <w:szCs w:val="22"/>
        </w:rPr>
        <w:t xml:space="preserve">UI : bouton 'Rapport FSC' visible sur les dossiers fsc_requis=1 dans MyProd. Modal avec tableau des bobines, badge statut global, export PDF via window.print() avec CSS @media print (sidebar masquée).</w:t>
      </w:r>
    </w:p>
    <w:p>
      <w:pPr>
        <w:spacing w:after="60" w:before="60"/>
        <w:ind/>
      </w:pPr>
      <w:r>
        <w:rPr>
          <w:rFonts w:ascii="Arial" w:cs="Arial" w:eastAsia="Arial" w:hAnsi="Arial"/>
          <w:b w:val="false"/>
          <w:bCs w:val="false"/>
          <w:color w:val="1e293b"/>
          <w:sz w:val="22"/>
          <w:szCs w:val="22"/>
        </w:rPr>
        <w:t xml:space="preserve"/>
      </w:r>
    </w:p>
    <w:p>
      <w:pPr>
        <w:pStyle w:val="Heading1"/>
        <w:spacing w:after="120" w:before="360"/>
      </w:pPr>
      <w:r>
        <w:rPr>
          <w:rFonts w:ascii="Arial" w:cs="Arial" w:eastAsia="Arial" w:hAnsi="Arial"/>
          <w:b/>
          <w:bCs/>
          <w:color w:val="1e3a5f"/>
          <w:sz w:val="32"/>
          <w:szCs w:val="32"/>
        </w:rPr>
        <w:t xml:space="preserve">4. Phase 2 — Ce qui reste à développer</w:t>
      </w:r>
    </w:p>
    <w:p>
      <w:pPr>
        <w:spacing w:after="60" w:before="60"/>
        <w:ind/>
      </w:pPr>
      <w:r>
        <w:rPr>
          <w:rFonts w:ascii="Arial" w:cs="Arial" w:eastAsia="Arial" w:hAnsi="Arial"/>
          <w:b w:val="false"/>
          <w:bCs w:val="false"/>
          <w:color w:val="475569"/>
          <w:sz w:val="22"/>
          <w:szCs w:val="22"/>
        </w:rPr>
        <w:t xml:space="preserve">La Phase 2 est le prochain palier pour atteindre une certification FSC complète. Ces développements sont indépendants entre eux et peuvent être traités dans l'ordre indiqué.</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4.1 Spécifications matière sur les bobines (Gap 4 + Gap 5) — Priorité haute</w:t>
      </w:r>
    </w:p>
    <w:p>
      <w:pPr>
        <w:spacing w:after="60" w:before="60"/>
        <w:ind/>
      </w:pPr>
      <w:r>
        <w:rPr>
          <w:rFonts w:ascii="Arial" w:cs="Arial" w:eastAsia="Arial" w:hAnsi="Arial"/>
          <w:b w:val="false"/>
          <w:bCs w:val="false"/>
          <w:color w:val="1e293b"/>
          <w:sz w:val="22"/>
          <w:szCs w:val="22"/>
        </w:rPr>
        <w:t xml:space="preserve">Ce qui manque : aucun champ no_lot_fournisseur, laize_mm, grammage, metrage_initial, type_matiere sur stock_reception_items. Ces données sont nécessaires pour définir les groupes de produits FSC (exigence norme) et calculer les volumes de réconciliation.</w:t>
      </w:r>
    </w:p>
    <w:p>
      <w:pPr>
        <w:spacing w:after="60" w:before="60"/>
        <w:ind/>
      </w:pPr>
      <w:r>
        <w:rPr>
          <w:rFonts w:ascii="Arial" w:cs="Arial" w:eastAsia="Arial" w:hAnsi="Arial"/>
          <w:b w:val="false"/>
          <w:bCs w:val="false"/>
          <w:color w:val="1e293b"/>
          <w:sz w:val="22"/>
          <w:szCs w:val="22"/>
        </w:rPr>
        <w:t xml:space="preserve"/>
      </w:r>
    </w:p>
    <w:p>
      <w:pPr>
        <w:spacing w:after="60" w:before="60"/>
        <w:ind/>
      </w:pPr>
      <w:r>
        <w:rPr>
          <w:rFonts w:ascii="Arial" w:cs="Arial" w:eastAsia="Arial" w:hAnsi="Arial"/>
          <w:b/>
          <w:bCs/>
          <w:color w:val="1e293b"/>
          <w:sz w:val="22"/>
          <w:szCs w:val="22"/>
        </w:rPr>
        <w:t xml:space="preserve">À implémenter (Prompt 5 du document FSC_Cursor_Prompts.md) :</w:t>
      </w:r>
    </w:p>
    <w:p>
      <w:pPr>
        <w:pStyle w:val="ListParagraph"/>
        <w:numPr>
          <w:ilvl w:val="0"/>
          <w:numId w:val="2"/>
        </w:numPr>
        <w:spacing w:after="40" w:before="40"/>
      </w:pPr>
      <w:r>
        <w:rPr>
          <w:rFonts w:ascii="Arial" w:cs="Arial" w:eastAsia="Arial" w:hAnsi="Arial"/>
          <w:sz w:val="20"/>
          <w:szCs w:val="20"/>
        </w:rPr>
        <w:t xml:space="preserve">Migration DB : 5 colonnes sur stock_reception_items (no_lot_fournisseur TEXT, laize_mm REAL, grammage REAL, metrage_initial REAL, type_matiere TEXT)</w:t>
      </w:r>
    </w:p>
    <w:p>
      <w:pPr>
        <w:pStyle w:val="ListParagraph"/>
        <w:numPr>
          <w:ilvl w:val="0"/>
          <w:numId w:val="2"/>
        </w:numPr>
        <w:spacing w:after="40" w:before="40"/>
      </w:pPr>
      <w:r>
        <w:rPr>
          <w:rFonts w:ascii="Arial" w:cs="Arial" w:eastAsia="Arial" w:hAnsi="Arial"/>
          <w:sz w:val="20"/>
          <w:szCs w:val="20"/>
        </w:rPr>
        <w:t xml:space="preserve">Backend stock.py : accepter specs_matiere dans POST /api/stock/receptions, appliquer à tous les items du lot</w:t>
      </w:r>
    </w:p>
    <w:p>
      <w:pPr>
        <w:pStyle w:val="ListParagraph"/>
        <w:numPr>
          <w:ilvl w:val="0"/>
          <w:numId w:val="2"/>
        </w:numPr>
        <w:spacing w:after="40" w:before="40"/>
      </w:pPr>
      <w:r>
        <w:rPr>
          <w:rFonts w:ascii="Arial" w:cs="Arial" w:eastAsia="Arial" w:hAnsi="Arial"/>
          <w:sz w:val="20"/>
          <w:szCs w:val="20"/>
        </w:rPr>
        <w:t xml:space="preserve">UI stock_page.py : section 'Spécifications matière' repliable dans le formulaire de réception. Affichage dans le détail de la réception.</w:t>
      </w:r>
    </w:p>
    <w:p>
      <w:pPr>
        <w:pStyle w:val="ListParagraph"/>
        <w:numPr>
          <w:ilvl w:val="0"/>
          <w:numId w:val="2"/>
        </w:numPr>
        <w:spacing w:after="40" w:before="40"/>
      </w:pPr>
      <w:r>
        <w:rPr>
          <w:rFonts w:ascii="Arial" w:cs="Arial" w:eastAsia="Arial" w:hAnsi="Arial"/>
          <w:sz w:val="20"/>
          <w:szCs w:val="20"/>
        </w:rPr>
        <w:t xml:space="preserve">Rapport traçabilité (endpoint existant) : inclure laize_mm, grammage, metrage_initial, type_matiere dans la réponse par bobine</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4.2 Module de réconciliation des volumes FSC (Gap 7) — Priorité haute</w:t>
      </w:r>
    </w:p>
    <w:p>
      <w:pPr>
        <w:spacing w:after="60" w:before="60"/>
        <w:ind/>
      </w:pPr>
      <w:r>
        <w:rPr>
          <w:rFonts w:ascii="Arial" w:cs="Arial" w:eastAsia="Arial" w:hAnsi="Arial"/>
          <w:b w:val="false"/>
          <w:bCs w:val="false"/>
          <w:color w:val="1e293b"/>
          <w:sz w:val="22"/>
          <w:szCs w:val="22"/>
        </w:rPr>
        <w:t xml:space="preserve">Ce qui manque : aucun outil permettant de vérifier que la quantité de matière FSC achetée couvre la quantité de produits FSC vendus. C'est une exigence directe de FSC-STD-40-004 (système de transfert).</w:t>
      </w:r>
    </w:p>
    <w:p>
      <w:pPr>
        <w:spacing w:after="60" w:before="60"/>
        <w:ind/>
      </w:pPr>
      <w:r>
        <w:rPr>
          <w:rFonts w:ascii="Arial" w:cs="Arial" w:eastAsia="Arial" w:hAnsi="Arial"/>
          <w:b w:val="false"/>
          <w:bCs w:val="false"/>
          <w:color w:val="1e293b"/>
          <w:sz w:val="22"/>
          <w:szCs w:val="22"/>
        </w:rPr>
        <w:t xml:space="preserve">Ce développement dépend de 4.1 (métrage des bobines requis pour calculer les volumes).</w:t>
      </w:r>
    </w:p>
    <w:p>
      <w:pPr>
        <w:spacing w:after="60" w:before="60"/>
        <w:ind/>
      </w:pPr>
      <w:r>
        <w:rPr>
          <w:rFonts w:ascii="Arial" w:cs="Arial" w:eastAsia="Arial" w:hAnsi="Arial"/>
          <w:b w:val="false"/>
          <w:bCs w:val="false"/>
          <w:color w:val="1e293b"/>
          <w:sz w:val="22"/>
          <w:szCs w:val="22"/>
        </w:rPr>
        <w:t xml:space="preserve"/>
      </w:r>
    </w:p>
    <w:p>
      <w:pPr>
        <w:spacing w:after="60" w:before="60"/>
        <w:ind/>
      </w:pPr>
      <w:r>
        <w:rPr>
          <w:rFonts w:ascii="Arial" w:cs="Arial" w:eastAsia="Arial" w:hAnsi="Arial"/>
          <w:b/>
          <w:bCs/>
          <w:color w:val="1e293b"/>
          <w:sz w:val="22"/>
          <w:szCs w:val="22"/>
        </w:rPr>
        <w:t xml:space="preserve">À implémenter :</w:t>
      </w:r>
    </w:p>
    <w:p>
      <w:pPr>
        <w:pStyle w:val="ListParagraph"/>
        <w:numPr>
          <w:ilvl w:val="0"/>
          <w:numId w:val="2"/>
        </w:numPr>
        <w:spacing w:after="40" w:before="40"/>
      </w:pPr>
      <w:r>
        <w:rPr>
          <w:rFonts w:ascii="Arial" w:cs="Arial" w:eastAsia="Arial" w:hAnsi="Arial"/>
          <w:sz w:val="20"/>
          <w:szCs w:val="20"/>
        </w:rPr>
        <w:t xml:space="preserve">Endpoint GET /api/fsc/reconciliation?du=YYYY-MM-DD&amp;au=YYYY-MM-DD : agrège les métrages de bobines FSC réceptionnées vs métrages consommés sur dossiers FSC sur la période</w:t>
      </w:r>
    </w:p>
    <w:p>
      <w:pPr>
        <w:pStyle w:val="ListParagraph"/>
        <w:numPr>
          <w:ilvl w:val="0"/>
          <w:numId w:val="2"/>
        </w:numPr>
        <w:spacing w:after="40" w:before="40"/>
      </w:pPr>
      <w:r>
        <w:rPr>
          <w:rFonts w:ascii="Arial" w:cs="Arial" w:eastAsia="Arial" w:hAnsi="Arial"/>
          <w:sz w:val="20"/>
          <w:szCs w:val="20"/>
        </w:rPr>
        <w:t xml:space="preserve">Page ou tableau de bord avec : volume FSC entrant (m), volume FSC consommé (m), écart, liste des dossiers FSC de la période avec leur statut de conformité</w:t>
      </w:r>
    </w:p>
    <w:p>
      <w:pPr>
        <w:pStyle w:val="ListParagraph"/>
        <w:numPr>
          <w:ilvl w:val="0"/>
          <w:numId w:val="2"/>
        </w:numPr>
        <w:spacing w:after="40" w:before="40"/>
      </w:pPr>
      <w:r>
        <w:rPr>
          <w:rFonts w:ascii="Arial" w:cs="Arial" w:eastAsia="Arial" w:hAnsi="Arial"/>
          <w:sz w:val="20"/>
          <w:szCs w:val="20"/>
        </w:rPr>
        <w:t xml:space="preserve">Export CSV pour l'auditeur</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4.3 Export registre FSC — conservation 5 ans (Gap 8) — Priorité moyenne</w:t>
      </w:r>
    </w:p>
    <w:p>
      <w:pPr>
        <w:spacing w:after="60" w:before="60"/>
        <w:ind/>
      </w:pPr>
      <w:r>
        <w:rPr>
          <w:rFonts w:ascii="Arial" w:cs="Arial" w:eastAsia="Arial" w:hAnsi="Arial"/>
          <w:b w:val="false"/>
          <w:bCs w:val="false"/>
          <w:color w:val="1e293b"/>
          <w:sz w:val="22"/>
          <w:szCs w:val="22"/>
        </w:rPr>
        <w:t xml:space="preserve">Ce qui manque : pas d'export structuré du registre FSC sur une période. Les données sont en base mais non exportables pour un auditeur.</w:t>
      </w:r>
    </w:p>
    <w:p>
      <w:pPr>
        <w:spacing w:after="60" w:before="60"/>
        <w:ind/>
      </w:pPr>
      <w:r>
        <w:rPr>
          <w:rFonts w:ascii="Arial" w:cs="Arial" w:eastAsia="Arial" w:hAnsi="Arial"/>
          <w:b w:val="false"/>
          <w:bCs w:val="false"/>
          <w:color w:val="1e293b"/>
          <w:sz w:val="22"/>
          <w:szCs w:val="22"/>
        </w:rPr>
        <w:t xml:space="preserve"/>
      </w:r>
    </w:p>
    <w:p>
      <w:pPr>
        <w:spacing w:after="60" w:before="60"/>
        <w:ind/>
      </w:pPr>
      <w:r>
        <w:rPr>
          <w:rFonts w:ascii="Arial" w:cs="Arial" w:eastAsia="Arial" w:hAnsi="Arial"/>
          <w:b/>
          <w:bCs/>
          <w:color w:val="1e293b"/>
          <w:sz w:val="22"/>
          <w:szCs w:val="22"/>
        </w:rPr>
        <w:t xml:space="preserve">À implémenter :</w:t>
      </w:r>
    </w:p>
    <w:p>
      <w:pPr>
        <w:pStyle w:val="ListParagraph"/>
        <w:numPr>
          <w:ilvl w:val="0"/>
          <w:numId w:val="2"/>
        </w:numPr>
        <w:spacing w:after="40" w:before="40"/>
      </w:pPr>
      <w:r>
        <w:rPr>
          <w:rFonts w:ascii="Arial" w:cs="Arial" w:eastAsia="Arial" w:hAnsi="Arial"/>
          <w:sz w:val="20"/>
          <w:szCs w:val="20"/>
        </w:rPr>
        <w:t xml:space="preserve">Endpoint GET /api/fsc/export?du=...&amp;au=...&amp;format=csv|pdf : receptions FSC + dossiers FSC + scans production + alertes sur la période</w:t>
      </w:r>
    </w:p>
    <w:p>
      <w:pPr>
        <w:pStyle w:val="ListParagraph"/>
        <w:numPr>
          <w:ilvl w:val="0"/>
          <w:numId w:val="2"/>
        </w:numPr>
        <w:spacing w:after="40" w:before="40"/>
      </w:pPr>
      <w:r>
        <w:rPr>
          <w:rFonts w:ascii="Arial" w:cs="Arial" w:eastAsia="Arial" w:hAnsi="Arial"/>
          <w:sz w:val="20"/>
          <w:szCs w:val="20"/>
        </w:rPr>
        <w:t xml:space="preserve">Fichier CSV horodaté ou PDF paginé, téléchargeable depuis l'interface admin (paramètres ou module FSC dédié)</w:t>
      </w:r>
    </w:p>
    <w:p>
      <w:pPr>
        <w:pStyle w:val="ListParagraph"/>
        <w:numPr>
          <w:ilvl w:val="0"/>
          <w:numId w:val="2"/>
        </w:numPr>
        <w:spacing w:after="40" w:before="40"/>
      </w:pPr>
      <w:r>
        <w:rPr>
          <w:rFonts w:ascii="Arial" w:cs="Arial" w:eastAsia="Arial" w:hAnsi="Arial"/>
          <w:sz w:val="20"/>
          <w:szCs w:val="20"/>
        </w:rPr>
        <w:t xml:space="preserve">La procédure de backup VPS actuelle couvre déjà la conservation technique — l'export est la couche 'auditeur'</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4.4 Coordination ERP — claim FSC sur documents de vente — Priorité moyenne</w:t>
      </w:r>
    </w:p>
    <w:p>
      <w:pPr>
        <w:spacing w:after="60" w:before="60"/>
        <w:ind/>
      </w:pPr>
      <w:r>
        <w:rPr>
          <w:rFonts w:ascii="Arial" w:cs="Arial" w:eastAsia="Arial" w:hAnsi="Arial"/>
          <w:b w:val="false"/>
          <w:bCs w:val="false"/>
          <w:color w:val="1e293b"/>
          <w:sz w:val="22"/>
          <w:szCs w:val="22"/>
        </w:rPr>
        <w:t xml:space="preserve">Ce qui manque : la validation que le claim FSC est bien porté sur le bon de livraison et la facture générés dans l'ERP. MySifa connaît fsc_requis du dossier mais ne pilote pas l'ERP.</w:t>
      </w:r>
    </w:p>
    <w:p>
      <w:pPr>
        <w:spacing w:after="60" w:before="60"/>
        <w:ind/>
      </w:pPr>
      <w:r>
        <w:rPr>
          <w:rFonts w:ascii="Arial" w:cs="Arial" w:eastAsia="Arial" w:hAnsi="Arial"/>
          <w:b w:val="false"/>
          <w:bCs w:val="false"/>
          <w:color w:val="1e293b"/>
          <w:sz w:val="22"/>
          <w:szCs w:val="22"/>
        </w:rPr>
        <w:t xml:space="preserve"/>
      </w:r>
    </w:p>
    <w:p>
      <w:pPr>
        <w:spacing w:after="60" w:before="60"/>
        <w:ind/>
      </w:pPr>
      <w:r>
        <w:rPr>
          <w:rFonts w:ascii="Arial" w:cs="Arial" w:eastAsia="Arial" w:hAnsi="Arial"/>
          <w:b/>
          <w:bCs/>
          <w:color w:val="1e293b"/>
          <w:sz w:val="22"/>
          <w:szCs w:val="22"/>
        </w:rPr>
        <w:t xml:space="preserve">À implémenter :</w:t>
      </w:r>
    </w:p>
    <w:p>
      <w:pPr>
        <w:pStyle w:val="ListParagraph"/>
        <w:numPr>
          <w:ilvl w:val="0"/>
          <w:numId w:val="2"/>
        </w:numPr>
        <w:spacing w:after="40" w:before="40"/>
      </w:pPr>
      <w:r>
        <w:rPr>
          <w:rFonts w:ascii="Arial" w:cs="Arial" w:eastAsia="Arial" w:hAnsi="Arial"/>
          <w:sz w:val="20"/>
          <w:szCs w:val="20"/>
        </w:rPr>
        <w:t xml:space="preserve">Dans le rapport de traçabilité : ajouter un encart 'Documents commerciaux' avec un champ de confirmation manuelle que le BL et la facture portent le claim FSC (case à cocher + nom du valideur + date)</w:t>
      </w:r>
    </w:p>
    <w:p>
      <w:pPr>
        <w:pStyle w:val="ListParagraph"/>
        <w:numPr>
          <w:ilvl w:val="0"/>
          <w:numId w:val="2"/>
        </w:numPr>
        <w:spacing w:after="40" w:before="40"/>
      </w:pPr>
      <w:r>
        <w:rPr>
          <w:rFonts w:ascii="Arial" w:cs="Arial" w:eastAsia="Arial" w:hAnsi="Arial"/>
          <w:sz w:val="20"/>
          <w:szCs w:val="20"/>
        </w:rPr>
        <w:t xml:space="preserve">Alternative : webhook sortant MySifa → ERP à la clôture d'un dossier fsc_requis=1 (dépend des capacités de l'ERP)</w:t>
      </w:r>
    </w:p>
    <w:p>
      <w:pPr>
        <w:spacing w:after="60" w:before="60"/>
        <w:ind/>
      </w:pPr>
      <w:r>
        <w:rPr>
          <w:rFonts w:ascii="Arial" w:cs="Arial" w:eastAsia="Arial" w:hAnsi="Arial"/>
          <w:b w:val="false"/>
          <w:bCs w:val="false"/>
          <w:color w:val="1e293b"/>
          <w:sz w:val="22"/>
          <w:szCs w:val="22"/>
        </w:rPr>
        <w:t xml:space="preserve"/>
      </w:r>
    </w:p>
    <w:p>
      <w:pPr>
        <w:pStyle w:val="Heading1"/>
        <w:spacing w:after="120" w:before="360"/>
      </w:pPr>
      <w:r>
        <w:rPr>
          <w:rFonts w:ascii="Arial" w:cs="Arial" w:eastAsia="Arial" w:hAnsi="Arial"/>
          <w:b/>
          <w:bCs/>
          <w:color w:val="1e3a5f"/>
          <w:sz w:val="32"/>
          <w:szCs w:val="32"/>
        </w:rPr>
        <w:t xml:space="preserve">5. Phase 3 — Gouvernance post-certification</w:t>
      </w:r>
    </w:p>
    <w:p>
      <w:pPr>
        <w:spacing w:after="60" w:before="60"/>
        <w:ind/>
      </w:pPr>
      <w:r>
        <w:rPr>
          <w:rFonts w:ascii="Arial" w:cs="Arial" w:eastAsia="Arial" w:hAnsi="Arial"/>
          <w:b w:val="false"/>
          <w:bCs w:val="false"/>
          <w:color w:val="475569"/>
          <w:sz w:val="22"/>
          <w:szCs w:val="22"/>
        </w:rPr>
        <w:t xml:space="preserve">Ces développements sont requis pour le maintien de la certification dans la durée (renouvellement annuel). Ils ne bloquent pas l'obtention initiale.</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5.1 Suivi de la validité des certificats fournisseurs — Priorité haute</w:t>
      </w:r>
    </w:p>
    <w:p>
      <w:pPr>
        <w:spacing w:after="60" w:before="60"/>
        <w:ind/>
      </w:pPr>
      <w:r>
        <w:rPr>
          <w:rFonts w:ascii="Arial" w:cs="Arial" w:eastAsia="Arial" w:hAnsi="Arial"/>
          <w:b w:val="false"/>
          <w:bCs w:val="false"/>
          <w:color w:val="1e293b"/>
          <w:sz w:val="22"/>
          <w:szCs w:val="22"/>
        </w:rPr>
        <w:t xml:space="preserve">Ce qui manque : pas de champ date_expiration sur fournisseurs_fsc. La norme exige de vérifier la validité du certificat fournisseur avant chaque achat.</w:t>
      </w:r>
    </w:p>
    <w:p>
      <w:pPr>
        <w:spacing w:after="60" w:before="60"/>
        <w:ind/>
      </w:pPr>
      <w:r>
        <w:rPr>
          <w:rFonts w:ascii="Arial" w:cs="Arial" w:eastAsia="Arial" w:hAnsi="Arial"/>
          <w:b w:val="false"/>
          <w:bCs w:val="false"/>
          <w:color w:val="1e293b"/>
          <w:sz w:val="22"/>
          <w:szCs w:val="22"/>
        </w:rPr>
        <w:t xml:space="preserve">À implémenter : colonne date_expiration TEXT sur fournisseurs_fsc, badge 'Expiré' / 'Expire dans N jours' dans la liste des fournisseurs FSC, alerte automatique à 30 jours (notification dans MySifa ou email), blocage optionnel lors d'une réception avec un fournisseur dont le cert est expiré.</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5.2 Tableau de bord FSC — Priorité moyenne</w:t>
      </w:r>
    </w:p>
    <w:p>
      <w:pPr>
        <w:spacing w:after="60" w:before="60"/>
        <w:ind/>
      </w:pPr>
      <w:r>
        <w:rPr>
          <w:rFonts w:ascii="Arial" w:cs="Arial" w:eastAsia="Arial" w:hAnsi="Arial"/>
          <w:b w:val="false"/>
          <w:bCs w:val="false"/>
          <w:color w:val="1e293b"/>
          <w:sz w:val="22"/>
          <w:szCs w:val="22"/>
        </w:rPr>
        <w:t xml:space="preserve">Ce qui manque : aucune vue synthétique FSC. À implémenter : page /fsc ou section dans le portail admin avec taux de couverture FSC par mois (nb dossiers FSC conformes / total), liste des dossiers FSC avec bobines non conformes, fournisseurs sans certification valide, dernières alertes fsc_warning.</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5.3 Module audit interne annuel — Priorité basse</w:t>
      </w:r>
    </w:p>
    <w:p>
      <w:pPr>
        <w:spacing w:after="60" w:before="60"/>
        <w:ind/>
      </w:pPr>
      <w:r>
        <w:rPr>
          <w:rFonts w:ascii="Arial" w:cs="Arial" w:eastAsia="Arial" w:hAnsi="Arial"/>
          <w:b w:val="false"/>
          <w:bCs w:val="false"/>
          <w:color w:val="1e293b"/>
          <w:sz w:val="22"/>
          <w:szCs w:val="22"/>
        </w:rPr>
        <w:t xml:space="preserve">Ce qui manque : pas de module d'audit documenté. La norme FSC exige un audit interne annuel. À implémenter : checklist FSC auto-générée depuis les données MySifa, rapport signable électroniquement, historique des audits.</w:t>
      </w:r>
    </w:p>
    <w:p>
      <w:pPr>
        <w:spacing w:after="60" w:before="60"/>
        <w:ind/>
      </w:pPr>
      <w:r>
        <w:rPr>
          <w:rFonts w:ascii="Arial" w:cs="Arial" w:eastAsia="Arial" w:hAnsi="Arial"/>
          <w:b w:val="false"/>
          <w:bCs w:val="false"/>
          <w:color w:val="1e293b"/>
          <w:sz w:val="22"/>
          <w:szCs w:val="22"/>
        </w:rPr>
        <w:t xml:space="preserve"/>
      </w:r>
    </w:p>
    <w:p>
      <w:pPr>
        <w:pStyle w:val="Heading2"/>
        <w:spacing w:after="80" w:before="240"/>
      </w:pPr>
      <w:r>
        <w:rPr>
          <w:rFonts w:ascii="Arial" w:cs="Arial" w:eastAsia="Arial" w:hAnsi="Arial"/>
          <w:b/>
          <w:bCs/>
          <w:color w:val="0f5f8a"/>
          <w:sz w:val="26"/>
          <w:szCs w:val="26"/>
        </w:rPr>
        <w:t xml:space="preserve">5.4 Formation du personnel</w:t>
      </w:r>
    </w:p>
    <w:p>
      <w:pPr>
        <w:spacing w:after="60" w:before="60"/>
        <w:ind/>
      </w:pPr>
      <w:r>
        <w:rPr>
          <w:rFonts w:ascii="Arial" w:cs="Arial" w:eastAsia="Arial" w:hAnsi="Arial"/>
          <w:b w:val="false"/>
          <w:bCs w:val="false"/>
          <w:color w:val="1e293b"/>
          <w:sz w:val="22"/>
          <w:szCs w:val="22"/>
        </w:rPr>
        <w:t xml:space="preserve">Hors périmètre MySifa. À traiter via un registre de formation externe (papier ou RH). Requis avant l'audit de certification : liste des employés formés FSC CoC avec date de formation et formateur.</w:t>
      </w:r>
    </w:p>
    <w:p>
      <w:pPr>
        <w:spacing w:after="60" w:before="60"/>
        <w:ind/>
      </w:pPr>
      <w:r>
        <w:rPr>
          <w:rFonts w:ascii="Arial" w:cs="Arial" w:eastAsia="Arial" w:hAnsi="Arial"/>
          <w:b w:val="false"/>
          <w:bCs w:val="false"/>
          <w:color w:val="1e293b"/>
          <w:sz w:val="22"/>
          <w:szCs w:val="22"/>
        </w:rPr>
        <w:t xml:space="preserve"/>
      </w:r>
    </w:p>
    <w:p>
      <w:pPr>
        <w:pStyle w:val="Heading1"/>
        <w:spacing w:after="120" w:before="360"/>
      </w:pPr>
      <w:r>
        <w:rPr>
          <w:rFonts w:ascii="Arial" w:cs="Arial" w:eastAsia="Arial" w:hAnsi="Arial"/>
          <w:b/>
          <w:bCs/>
          <w:color w:val="1e3a5f"/>
          <w:sz w:val="32"/>
          <w:szCs w:val="32"/>
        </w:rPr>
        <w:t xml:space="preserve">6. Prochaines étapes recommandées</w:t>
      </w:r>
    </w:p>
    <w:p>
      <w:pPr>
        <w:spacing w:after="60" w:before="60"/>
        <w:ind/>
      </w:pPr>
      <w:r>
        <w:rPr>
          <w:rFonts w:ascii="Arial" w:cs="Arial" w:eastAsia="Arial" w:hAnsi="Arial"/>
          <w:b w:val="false"/>
          <w:bCs w:val="false"/>
          <w:color w:val="1e293b"/>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46"/>
        <w:gridCol w:w="200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Action</w:t>
            </w:r>
          </w:p>
        </w:tc>
        <w:tc>
          <w:tcPr>
            <w:tcW w:type="dxa" w:w="474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Détail</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Priorité</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Implémenter Phase 2.1</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Spécifications matière sur stock_reception_items — Prompt 5 du fichier FSC_Cursor_Prompts.md</w:t>
            </w:r>
          </w:p>
        </w:tc>
        <w:tc>
          <w:tcPr>
            <w:tcW w:type="dxa" w:w="20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Haute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Implémenter Phase 2.2</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Module de réconciliation volumes FSC — dépend du 1</w:t>
            </w:r>
          </w:p>
        </w:tc>
        <w:tc>
          <w:tcPr>
            <w:tcW w:type="dxa" w:w="20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Haute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Export registre FSC</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Endpoint d'export CSV/PDF sur période — Phase 2.3</w:t>
            </w:r>
          </w:p>
        </w:tc>
        <w:tc>
          <w:tcPr>
            <w:tcW w:type="dxa" w:w="20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Moyenne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Validité certificats fournisseurs</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date_expiration sur fournisseurs_fsc + alertes — Phase 3.1</w:t>
            </w:r>
          </w:p>
        </w:tc>
        <w:tc>
          <w:tcPr>
            <w:tcW w:type="dxa" w:w="20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Moyenne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Contact organisme certificateur</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Pré-audit Bureau Veritas / SGS / Control Union — 1 000 à 2 000 € HT — à planifier en parallèle des développements Phase 2</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jc w:val="center"/>
            </w:pPr>
            <w:r>
              <w:rPr>
                <w:rFonts w:ascii="Arial" w:cs="Arial" w:eastAsia="Arial" w:hAnsi="Arial"/>
                <w:b/>
                <w:bCs/>
                <w:color w:val="166534"/>
                <w:sz w:val="20"/>
                <w:szCs w:val="20"/>
              </w:rPr>
              <w:t xml:space="preserve">Dès maintenant</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2"/>
                <w:szCs w:val="22"/>
              </w:rPr>
              <w:t xml:space="preserve">6</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i w:val="false"/>
                <w:iCs w:val="false"/>
                <w:color w:val="1e293b"/>
                <w:sz w:val="22"/>
                <w:szCs w:val="22"/>
              </w:rPr>
              <w:t xml:space="preserve">Registre de formation FSC</w:t>
            </w:r>
          </w:p>
        </w:tc>
        <w:tc>
          <w:tcPr>
            <w:tcW w:type="dxa" w:w="474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475569"/>
                <w:sz w:val="20"/>
                <w:szCs w:val="20"/>
              </w:rPr>
              <w:t xml:space="preserve">Constituer la liste des employés formés FSC CoC (logisticiens, planificateurs, opérateurs) — hors MySifa</w:t>
            </w:r>
          </w:p>
        </w:tc>
        <w:tc>
          <w:tcPr>
            <w:tcW w:type="dxa" w:w="200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bCs/>
                <w:color w:val="854d0e"/>
                <w:sz w:val="20"/>
                <w:szCs w:val="20"/>
              </w:rPr>
              <w:t xml:space="preserve">Avant audit</w:t>
            </w:r>
          </w:p>
        </w:tc>
      </w:tr>
    </w:tbl>
    <w:p>
      <w:pPr>
        <w:spacing w:after="60" w:before="60"/>
        <w:ind/>
      </w:pPr>
      <w:r>
        <w:rPr>
          <w:rFonts w:ascii="Arial" w:cs="Arial" w:eastAsia="Arial" w:hAnsi="Arial"/>
          <w:b w:val="false"/>
          <w:bCs w:val="false"/>
          <w:color w:val="1e293b"/>
          <w:sz w:val="22"/>
          <w:szCs w:val="22"/>
        </w:rPr>
        <w:t xml:space="preserve"/>
      </w:r>
    </w:p>
    <w:p>
      <w:pPr>
        <w:pBdr>
          <w:top w:val="single" w:color="1e3a5f" w:sz="4" w:space="1"/>
        </w:pBdr>
        <w:spacing w:before="400"/>
      </w:pPr>
    </w:p>
    <w:p>
      <w:pPr>
        <w:spacing w:after="0" w:before="100"/>
      </w:pPr>
      <w:r>
        <w:rPr>
          <w:rFonts w:ascii="Arial" w:cs="Arial" w:eastAsia="Arial" w:hAnsi="Arial"/>
          <w:color w:val="94a3b8"/>
          <w:sz w:val="18"/>
          <w:szCs w:val="18"/>
        </w:rPr>
        <w:t xml:space="preserve">Forge · Eugène Leconte · eugeneleconte@outlook.com · </w:t>
      </w:r>
      <w:r>
        <w:rPr>
          <w:rFonts w:ascii="Arial" w:cs="Arial" w:eastAsia="Arial" w:hAnsi="Arial"/>
          <w:i/>
          <w:iCs/>
          <w:color w:val="94a3b8"/>
          <w:sz w:val="18"/>
          <w:szCs w:val="18"/>
        </w:rPr>
        <w:t xml:space="preserve">Fabriqué à Lille, déployé dans vos ateliers.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2026-05-21T13:57:35.453Z</dcterms:created>
  <dcterms:modified xsi:type="dcterms:W3CDTF">2026-05-21T13:57:35.453Z</dcterms:modified>
</cp:coreProperties>
</file>

<file path=docProps/custom.xml><?xml version="1.0" encoding="utf-8"?>
<Properties xmlns="http://schemas.openxmlformats.org/officeDocument/2006/custom-properties" xmlns:vt="http://schemas.openxmlformats.org/officeDocument/2006/docPropsVTypes"/>
</file>