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0"/>
        <w:tblBorders>
          <w:top w:val="none"/>
          <w:left w:val="none"/>
          <w:bottom w:val="none"/>
          <w:right w:val="none"/>
          <w:insideH w:val="none"/>
          <w:insideV w:val="none"/>
        </w:tblBorders>
      </w:tblPr>
      <w:tblGrid>
        <w:gridCol w:w="9020"/>
      </w:tblGrid>
      <w:tr>
        <w:tc>
          <w:tcPr>
            <w:tcW w:type="dxa" w:w="9020"/>
            <w:shd w:fill="1A2332" w:color="auto" w:val="clear"/>
            <w:tcMar>
              <w:top w:type="dxa" w:w="200"/>
              <w:left w:type="dxa" w:w="220"/>
              <w:bottom w:type="dxa" w:w="200"/>
              <w:right w:type="dxa" w:w="220"/>
            </w:tcMar>
          </w:tcPr>
          <w:p>
            <w:pPr>
              <w:spacing w:after="100"/>
            </w:pPr>
            <w:r>
              <w:rPr>
                <w:rFonts w:ascii="Calibri" w:cs="Calibri" w:eastAsia="Calibri" w:hAnsi="Calibri"/>
                <w:b/>
                <w:bCs/>
                <w:color w:val="F0A500"/>
                <w:sz w:val="22"/>
                <w:szCs w:val="22"/>
              </w:rPr>
              <w:t xml:space="preserve">SIFA — MySifa</w:t>
            </w:r>
          </w:p>
          <w:p>
            <w:pPr>
              <w:spacing w:after="60"/>
            </w:pPr>
            <w:r>
              <w:rPr>
                <w:rFonts w:ascii="Calibri" w:cs="Calibri" w:eastAsia="Calibri" w:hAnsi="Calibri"/>
                <w:color w:val="FFFFFF"/>
                <w:sz w:val="20"/>
                <w:szCs w:val="20"/>
              </w:rPr>
              <w:t xml:space="preserve">Audit à blanc FSC — de l’expédition jusqu’à la traçabilité matière</w:t>
            </w:r>
          </w:p>
        </w:tc>
      </w:tr>
    </w:tbl>
    <w:p>
      <w:pPr>
        <w:spacing w:after="240" w:before="0"/>
      </w:pPr>
      <w:r>
        <w:rPr>
          <w:rFonts w:ascii="Calibri" w:cs="Calibri" w:eastAsia="Calibri" w:hAnsi="Calibri"/>
          <w:color w:val="1A2332"/>
          <w:sz w:val="21"/>
          <w:szCs w:val="21"/>
        </w:rPr>
        <w:t xml:space="preserve"/>
      </w:r>
    </w:p>
    <w:p>
      <w:pPr>
        <w:spacing w:after="120" w:before="0"/>
      </w:pPr>
      <w:r>
        <w:rPr>
          <w:rFonts w:ascii="Calibri" w:cs="Calibri" w:eastAsia="Calibri" w:hAnsi="Calibri"/>
          <w:b/>
          <w:bCs/>
          <w:color w:val="2D4163"/>
          <w:sz w:val="34"/>
          <w:szCs w:val="34"/>
        </w:rPr>
        <w:t xml:space="preserve">Verdict structurel et protocole de test</w:t>
      </w:r>
    </w:p>
    <w:p>
      <w:pPr>
        <w:spacing w:after="60" w:before="0"/>
      </w:pPr>
      <w:r>
        <w:rPr>
          <w:rFonts w:ascii="Calibri" w:cs="Calibri" w:eastAsia="Calibri" w:hAnsi="Calibri"/>
          <w:color w:val="64748B"/>
          <w:sz w:val="22"/>
          <w:szCs w:val="22"/>
        </w:rPr>
        <w:t xml:space="preserve">Référentiel FSC-STD-40-004 V3-1 · Système de transfert</w:t>
      </w:r>
    </w:p>
    <w:p>
      <w:pPr>
        <w:spacing w:after="60" w:before="0"/>
      </w:pPr>
      <w:r>
        <w:rPr>
          <w:rFonts w:ascii="Calibri" w:cs="Calibri" w:eastAsia="Calibri" w:hAnsi="Calibri"/>
          <w:color w:val="64748B"/>
          <w:sz w:val="22"/>
          <w:szCs w:val="22"/>
        </w:rPr>
        <w:t xml:space="preserve">Périmètre : MySifa uniquement — la partie ERP (BL, ARC, factures) est acquise.</w:t>
      </w:r>
    </w:p>
    <w:p>
      <w:pPr>
        <w:spacing w:after="300" w:before="0"/>
      </w:pPr>
      <w:r>
        <w:rPr>
          <w:rFonts w:ascii="Calibri" w:cs="Calibri" w:eastAsia="Calibri" w:hAnsi="Calibri"/>
          <w:color w:val="64748B"/>
          <w:sz w:val="20"/>
          <w:szCs w:val="20"/>
        </w:rPr>
        <w:t xml:space="preserve">Août 2026 · Document confidentiel — usage interne SIFA / Forge</w:t>
      </w:r>
    </w:p>
    <w:p>
      <w:pPr>
        <w:pBdr>
          <w:bottom w:val="single" w:color="3A7BD5" w:sz="6"/>
        </w:pBdr>
        <w:spacing w:after="160" w:before="60"/>
      </w:pPr>
      <w:r>
        <w:rPr>
          <w:sz w:val="2"/>
          <w:szCs w:val="2"/>
        </w:rPr>
        <w:t xml:space="preserve"/>
      </w:r>
    </w:p>
    <w:p>
      <w:pPr>
        <w:pStyle w:val="Heading1"/>
        <w:spacing w:after="180" w:before="360"/>
      </w:pPr>
      <w:r>
        <w:rPr>
          <w:rFonts w:ascii="Calibri" w:cs="Calibri" w:eastAsia="Calibri" w:hAnsi="Calibri"/>
          <w:b/>
          <w:bCs/>
          <w:color w:val="2D4163"/>
          <w:sz w:val="32"/>
          <w:szCs w:val="32"/>
        </w:rPr>
        <w:t xml:space="preserve">1. Réponse directe</w:t>
      </w:r>
    </w:p>
    <w:p>
      <w:pPr>
        <w:spacing w:after="140" w:before="0"/>
      </w:pPr>
      <w:r>
        <w:rPr>
          <w:rFonts w:ascii="Calibri" w:cs="Calibri" w:eastAsia="Calibri" w:hAnsi="Calibri"/>
          <w:color w:val="1A2332"/>
          <w:sz w:val="21"/>
          <w:szCs w:val="21"/>
        </w:rPr>
        <w:t xml:space="preserve">Non, pas en l’état. La chaîne casse au deuxième maillon — et elle casse pour toutes les expéditions créées depuis le 1er août 2026.</w:t>
      </w:r>
    </w:p>
    <w:p>
      <w:pPr>
        <w:spacing w:after="140" w:before="0"/>
      </w:pPr>
      <w:r>
        <w:rPr>
          <w:rFonts w:ascii="Calibri" w:cs="Calibri" w:eastAsia="Calibri" w:hAnsi="Calibri"/>
          <w:color w:val="1A2332"/>
          <w:sz w:val="21"/>
          <w:szCs w:val="21"/>
        </w:rPr>
        <w:t xml:space="preserve">Le champ qui relie une expédition à son dossier de fabrication, expe_departs.no_dossier, n’est écrit par aucun écran et par aucune API. Il a été rempli une seule fois, par le backfill de la migration fsc_expe_departs_dossier, sur les lignes qui existaient ce jour-là. Depuis, tout nouveau départ arrive avec ce champ vide. Un auditeur qui colle un numéro de BL récent dans le traceur obtient : « Cette expédition n’est rattachée à aucun dossier : la chaîne ne peut pas remonter jusqu’à la matière. »</w:t>
      </w:r>
    </w:p>
    <w:p>
      <w:pPr>
        <w:spacing w:after="140" w:before="0"/>
      </w:pPr>
      <w:r>
        <w:rPr>
          <w:rFonts w:ascii="Calibri" w:cs="Calibri" w:eastAsia="Calibri" w:hAnsi="Calibri"/>
          <w:color w:val="1A2332"/>
          <w:sz w:val="21"/>
          <w:szCs w:val="21"/>
        </w:rPr>
        <w:t xml:space="preserve">La bonne nouvelle est que le lien existe déjà ailleurs. Le formulaire d’expédition écrit planning_entry_id — une vraie clé étrangère vers le dossier — et ce champ est correctement alimenté. Mais aucun des trois modules FSC (traceur, mention sur document de vente, registre) ne le lit. C’est un raccordement, pas un chantier.</w:t>
      </w:r>
    </w:p>
    <w:p>
      <w:pPr>
        <w:spacing w:after="140" w:before="0"/>
      </w:pPr>
      <w:r>
        <w:rPr>
          <w:rFonts w:ascii="Calibri" w:cs="Calibri" w:eastAsia="Calibri" w:hAnsi="Calibri"/>
          <w:color w:val="1A2332"/>
          <w:sz w:val="21"/>
          <w:szCs w:val="21"/>
        </w:rPr>
        <w:t xml:space="preserve">Le reste de la chaîne est solide là où elle repose sur une saisie réelle (scan opérateur, réception fournisseur) et fragile là où elle repose sur des rapprochements de texte. Le détail est en partie 3.</w:t>
      </w:r>
    </w:p>
    <w:tbl>
      <w:tblPr>
        <w:tblW w:type="dxa" w:w="9020"/>
        <w:tblBorders>
          <w:top w:val="none"/>
          <w:left w:val="none"/>
          <w:bottom w:val="none"/>
          <w:right w:val="none"/>
          <w:insideH w:val="none"/>
          <w:insideV w:val="none"/>
        </w:tblBorders>
      </w:tblPr>
      <w:tblGrid>
        <w:gridCol w:w="9020"/>
      </w:tblGrid>
      <w:tr>
        <w:tc>
          <w:tcPr>
            <w:tcW w:type="dxa" w:w="9020"/>
            <w:shd w:fill="1A2332" w:color="auto" w:val="clear"/>
            <w:tcMar>
              <w:top w:type="dxa" w:w="200"/>
              <w:left w:type="dxa" w:w="220"/>
              <w:bottom w:type="dxa" w:w="200"/>
              <w:right w:type="dxa" w:w="220"/>
            </w:tcMar>
          </w:tcPr>
          <w:p>
            <w:pPr>
              <w:spacing w:after="100"/>
            </w:pPr>
            <w:r>
              <w:rPr>
                <w:rFonts w:ascii="Calibri" w:cs="Calibri" w:eastAsia="Calibri" w:hAnsi="Calibri"/>
                <w:b/>
                <w:bCs/>
                <w:color w:val="F0A500"/>
                <w:sz w:val="22"/>
                <w:szCs w:val="22"/>
              </w:rPr>
              <w:t xml:space="preserve">Ce qu’il faut faire avant de tirer l’échantillon</w:t>
            </w:r>
          </w:p>
          <w:p>
            <w:pPr>
              <w:spacing w:after="60"/>
            </w:pPr>
            <w:r>
              <w:rPr>
                <w:rFonts w:ascii="Calibri" w:cs="Calibri" w:eastAsia="Calibri" w:hAnsi="Calibri"/>
                <w:color w:val="FFFFFF"/>
                <w:sz w:val="20"/>
                <w:szCs w:val="20"/>
              </w:rPr>
              <w:t xml:space="preserve">1. Raccorder la chaîne FSC à planning_entry_id (ou alimenter no_dossier à la création du départ).</w:t>
            </w:r>
          </w:p>
          <w:p>
            <w:pPr>
              <w:spacing w:after="60"/>
            </w:pPr>
            <w:r>
              <w:rPr>
                <w:rFonts w:ascii="Calibri" w:cs="Calibri" w:eastAsia="Calibri" w:hAnsi="Calibri"/>
                <w:color w:val="FFFFFF"/>
                <w:sz w:val="20"/>
                <w:szCs w:val="20"/>
              </w:rPr>
              <w:t xml:space="preserve">2. Renseigner FSC_LICENCE_SIFA dans l’environnement du serveur — sans elle, aucune mention FSC n’est opposable.</w:t>
            </w:r>
          </w:p>
          <w:p>
            <w:pPr>
              <w:spacing w:after="60"/>
            </w:pPr>
            <w:r>
              <w:rPr>
                <w:rFonts w:ascii="Calibri" w:cs="Calibri" w:eastAsia="Calibri" w:hAnsi="Calibri"/>
                <w:color w:val="FFFFFF"/>
                <w:sz w:val="20"/>
                <w:szCs w:val="20"/>
              </w:rPr>
              <w:t xml:space="preserve">Sans ces deux points, l’audit à blanc s’arrête à la première expédition testée et ne mesure rien.</w:t>
            </w:r>
          </w:p>
        </w:tc>
      </w:tr>
    </w:tbl>
    <w:p>
      <w:pPr>
        <w:spacing w:after="160" w:before="0"/>
      </w:pPr>
      <w:r>
        <w:rPr>
          <w:rFonts w:ascii="Calibri" w:cs="Calibri" w:eastAsia="Calibri" w:hAnsi="Calibri"/>
          <w:color w:val="1A2332"/>
          <w:sz w:val="21"/>
          <w:szCs w:val="21"/>
        </w:rPr>
        <w:t xml:space="preserve"/>
      </w:r>
    </w:p>
    <w:p>
      <w:r>
        <w:br w:type="page"/>
      </w:r>
    </w:p>
    <w:p>
      <w:pPr>
        <w:pStyle w:val="Heading1"/>
        <w:spacing w:after="180" w:before="360"/>
      </w:pPr>
      <w:r>
        <w:rPr>
          <w:rFonts w:ascii="Calibri" w:cs="Calibri" w:eastAsia="Calibri" w:hAnsi="Calibri"/>
          <w:b/>
          <w:bCs/>
          <w:color w:val="2D4163"/>
          <w:sz w:val="32"/>
          <w:szCs w:val="32"/>
        </w:rPr>
        <w:t xml:space="preserve">2. La chaîne à démontrer</w:t>
      </w:r>
    </w:p>
    <w:p>
      <w:pPr>
        <w:spacing w:after="140" w:before="0"/>
      </w:pPr>
      <w:r>
        <w:rPr>
          <w:rFonts w:ascii="Calibri" w:cs="Calibri" w:eastAsia="Calibri" w:hAnsi="Calibri"/>
          <w:color w:val="1A2332"/>
          <w:sz w:val="21"/>
          <w:szCs w:val="21"/>
        </w:rPr>
        <w:t xml:space="preserve">Un audit FSC ne se déroule pas dans le sens de la production. L’auditeur part du document de vente et remonte. Huit maillons séparent une facture client du certificat du fournisseur de bobines.</w:t>
      </w:r>
    </w:p>
    <w:tbl>
      <w:tblPr>
        <w:tblW w:type="dxa" w:w="9020"/>
        <w:tblBorders>
          <w:top w:val="single" w:color="C9D2E0" w:sz="2"/>
          <w:left w:val="single" w:color="C9D2E0" w:sz="2"/>
          <w:bottom w:val="single" w:color="C9D2E0" w:sz="2"/>
          <w:right w:val="single" w:color="C9D2E0" w:sz="2"/>
          <w:insideH w:val="single" w:color="C9D2E0" w:sz="2"/>
          <w:insideV w:val="single" w:color="C9D2E0" w:sz="2"/>
        </w:tblBorders>
      </w:tblPr>
      <w:tblGrid>
        <w:gridCol w:w="700"/>
        <w:gridCol w:w="3600"/>
        <w:gridCol w:w="4720"/>
      </w:tblGrid>
      <w:tr>
        <w:trPr>
          <w:cantSplit/>
          <w:tblHeader/>
        </w:trPr>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w:t>
            </w:r>
          </w:p>
        </w:tc>
        <w:tc>
          <w:tcPr>
            <w:tcW w:type="dxa" w:w="36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Maillon</w:t>
            </w:r>
          </w:p>
        </w:tc>
        <w:tc>
          <w:tcPr>
            <w:tcW w:type="dxa" w:w="472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Ce que l’auditeur demande à voir</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M1</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Facture / BL client → départ MySifa</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Le départ qui correspond au BL présenté</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M2</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Départ → dossier de fabrication</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Quel OF a produit ce qui est parti</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M3</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Dossier → lot de produit fini</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Quelle palette précise est sortie de ce dossier</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M4</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Lot → mouvements de stock</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Le parcours physique jusqu’à la sortie</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M5</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Dossier → bobines consommées</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Les codes-barres scannés en production</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M6</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Bobine → réception fournisseur</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De quelle livraison vient cette bobine</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M7</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Réception → fournisseur et certificat</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Le n° de certificat, valide à la date du BL</w:t>
            </w:r>
          </w:p>
        </w:tc>
      </w:tr>
      <w:tr>
        <w:trPr>
          <w:cantSplit/>
        </w:trPr>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M8</w:t>
            </w:r>
          </w:p>
        </w:tc>
        <w:tc>
          <w:tcPr>
            <w:tcW w:type="dxa" w:w="36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Claim porté sur le document de vente</w:t>
            </w:r>
          </w:p>
        </w:tc>
        <w:tc>
          <w:tcPr>
            <w:tcW w:type="dxa" w:w="4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La mention FSC exacte + la licence SIFA</w:t>
            </w:r>
          </w:p>
        </w:tc>
      </w:tr>
    </w:tbl>
    <w:p>
      <w:pPr>
        <w:spacing w:after="200" w:before="0"/>
      </w:pPr>
      <w:r>
        <w:rPr>
          <w:rFonts w:ascii="Calibri" w:cs="Calibri" w:eastAsia="Calibri" w:hAnsi="Calibri"/>
          <w:color w:val="1A2332"/>
          <w:sz w:val="21"/>
          <w:szCs w:val="21"/>
        </w:rPr>
        <w:t xml:space="preserve"/>
      </w:r>
    </w:p>
    <w:p>
      <w:pPr>
        <w:spacing w:after="140" w:before="0"/>
      </w:pPr>
      <w:r>
        <w:rPr>
          <w:rFonts w:ascii="Calibri" w:cs="Calibri" w:eastAsia="Calibri" w:hAnsi="Calibri"/>
          <w:i/>
          <w:iCs/>
          <w:color w:val="64748B"/>
          <w:sz w:val="21"/>
          <w:szCs w:val="21"/>
        </w:rPr>
        <w:t xml:space="preserve">Le système retenu est le système de transfert : le claim de sortie ne peut jamais être meilleur que le claim d’entrée. C’est ce que la hiérarchie codée dans MySifa (FSC_CLAIM_HIERARCHY) applique déjà au moment du scan — un dossier « FSC 100 % » n’accepte que des bobines « FSC 100 % ».</w:t>
      </w:r>
    </w:p>
    <w:p>
      <w:r>
        <w:br w:type="page"/>
      </w:r>
    </w:p>
    <w:p>
      <w:pPr>
        <w:pStyle w:val="Heading1"/>
        <w:spacing w:after="180" w:before="360"/>
      </w:pPr>
      <w:r>
        <w:rPr>
          <w:rFonts w:ascii="Calibri" w:cs="Calibri" w:eastAsia="Calibri" w:hAnsi="Calibri"/>
          <w:b/>
          <w:bCs/>
          <w:color w:val="2D4163"/>
          <w:sz w:val="32"/>
          <w:szCs w:val="32"/>
        </w:rPr>
        <w:t xml:space="preserve">3. Verdict maillon par maillon</w:t>
      </w:r>
    </w:p>
    <w:p>
      <w:pPr>
        <w:spacing w:after="140" w:before="0"/>
      </w:pPr>
      <w:r>
        <w:rPr>
          <w:rFonts w:ascii="Calibri" w:cs="Calibri" w:eastAsia="Calibri" w:hAnsi="Calibri"/>
          <w:color w:val="1A2332"/>
          <w:sz w:val="21"/>
          <w:szCs w:val="21"/>
        </w:rPr>
        <w:t xml:space="preserve">Constats établis par lecture du code source et du schéma de base au 6 août 2026. Chacun est vérifiable dans le dépôt.</w:t>
      </w:r>
    </w:p>
    <w:tbl>
      <w:tblPr>
        <w:tblW w:type="dxa" w:w="9020"/>
        <w:tblBorders>
          <w:top w:val="single" w:color="C9D2E0" w:sz="2"/>
          <w:left w:val="single" w:color="C9D2E0" w:sz="2"/>
          <w:bottom w:val="single" w:color="C9D2E0" w:sz="2"/>
          <w:right w:val="single" w:color="C9D2E0" w:sz="2"/>
          <w:insideH w:val="single" w:color="C9D2E0" w:sz="2"/>
          <w:insideV w:val="single" w:color="C9D2E0" w:sz="2"/>
        </w:tblBorders>
      </w:tblPr>
      <w:tblGrid>
        <w:gridCol w:w="620"/>
        <w:gridCol w:w="3000"/>
        <w:gridCol w:w="1500"/>
        <w:gridCol w:w="3900"/>
      </w:tblGrid>
      <w:tr>
        <w:trPr>
          <w:cantSplit/>
          <w:tblHeader/>
        </w:trPr>
        <w:tc>
          <w:tcPr>
            <w:tcW w:type="dxa" w:w="62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w:t>
            </w:r>
          </w:p>
        </w:tc>
        <w:tc>
          <w:tcPr>
            <w:tcW w:type="dxa" w:w="30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Ce qui porte le lien</w:t>
            </w:r>
          </w:p>
        </w:tc>
        <w:tc>
          <w:tcPr>
            <w:tcW w:type="dxa" w:w="15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Verdict</w:t>
            </w:r>
          </w:p>
        </w:tc>
        <w:tc>
          <w:tcPr>
            <w:tcW w:type="dxa" w:w="39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Ce que ça change pour l’auditeur</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M1</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expe_departs.no_bl — texte libre, aucune contrainte d’unicité</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F0A500"/>
                <w:sz w:val="18"/>
                <w:szCs w:val="18"/>
              </w:rPr>
              <w:t xml:space="preserve">Fragile</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Deux départs peuvent porter le même n° de BL. Le rapprochement ERP ↔ MySifa repose sur une frappe.</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M2</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no_dossier (champ mort) / planning_entry_id (vivant, mais ignoré)</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B3261E"/>
                <w:sz w:val="18"/>
                <w:szCs w:val="18"/>
              </w:rPr>
              <w:t xml:space="preserve">Rompu</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La chaîne s’arrête ici pour toute expédition récente. C’est le point bloquant.</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M3</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lots_stock.no_dossier — saisi depuis la migration 220, déduit avant</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1E7A46"/>
                <w:sz w:val="18"/>
                <w:szCs w:val="18"/>
              </w:rPr>
              <w:t xml:space="preserve">Conforme</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Les liens déduits sortent marqués « reconstitué » et affichés en dégradé. Honnête, et l’auditeur le verra.</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M4</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mouvements_stock.lot_id — renseigné sur les entrées, pas sur les sorties FIFO</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F0A500"/>
                <w:sz w:val="18"/>
                <w:szCs w:val="18"/>
              </w:rPr>
              <w:t xml:space="preserve">Partiel</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On sait d’où vient une palette, pas sur quel BL elle est partie. La sortie n’est reliée à aucun départ.</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M5</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fab_matieres_utilisees — scan opérateur, horodaté, nominatif</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1E7A46"/>
                <w:sz w:val="18"/>
                <w:szCs w:val="18"/>
              </w:rPr>
              <w:t xml:space="preserve">Solide</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C’est le maillon le plus fort de la chaîne. Donnée d’origine, pas déduction.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M6</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Jointure texte sur code_barre, « dernier scan gagnant », sans index unique</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F0A500"/>
                <w:sz w:val="18"/>
                <w:szCs w:val="18"/>
              </w:rPr>
              <w:t xml:space="preserve">Fragile</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Un code-barre réutilisé par deux fournisseurs rattache la bobine à la mauvaise réception, en silence.</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M7</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fournisseurs_fsc joint par NOM ; certificat saisi mais validité non figée</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F0A500"/>
                <w:sz w:val="18"/>
                <w:szCs w:val="18"/>
              </w:rPr>
              <w:t xml:space="preserve">Partiel</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Renommer un fournisseur casse le lien. Et rien ne prouve que le certificat était valide à la date de réception.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M8</w:t>
            </w:r>
          </w:p>
        </w:tc>
        <w:tc>
          <w:tcPr>
            <w:tcW w:type="dxa" w:w="30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Claim recalculé à la volée ; FSC_LICENCE_SIFA non renseignée</w:t>
            </w:r>
          </w:p>
        </w:tc>
        <w:tc>
          <w:tcPr>
            <w:tcW w:type="dxa" w:w="1500"/>
            <w:tcMar>
              <w:top w:type="dxa" w:w="90"/>
              <w:left w:type="dxa" w:w="120"/>
              <w:bottom w:type="dxa" w:w="90"/>
              <w:right w:type="dxa" w:w="120"/>
            </w:tcMar>
            <w:vAlign w:val="center"/>
          </w:tcPr>
          <w:p>
            <w:pPr>
              <w:spacing w:after="0"/>
            </w:pPr>
            <w:r>
              <w:rPr>
                <w:rFonts w:ascii="Calibri" w:cs="Calibri" w:eastAsia="Calibri" w:hAnsi="Calibri"/>
                <w:b/>
                <w:bCs/>
                <w:color w:val="B3261E"/>
                <w:sz w:val="18"/>
                <w:szCs w:val="18"/>
              </w:rPr>
              <w:t xml:space="preserve">Non démontrable</w:t>
            </w:r>
          </w:p>
        </w:tc>
        <w:tc>
          <w:tcPr>
            <w:tcW w:type="dxa" w:w="39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La mention à porter sur la facture sort incomplète : « licence FSC SIFA à renseigner ».</w:t>
            </w:r>
          </w:p>
        </w:tc>
      </w:tr>
    </w:tbl>
    <w:p>
      <w:r>
        <w:br w:type="page"/>
      </w:r>
    </w:p>
    <w:p>
      <w:pPr>
        <w:pStyle w:val="Heading1"/>
        <w:spacing w:after="180" w:before="360"/>
      </w:pPr>
      <w:r>
        <w:rPr>
          <w:rFonts w:ascii="Calibri" w:cs="Calibri" w:eastAsia="Calibri" w:hAnsi="Calibri"/>
          <w:b/>
          <w:bCs/>
          <w:color w:val="2D4163"/>
          <w:sz w:val="32"/>
          <w:szCs w:val="32"/>
        </w:rPr>
        <w:t xml:space="preserve">4. Détail des écarts</w:t>
      </w:r>
    </w:p>
    <w:p>
      <w:pPr>
        <w:pStyle w:val="Heading2"/>
        <w:spacing w:after="120" w:before="260"/>
      </w:pPr>
      <w:r>
        <w:rPr>
          <w:rFonts w:ascii="Calibri" w:cs="Calibri" w:eastAsia="Calibri" w:hAnsi="Calibri"/>
          <w:b/>
          <w:bCs/>
          <w:color w:val="3A7BD5"/>
          <w:sz w:val="25"/>
          <w:szCs w:val="25"/>
        </w:rPr>
        <w:t xml:space="preserve">4.1 Bloquant — le lien expédition ↔ dossier n’est plus alimenté</w:t>
      </w:r>
    </w:p>
    <w:p>
      <w:pPr>
        <w:spacing w:after="140" w:before="0"/>
      </w:pPr>
      <w:r>
        <w:rPr>
          <w:rFonts w:ascii="Calibri" w:cs="Calibri" w:eastAsia="Calibri" w:hAnsi="Calibri"/>
          <w:color w:val="1A2332"/>
          <w:sz w:val="21"/>
          <w:szCs w:val="21"/>
        </w:rPr>
        <w:t xml:space="preserve">expe_departs.no_dossier n’apparaît ni dans l’INSERT de création d’un départ, ni dans la liste blanche du PUT de modification, ni dans aucune page de MyExpé. Sa seule alimentation historique est le backfill de la migration fsc_expe_departs_dossier, qui déduisait le dossier depuis ref_sifa par égalité stricte.</w:t>
      </w:r>
    </w:p>
    <w:p>
      <w:pPr>
        <w:spacing w:after="140" w:before="0"/>
      </w:pPr>
      <w:r>
        <w:rPr>
          <w:rFonts w:ascii="Calibri" w:cs="Calibri" w:eastAsia="Calibri" w:hAnsi="Calibri"/>
          <w:color w:val="1A2332"/>
          <w:sz w:val="21"/>
          <w:szCs w:val="21"/>
        </w:rPr>
        <w:t xml:space="preserve">Trois modules en dépendent et retournent donc du vide sur toute expédition récente : le traceur (_expeditions_du_dossier et l’entrée par n° de BL), la mention FSC à porter sur le document de vente (qui remonte le claim depuis le dossier rattaché), et par ricochet toute tentative de réconciliation.</w:t>
      </w:r>
    </w:p>
    <w:p>
      <w:pPr>
        <w:pStyle w:val="ListParagraph"/>
        <w:numPr>
          <w:ilvl w:val="0"/>
          <w:numId w:val="2"/>
        </w:numPr>
        <w:spacing w:after="80"/>
      </w:pPr>
      <w:r>
        <w:rPr>
          <w:rFonts w:ascii="Calibri" w:cs="Calibri" w:eastAsia="Calibri" w:hAnsi="Calibri"/>
          <w:b/>
          <w:bCs/>
          <w:color w:val="1A2332"/>
          <w:sz w:val="21"/>
          <w:szCs w:val="21"/>
        </w:rPr>
        <w:t xml:space="preserve">Correctif minimal : </w:t>
      </w:r>
      <w:r>
        <w:rPr>
          <w:rFonts w:ascii="Calibri" w:cs="Calibri" w:eastAsia="Calibri" w:hAnsi="Calibri"/>
          <w:color w:val="1A2332"/>
          <w:sz w:val="21"/>
          <w:szCs w:val="21"/>
        </w:rPr>
        <w:t xml:space="preserve">un COALESCE sur planning_entry_id dans traca.py, fsc_negoce.py et settings.py — le lien existe déjà en base.</w:t>
      </w:r>
    </w:p>
    <w:p>
      <w:pPr>
        <w:pStyle w:val="ListParagraph"/>
        <w:numPr>
          <w:ilvl w:val="0"/>
          <w:numId w:val="2"/>
        </w:numPr>
        <w:spacing w:after="80"/>
      </w:pPr>
      <w:r>
        <w:rPr>
          <w:rFonts w:ascii="Calibri" w:cs="Calibri" w:eastAsia="Calibri" w:hAnsi="Calibri"/>
          <w:b/>
          <w:bCs/>
          <w:color w:val="1A2332"/>
          <w:sz w:val="21"/>
          <w:szCs w:val="21"/>
        </w:rPr>
        <w:t xml:space="preserve">Correctif propre : </w:t>
      </w:r>
      <w:r>
        <w:rPr>
          <w:rFonts w:ascii="Calibri" w:cs="Calibri" w:eastAsia="Calibri" w:hAnsi="Calibri"/>
          <w:color w:val="1A2332"/>
          <w:sz w:val="21"/>
          <w:szCs w:val="21"/>
        </w:rPr>
        <w:t xml:space="preserve">écrire no_dossier à la création du départ avec no_dossier_source = 'saisi', et le dériver de planning_entry_id quand il est absent.</w:t>
      </w:r>
    </w:p>
    <w:p>
      <w:pPr>
        <w:pStyle w:val="Heading2"/>
        <w:spacing w:after="120" w:before="260"/>
      </w:pPr>
      <w:r>
        <w:rPr>
          <w:rFonts w:ascii="Calibri" w:cs="Calibri" w:eastAsia="Calibri" w:hAnsi="Calibri"/>
          <w:b/>
          <w:bCs/>
          <w:color w:val="3A7BD5"/>
          <w:sz w:val="25"/>
          <w:szCs w:val="25"/>
        </w:rPr>
        <w:t xml:space="preserve">4.2 Bloquant — la licence FSC de SIFA n’est pas renseignée</w:t>
      </w:r>
    </w:p>
    <w:p>
      <w:pPr>
        <w:spacing w:after="140" w:before="0"/>
      </w:pPr>
      <w:r>
        <w:rPr>
          <w:rFonts w:ascii="Calibri" w:cs="Calibri" w:eastAsia="Calibri" w:hAnsi="Calibri"/>
          <w:color w:val="1A2332"/>
          <w:sz w:val="21"/>
          <w:szCs w:val="21"/>
        </w:rPr>
        <w:t xml:space="preserve">FSC_LICENCE_SIFA est lue depuis l’environnement et vaut chaîne vide par défaut. Elle n’est ni dans .env ni dans .env.example. Le code est honnête : il ajoute le manque dans la réponse et produit « licence FSC SIFA à renseigner — FSC Mix » au lieu d’une mention utilisable. Un claim qui n’est pas écrit avec le code de licence du vendeur n’existe pas pour l’auditeur. À vérifier côté serveur avant de conclure.</w:t>
      </w:r>
    </w:p>
    <w:p>
      <w:pPr>
        <w:pStyle w:val="Heading2"/>
        <w:spacing w:after="120" w:before="260"/>
      </w:pPr>
      <w:r>
        <w:rPr>
          <w:rFonts w:ascii="Calibri" w:cs="Calibri" w:eastAsia="Calibri" w:hAnsi="Calibri"/>
          <w:b/>
          <w:bCs/>
          <w:color w:val="3A7BD5"/>
          <w:sz w:val="25"/>
          <w:szCs w:val="25"/>
        </w:rPr>
        <w:t xml:space="preserve">4.3 Majeur — le claim de sortie d’une vente fabriquée n’est jamais figé</w:t>
      </w:r>
    </w:p>
    <w:p>
      <w:pPr>
        <w:spacing w:after="140" w:before="0"/>
      </w:pPr>
      <w:r>
        <w:rPr>
          <w:rFonts w:ascii="Calibri" w:cs="Calibri" w:eastAsia="Calibri" w:hAnsi="Calibri"/>
          <w:color w:val="1A2332"/>
          <w:sz w:val="21"/>
          <w:szCs w:val="21"/>
        </w:rPr>
        <w:t xml:space="preserve">expe_departs.fsc_claim_sortant n’est écrit que par le module négoce. Pour une vente issue de la production, le claim est recalculé à chaque appel depuis planning_entries.fsc_type_requis. Conséquence : si l’exigence du dossier est modifiée après l’expédition, la mention change rétroactivement. Un enregistrement FSC doit être figé au moment de la vente, comme le module négoce fige déjà le verdict du certificat à la date du BL.</w:t>
      </w:r>
    </w:p>
    <w:p>
      <w:pPr>
        <w:pStyle w:val="Heading2"/>
        <w:spacing w:after="120" w:before="260"/>
      </w:pPr>
      <w:r>
        <w:rPr>
          <w:rFonts w:ascii="Calibri" w:cs="Calibri" w:eastAsia="Calibri" w:hAnsi="Calibri"/>
          <w:b/>
          <w:bCs/>
          <w:color w:val="3A7BD5"/>
          <w:sz w:val="25"/>
          <w:szCs w:val="25"/>
        </w:rPr>
        <w:t xml:space="preserve">4.4 Majeur — le lot de produit fini ne porte qu’un booléen</w:t>
      </w:r>
    </w:p>
    <w:p>
      <w:pPr>
        <w:spacing w:after="140" w:before="0"/>
      </w:pPr>
      <w:r>
        <w:rPr>
          <w:rFonts w:ascii="Calibri" w:cs="Calibri" w:eastAsia="Calibri" w:hAnsi="Calibri"/>
          <w:color w:val="1A2332"/>
          <w:sz w:val="21"/>
          <w:szCs w:val="21"/>
        </w:rPr>
        <w:t xml:space="preserve">lots_stock.fsc vaut 0 ou 1. Impossible de distinguer un lot « FSC 100 % » d’un lot « FSC Mix » sur une palette en stock. La finesse du claim s’arrête à la matière. Tant que les dossiers restent sur un seul type de claim, la conséquence est théorique ; le jour où SIFA vend du 100 % et du Mix, elle devient une non-conformité — le système de transfert impose de ne jamais améliorer un claim.</w:t>
      </w:r>
    </w:p>
    <w:p>
      <w:pPr>
        <w:pStyle w:val="Heading2"/>
        <w:spacing w:after="120" w:before="260"/>
      </w:pPr>
      <w:r>
        <w:rPr>
          <w:rFonts w:ascii="Calibri" w:cs="Calibri" w:eastAsia="Calibri" w:hAnsi="Calibri"/>
          <w:b/>
          <w:bCs/>
          <w:color w:val="3A7BD5"/>
          <w:sz w:val="25"/>
          <w:szCs w:val="25"/>
        </w:rPr>
        <w:t xml:space="preserve">4.5 Majeur — aucune réconciliation des volumes possible</w:t>
      </w:r>
    </w:p>
    <w:p>
      <w:pPr>
        <w:spacing w:after="140" w:before="0"/>
      </w:pPr>
      <w:r>
        <w:rPr>
          <w:rFonts w:ascii="Calibri" w:cs="Calibri" w:eastAsia="Calibri" w:hAnsi="Calibri"/>
          <w:color w:val="1A2332"/>
          <w:sz w:val="21"/>
          <w:szCs w:val="21"/>
        </w:rPr>
        <w:t xml:space="preserve">stock_reception_items ne porte aucune quantité : ni métrage, ni poids, ni longueur. Un métrage nominal existe au niveau de la matière (metres_lineaires_par_bobine) mais rien de réel n’est enregistré à la réception. Il est donc impossible de démontrer que le volume de matière FSC achetée couvre le volume de produits FSC vendus — une exigence explicite de la norme. Le module reconciliation.py existant compare les stocks de produits finis ERP et MySifa : il ne comporte aucune notion de FSC.</w:t>
      </w:r>
    </w:p>
    <w:p>
      <w:pPr>
        <w:pStyle w:val="Heading2"/>
        <w:spacing w:after="120" w:before="260"/>
      </w:pPr>
      <w:r>
        <w:rPr>
          <w:rFonts w:ascii="Calibri" w:cs="Calibri" w:eastAsia="Calibri" w:hAnsi="Calibri"/>
          <w:b/>
          <w:bCs/>
          <w:color w:val="3A7BD5"/>
          <w:sz w:val="25"/>
          <w:szCs w:val="25"/>
        </w:rPr>
        <w:t xml:space="preserve">4.6 Majeur — la rétention 5 ans ne protège que le négoce</w:t>
      </w:r>
    </w:p>
    <w:p>
      <w:pPr>
        <w:spacing w:after="140" w:before="0"/>
      </w:pPr>
      <w:r>
        <w:rPr>
          <w:rFonts w:ascii="Calibri" w:cs="Calibri" w:eastAsia="Calibri" w:hAnsi="Calibri"/>
          <w:color w:val="1A2332"/>
          <w:sz w:val="21"/>
          <w:szCs w:val="21"/>
        </w:rPr>
        <w:t xml:space="preserve">Le garde-fou qui empêche de supprimer un départ portant un claim FSC ne teste que fsc_claim_sortant, fsc_bl_fournisseur et fsc_sans_transit — trois champs vides pour une vente fabriquée. Un départ FSC issu de la production est donc supprimable sans blocage, alors que le commentaire du code invoque FSC-STD-40-004.</w:t>
      </w:r>
    </w:p>
    <w:p>
      <w:pPr>
        <w:pStyle w:val="Heading2"/>
        <w:spacing w:after="120" w:before="260"/>
      </w:pPr>
      <w:r>
        <w:rPr>
          <w:rFonts w:ascii="Calibri" w:cs="Calibri" w:eastAsia="Calibri" w:hAnsi="Calibri"/>
          <w:b/>
          <w:bCs/>
          <w:color w:val="3A7BD5"/>
          <w:sz w:val="25"/>
          <w:szCs w:val="25"/>
        </w:rPr>
        <w:t xml:space="preserve">4.7 Mineur mais silencieux — la jointure bobine ↔ réception</w:t>
      </w:r>
    </w:p>
    <w:p>
      <w:pPr>
        <w:spacing w:after="140" w:before="0"/>
      </w:pPr>
      <w:r>
        <w:rPr>
          <w:rFonts w:ascii="Calibri" w:cs="Calibri" w:eastAsia="Calibri" w:hAnsi="Calibri"/>
          <w:color w:val="1A2332"/>
          <w:sz w:val="21"/>
          <w:szCs w:val="21"/>
        </w:rPr>
        <w:t xml:space="preserve">Le rattachement d’une bobine à sa réception se fait par égalité de texte sur le code-barre, en retenant le scan de réception le plus récent. Aucun index unique ne l’empêche : si deux fournisseurs utilisent la même numérotation, ou si un code est saisi deux fois, la bobine est attribuée à la mauvaise livraison sans qu’aucune alerte ne se déclenche. Le risque est faible en volume, élevé en conséquence : c’est exactement le type d’erreur qu’un auditeur cherche.</w:t>
      </w:r>
    </w:p>
    <w:p>
      <w:pPr>
        <w:pStyle w:val="Heading2"/>
        <w:spacing w:after="120" w:before="260"/>
      </w:pPr>
      <w:r>
        <w:rPr>
          <w:rFonts w:ascii="Calibri" w:cs="Calibri" w:eastAsia="Calibri" w:hAnsi="Calibri"/>
          <w:b/>
          <w:bCs/>
          <w:color w:val="3A7BD5"/>
          <w:sz w:val="25"/>
          <w:szCs w:val="25"/>
        </w:rPr>
        <w:t xml:space="preserve">4.8 Mineur — le n° de lot fournisseur n’est pas capté sur la matière</w:t>
      </w:r>
    </w:p>
    <w:p>
      <w:pPr>
        <w:spacing w:after="140" w:before="0"/>
      </w:pPr>
      <w:r>
        <w:rPr>
          <w:rFonts w:ascii="Calibri" w:cs="Calibri" w:eastAsia="Calibri" w:hAnsi="Calibri"/>
          <w:color w:val="1A2332"/>
          <w:sz w:val="21"/>
          <w:szCs w:val="21"/>
        </w:rPr>
        <w:t xml:space="preserve">stock_reception_items n’a pas de champ no_lot_fournisseur. Le numéro imprimé par le fournisseur sur la bobine n’est donc pas enregistré séparément du code-barre. Le module négoce, lui, capte bien lot_fournisseur sur ses réceptions de produit fini : l’asymétrie est corrigeable à peu de frais.</w:t>
      </w:r>
    </w:p>
    <w:p>
      <w:pPr>
        <w:pStyle w:val="Heading2"/>
        <w:spacing w:after="120" w:before="260"/>
      </w:pPr>
      <w:r>
        <w:rPr>
          <w:rFonts w:ascii="Calibri" w:cs="Calibri" w:eastAsia="Calibri" w:hAnsi="Calibri"/>
          <w:b/>
          <w:bCs/>
          <w:color w:val="3A7BD5"/>
          <w:sz w:val="25"/>
          <w:szCs w:val="25"/>
        </w:rPr>
        <w:t xml:space="preserve">4.9 Mineur — la validité du certificat n’est pas figée côté matière</w:t>
      </w:r>
    </w:p>
    <w:p>
      <w:pPr>
        <w:spacing w:after="140" w:before="0"/>
      </w:pPr>
      <w:r>
        <w:rPr>
          <w:rFonts w:ascii="Calibri" w:cs="Calibri" w:eastAsia="Calibri" w:hAnsi="Calibri"/>
          <w:color w:val="1A2332"/>
          <w:sz w:val="21"/>
          <w:szCs w:val="21"/>
        </w:rPr>
        <w:t xml:space="preserve">Le service fsc_certificat.py fait exactement ce qu’il faut : il juge un certificat à la date du document, pas à la date du jour, et distingue « inconnu » de « valide ». Mais il n’est appelé que par le module négoce. La création d’une réception de matière exige un numéro de certificat sans jamais évaluer sa validité ni figer le verdict.</w:t>
      </w:r>
    </w:p>
    <w:p>
      <w:pPr>
        <w:pStyle w:val="Heading2"/>
        <w:spacing w:after="120" w:before="260"/>
      </w:pPr>
      <w:r>
        <w:rPr>
          <w:rFonts w:ascii="Calibri" w:cs="Calibri" w:eastAsia="Calibri" w:hAnsi="Calibri"/>
          <w:b/>
          <w:bCs/>
          <w:color w:val="3A7BD5"/>
          <w:sz w:val="25"/>
          <w:szCs w:val="25"/>
        </w:rPr>
        <w:t xml:space="preserve">4.10 Mineur — le registre FSC ignore les ventes</w:t>
      </w:r>
    </w:p>
    <w:p>
      <w:pPr>
        <w:spacing w:after="140" w:before="0"/>
      </w:pPr>
      <w:r>
        <w:rPr>
          <w:rFonts w:ascii="Calibri" w:cs="Calibri" w:eastAsia="Calibri" w:hAnsi="Calibri"/>
          <w:color w:val="1A2332"/>
          <w:sz w:val="21"/>
          <w:szCs w:val="21"/>
        </w:rPr>
        <w:t xml:space="preserve">L’export /api/fsc/registre couvre les réceptions FSC et les dossiers FSC. Il ne contient aucune expédition. C’est pourtant le document que l’auditeur voudra en premier : la liste des ventes sous claim sur la période.</w:t>
      </w:r>
    </w:p>
    <w:p>
      <w:pPr>
        <w:pStyle w:val="Heading2"/>
        <w:spacing w:after="120" w:before="260"/>
      </w:pPr>
      <w:r>
        <w:rPr>
          <w:rFonts w:ascii="Calibri" w:cs="Calibri" w:eastAsia="Calibri" w:hAnsi="Calibri"/>
          <w:b/>
          <w:bCs/>
          <w:color w:val="3A7BD5"/>
          <w:sz w:val="25"/>
          <w:szCs w:val="25"/>
        </w:rPr>
        <w:t xml:space="preserve">4.11 À documenter hors outil — audit interne et formation</w:t>
      </w:r>
    </w:p>
    <w:p>
      <w:pPr>
        <w:spacing w:after="140" w:before="0"/>
      </w:pPr>
      <w:r>
        <w:rPr>
          <w:rFonts w:ascii="Calibri" w:cs="Calibri" w:eastAsia="Calibri" w:hAnsi="Calibri"/>
          <w:color w:val="1A2332"/>
          <w:sz w:val="21"/>
          <w:szCs w:val="21"/>
        </w:rPr>
        <w:t xml:space="preserve">Aucun module d’audit interne annuel : /api/fsc/controles calcule des écarts à la volée mais ne persiste ni horodatage, ni conclusion, ni responsable. Les audits présents dans le module Qualité sont des audits reçus de clients, autre sujet. Le registre de formation du personnel reste également à tenir hors MySifa.</w:t>
      </w:r>
    </w:p>
    <w:p>
      <w:r>
        <w:br w:type="page"/>
      </w:r>
    </w:p>
    <w:p>
      <w:pPr>
        <w:pStyle w:val="Heading1"/>
        <w:spacing w:after="180" w:before="360"/>
      </w:pPr>
      <w:r>
        <w:rPr>
          <w:rFonts w:ascii="Calibri" w:cs="Calibri" w:eastAsia="Calibri" w:hAnsi="Calibri"/>
          <w:b/>
          <w:bCs/>
          <w:color w:val="2D4163"/>
          <w:sz w:val="32"/>
          <w:szCs w:val="32"/>
        </w:rPr>
        <w:t xml:space="preserve">5. Protocole d’audit à blanc</w:t>
      </w:r>
    </w:p>
    <w:p>
      <w:pPr>
        <w:spacing w:after="140" w:before="0"/>
      </w:pPr>
      <w:r>
        <w:rPr>
          <w:rFonts w:ascii="Calibri" w:cs="Calibri" w:eastAsia="Calibri" w:hAnsi="Calibri"/>
          <w:color w:val="1A2332"/>
          <w:sz w:val="21"/>
          <w:szCs w:val="21"/>
        </w:rPr>
        <w:t xml:space="preserve">À jouer une fois les deux points bloquants corrigés. L’objectif n’est pas de valider MySifa, c’est de reproduire ce qu’un auditeur fera — sans l’aider.</w:t>
      </w:r>
    </w:p>
    <w:p>
      <w:pPr>
        <w:pStyle w:val="Heading2"/>
        <w:spacing w:after="120" w:before="260"/>
      </w:pPr>
      <w:r>
        <w:rPr>
          <w:rFonts w:ascii="Calibri" w:cs="Calibri" w:eastAsia="Calibri" w:hAnsi="Calibri"/>
          <w:b/>
          <w:bCs/>
          <w:color w:val="3A7BD5"/>
          <w:sz w:val="25"/>
          <w:szCs w:val="25"/>
        </w:rPr>
        <w:t xml:space="preserve">Étape 0 — Constituer l’échantillon (30 min)</w:t>
      </w:r>
    </w:p>
    <w:p>
      <w:pPr>
        <w:spacing w:after="140" w:before="0"/>
      </w:pPr>
      <w:r>
        <w:rPr>
          <w:rFonts w:ascii="Calibri" w:cs="Calibri" w:eastAsia="Calibri" w:hAnsi="Calibri"/>
          <w:color w:val="1A2332"/>
          <w:sz w:val="21"/>
          <w:szCs w:val="21"/>
        </w:rPr>
        <w:t xml:space="preserve">Tirer 10 bons de livraison sur les trois derniers mois, depuis l’ERP et non depuis MySifa. L’auditeur part toujours du document de vente. Composer l’échantillon ainsi :</w:t>
      </w:r>
    </w:p>
    <w:p>
      <w:pPr>
        <w:pStyle w:val="ListParagraph"/>
        <w:numPr>
          <w:ilvl w:val="0"/>
          <w:numId w:val="2"/>
        </w:numPr>
        <w:spacing w:after="80"/>
      </w:pPr>
      <w:r>
        <w:rPr>
          <w:rFonts w:ascii="Calibri" w:cs="Calibri" w:eastAsia="Calibri" w:hAnsi="Calibri"/>
          <w:color w:val="1A2332"/>
          <w:sz w:val="21"/>
          <w:szCs w:val="21"/>
        </w:rPr>
        <w:t xml:space="preserve">4 BL de production sous claim FSC</w:t>
      </w:r>
    </w:p>
    <w:p>
      <w:pPr>
        <w:pStyle w:val="ListParagraph"/>
        <w:numPr>
          <w:ilvl w:val="0"/>
          <w:numId w:val="2"/>
        </w:numPr>
        <w:spacing w:after="80"/>
      </w:pPr>
      <w:r>
        <w:rPr>
          <w:rFonts w:ascii="Calibri" w:cs="Calibri" w:eastAsia="Calibri" w:hAnsi="Calibri"/>
          <w:color w:val="1A2332"/>
          <w:sz w:val="21"/>
          <w:szCs w:val="21"/>
        </w:rPr>
        <w:t xml:space="preserve">2 BL de production sans claim (un contrôle négatif : aucune mention FSC ne doit apparaître)</w:t>
      </w:r>
    </w:p>
    <w:p>
      <w:pPr>
        <w:pStyle w:val="ListParagraph"/>
        <w:numPr>
          <w:ilvl w:val="0"/>
          <w:numId w:val="2"/>
        </w:numPr>
        <w:spacing w:after="80"/>
      </w:pPr>
      <w:r>
        <w:rPr>
          <w:rFonts w:ascii="Calibri" w:cs="Calibri" w:eastAsia="Calibri" w:hAnsi="Calibri"/>
          <w:color w:val="1A2332"/>
          <w:sz w:val="21"/>
          <w:szCs w:val="21"/>
        </w:rPr>
        <w:t xml:space="preserve">1 BL de négoce en transit (régime A1)</w:t>
      </w:r>
    </w:p>
    <w:p>
      <w:pPr>
        <w:pStyle w:val="ListParagraph"/>
        <w:numPr>
          <w:ilvl w:val="0"/>
          <w:numId w:val="2"/>
        </w:numPr>
        <w:spacing w:after="80"/>
      </w:pPr>
      <w:r>
        <w:rPr>
          <w:rFonts w:ascii="Calibri" w:cs="Calibri" w:eastAsia="Calibri" w:hAnsi="Calibri"/>
          <w:color w:val="1A2332"/>
          <w:sz w:val="21"/>
          <w:szCs w:val="21"/>
        </w:rPr>
        <w:t xml:space="preserve">1 BL de livraison directe partenaire → client (régime A2)</w:t>
      </w:r>
    </w:p>
    <w:p>
      <w:pPr>
        <w:pStyle w:val="ListParagraph"/>
        <w:numPr>
          <w:ilvl w:val="0"/>
          <w:numId w:val="2"/>
        </w:numPr>
        <w:spacing w:after="80"/>
      </w:pPr>
      <w:r>
        <w:rPr>
          <w:rFonts w:ascii="Calibri" w:cs="Calibri" w:eastAsia="Calibri" w:hAnsi="Calibri"/>
          <w:color w:val="1A2332"/>
          <w:sz w:val="21"/>
          <w:szCs w:val="21"/>
        </w:rPr>
        <w:t xml:space="preserve">1 BL regroupant plusieurs OF, si le cas existe — c’est le cas que MySifa ne sait pas représenter</w:t>
      </w:r>
    </w:p>
    <w:p>
      <w:pPr>
        <w:pStyle w:val="ListParagraph"/>
        <w:numPr>
          <w:ilvl w:val="0"/>
          <w:numId w:val="2"/>
        </w:numPr>
        <w:spacing w:after="80"/>
      </w:pPr>
      <w:r>
        <w:rPr>
          <w:rFonts w:ascii="Calibri" w:cs="Calibri" w:eastAsia="Calibri" w:hAnsi="Calibri"/>
          <w:color w:val="1A2332"/>
          <w:sz w:val="21"/>
          <w:szCs w:val="21"/>
        </w:rPr>
        <w:t xml:space="preserve">1 BL antérieur à la migration du 1er août, pour mesurer ce que valent les liens reconstitués</w:t>
      </w:r>
    </w:p>
    <w:p>
      <w:pPr>
        <w:spacing w:after="140" w:before="0"/>
      </w:pPr>
      <w:r>
        <w:rPr>
          <w:rFonts w:ascii="Calibri" w:cs="Calibri" w:eastAsia="Calibri" w:hAnsi="Calibri"/>
          <w:i/>
          <w:iCs/>
          <w:color w:val="64748B"/>
          <w:sz w:val="21"/>
          <w:szCs w:val="21"/>
        </w:rPr>
        <w:t xml:space="preserve">Noter les 10 numéros sur la fiche de relevé avant de commencer. Ne pas les changer en cours de route : un échantillon qu’on ajuste quand ça coince ne mesure plus rien.</w:t>
      </w:r>
    </w:p>
    <w:p>
      <w:pPr>
        <w:pStyle w:val="Heading2"/>
        <w:spacing w:after="120" w:before="260"/>
      </w:pPr>
      <w:r>
        <w:rPr>
          <w:rFonts w:ascii="Calibri" w:cs="Calibri" w:eastAsia="Calibri" w:hAnsi="Calibri"/>
          <w:b/>
          <w:bCs/>
          <w:color w:val="3A7BD5"/>
          <w:sz w:val="25"/>
          <w:szCs w:val="25"/>
        </w:rPr>
        <w:t xml:space="preserve">Étape 1 — Entrer dans MySifa par le numéro de BL</w:t>
      </w:r>
    </w:p>
    <w:p>
      <w:pPr>
        <w:spacing w:after="140" w:before="0"/>
      </w:pPr>
      <w:r>
        <w:rPr>
          <w:rFonts w:ascii="Calibri" w:cs="Calibri" w:eastAsia="Calibri" w:hAnsi="Calibri"/>
          <w:color w:val="1A2332"/>
          <w:sz w:val="21"/>
          <w:szCs w:val="21"/>
        </w:rPr>
        <w:t xml:space="preserve">MyProd → Traçabilité → Traceur. Coller le numéro de BL dans le champ unique, sans choisir de type de recherche.</w:t>
      </w:r>
    </w:p>
    <w:p>
      <w:pPr>
        <w:pStyle w:val="ListParagraph"/>
        <w:numPr>
          <w:ilvl w:val="0"/>
          <w:numId w:val="2"/>
        </w:numPr>
        <w:spacing w:after="80"/>
      </w:pPr>
      <w:r>
        <w:rPr>
          <w:rFonts w:ascii="Calibri" w:cs="Calibri" w:eastAsia="Calibri" w:hAnsi="Calibri"/>
          <w:color w:val="1A2332"/>
          <w:sz w:val="21"/>
          <w:szCs w:val="21"/>
        </w:rPr>
        <w:t xml:space="preserve">Le traceur reconnaît-il le BL ? (sinon : M1 en échec — noter si c’est une faute de frappe ou un départ absent)</w:t>
      </w:r>
    </w:p>
    <w:p>
      <w:pPr>
        <w:pStyle w:val="ListParagraph"/>
        <w:numPr>
          <w:ilvl w:val="0"/>
          <w:numId w:val="2"/>
        </w:numPr>
        <w:spacing w:after="80"/>
      </w:pPr>
      <w:r>
        <w:rPr>
          <w:rFonts w:ascii="Calibri" w:cs="Calibri" w:eastAsia="Calibri" w:hAnsi="Calibri"/>
          <w:color w:val="1A2332"/>
          <w:sz w:val="21"/>
          <w:szCs w:val="21"/>
        </w:rPr>
        <w:t xml:space="preserve">Plusieurs candidats remontent-ils pour le même numéro ? (doublon de BL)</w:t>
      </w:r>
    </w:p>
    <w:p>
      <w:pPr>
        <w:pStyle w:val="Heading2"/>
        <w:spacing w:after="120" w:before="260"/>
      </w:pPr>
      <w:r>
        <w:rPr>
          <w:rFonts w:ascii="Calibri" w:cs="Calibri" w:eastAsia="Calibri" w:hAnsi="Calibri"/>
          <w:b/>
          <w:bCs/>
          <w:color w:val="3A7BD5"/>
          <w:sz w:val="25"/>
          <w:szCs w:val="25"/>
        </w:rPr>
        <w:t xml:space="preserve">Étape 2 — Remonter au dossier</w:t>
      </w:r>
    </w:p>
    <w:p>
      <w:pPr>
        <w:pStyle w:val="ListParagraph"/>
        <w:numPr>
          <w:ilvl w:val="0"/>
          <w:numId w:val="2"/>
        </w:numPr>
        <w:spacing w:after="80"/>
      </w:pPr>
      <w:r>
        <w:rPr>
          <w:rFonts w:ascii="Calibri" w:cs="Calibri" w:eastAsia="Calibri" w:hAnsi="Calibri"/>
          <w:color w:val="1A2332"/>
          <w:sz w:val="21"/>
          <w:szCs w:val="21"/>
        </w:rPr>
        <w:t xml:space="preserve">Le départ est-il rattaché à un dossier ?</w:t>
      </w:r>
    </w:p>
    <w:p>
      <w:pPr>
        <w:pStyle w:val="ListParagraph"/>
        <w:numPr>
          <w:ilvl w:val="0"/>
          <w:numId w:val="2"/>
        </w:numPr>
        <w:spacing w:after="80"/>
      </w:pPr>
      <w:r>
        <w:rPr>
          <w:rFonts w:ascii="Calibri" w:cs="Calibri" w:eastAsia="Calibri" w:hAnsi="Calibri"/>
          <w:color w:val="1A2332"/>
          <w:sz w:val="21"/>
          <w:szCs w:val="21"/>
        </w:rPr>
        <w:t xml:space="preserve">Le lien est-il « saisi » ou affiché en dégradé comme « reconstitué » ?</w:t>
      </w:r>
    </w:p>
    <w:p>
      <w:pPr>
        <w:pStyle w:val="ListParagraph"/>
        <w:numPr>
          <w:ilvl w:val="0"/>
          <w:numId w:val="2"/>
        </w:numPr>
        <w:spacing w:after="80"/>
      </w:pPr>
      <w:r>
        <w:rPr>
          <w:rFonts w:ascii="Calibri" w:cs="Calibri" w:eastAsia="Calibri" w:hAnsi="Calibri"/>
          <w:color w:val="1A2332"/>
          <w:sz w:val="21"/>
          <w:szCs w:val="21"/>
        </w:rPr>
        <w:t xml:space="preserve">Si le BL couvre plusieurs OF : combien MySifa en montre-t-il ? (attendu : un seul — noter l’écart)</w:t>
      </w:r>
    </w:p>
    <w:p>
      <w:pPr>
        <w:pStyle w:val="Heading2"/>
        <w:spacing w:after="120" w:before="260"/>
      </w:pPr>
      <w:r>
        <w:rPr>
          <w:rFonts w:ascii="Calibri" w:cs="Calibri" w:eastAsia="Calibri" w:hAnsi="Calibri"/>
          <w:b/>
          <w:bCs/>
          <w:color w:val="3A7BD5"/>
          <w:sz w:val="25"/>
          <w:szCs w:val="25"/>
        </w:rPr>
        <w:t xml:space="preserve">Étape 3 — Descendre au lot et remonter au dossier de fabrication</w:t>
      </w:r>
    </w:p>
    <w:p>
      <w:pPr>
        <w:pStyle w:val="ListParagraph"/>
        <w:numPr>
          <w:ilvl w:val="0"/>
          <w:numId w:val="2"/>
        </w:numPr>
        <w:spacing w:after="80"/>
      </w:pPr>
      <w:r>
        <w:rPr>
          <w:rFonts w:ascii="Calibri" w:cs="Calibri" w:eastAsia="Calibri" w:hAnsi="Calibri"/>
          <w:color w:val="1A2332"/>
          <w:sz w:val="21"/>
          <w:szCs w:val="21"/>
        </w:rPr>
        <w:t xml:space="preserve">Des lots de produit fini sont-ils rattachés au dossier ?</w:t>
      </w:r>
    </w:p>
    <w:p>
      <w:pPr>
        <w:pStyle w:val="ListParagraph"/>
        <w:numPr>
          <w:ilvl w:val="0"/>
          <w:numId w:val="2"/>
        </w:numPr>
        <w:spacing w:after="80"/>
      </w:pPr>
      <w:r>
        <w:rPr>
          <w:rFonts w:ascii="Calibri" w:cs="Calibri" w:eastAsia="Calibri" w:hAnsi="Calibri"/>
          <w:color w:val="1A2332"/>
          <w:sz w:val="21"/>
          <w:szCs w:val="21"/>
        </w:rPr>
        <w:t xml:space="preserve">La quantité produite est-elle cohérente avec le nombre de palettes du BL ?</w:t>
      </w:r>
    </w:p>
    <w:p>
      <w:pPr>
        <w:pStyle w:val="ListParagraph"/>
        <w:numPr>
          <w:ilvl w:val="0"/>
          <w:numId w:val="2"/>
        </w:numPr>
        <w:spacing w:after="80"/>
      </w:pPr>
      <w:r>
        <w:rPr>
          <w:rFonts w:ascii="Calibri" w:cs="Calibri" w:eastAsia="Calibri" w:hAnsi="Calibri"/>
          <w:color w:val="1A2332"/>
          <w:sz w:val="21"/>
          <w:szCs w:val="21"/>
        </w:rPr>
        <w:t xml:space="preserve">Peut-on dire quelle palette précise est partie sur ce BL ? (attendu aujourd’hui : non — c’est l’écart 4 du tableau)</w:t>
      </w:r>
    </w:p>
    <w:p>
      <w:pPr>
        <w:pStyle w:val="Heading2"/>
        <w:spacing w:after="120" w:before="260"/>
      </w:pPr>
      <w:r>
        <w:rPr>
          <w:rFonts w:ascii="Calibri" w:cs="Calibri" w:eastAsia="Calibri" w:hAnsi="Calibri"/>
          <w:b/>
          <w:bCs/>
          <w:color w:val="3A7BD5"/>
          <w:sz w:val="25"/>
          <w:szCs w:val="25"/>
        </w:rPr>
        <w:t xml:space="preserve">Étape 4 — Remonter à la matière</w:t>
      </w:r>
    </w:p>
    <w:p>
      <w:pPr>
        <w:pStyle w:val="ListParagraph"/>
        <w:numPr>
          <w:ilvl w:val="0"/>
          <w:numId w:val="2"/>
        </w:numPr>
        <w:spacing w:after="80"/>
      </w:pPr>
      <w:r>
        <w:rPr>
          <w:rFonts w:ascii="Calibri" w:cs="Calibri" w:eastAsia="Calibri" w:hAnsi="Calibri"/>
          <w:color w:val="1A2332"/>
          <w:sz w:val="21"/>
          <w:szCs w:val="21"/>
        </w:rPr>
        <w:t xml:space="preserve">Combien de bobines scannées sur le dossier ? Zéro est une non-conformité immédiate sur un dossier FSC.</w:t>
      </w:r>
    </w:p>
    <w:p>
      <w:pPr>
        <w:pStyle w:val="ListParagraph"/>
        <w:numPr>
          <w:ilvl w:val="0"/>
          <w:numId w:val="2"/>
        </w:numPr>
        <w:spacing w:after="80"/>
      </w:pPr>
      <w:r>
        <w:rPr>
          <w:rFonts w:ascii="Calibri" w:cs="Calibri" w:eastAsia="Calibri" w:hAnsi="Calibri"/>
          <w:color w:val="1A2332"/>
          <w:sz w:val="21"/>
          <w:szCs w:val="21"/>
        </w:rPr>
        <w:t xml:space="preserve">Chaque bobine a-t-elle un fournisseur et un n° de certificat ?</w:t>
      </w:r>
    </w:p>
    <w:p>
      <w:pPr>
        <w:pStyle w:val="ListParagraph"/>
        <w:numPr>
          <w:ilvl w:val="0"/>
          <w:numId w:val="2"/>
        </w:numPr>
        <w:spacing w:after="80"/>
      </w:pPr>
      <w:r>
        <w:rPr>
          <w:rFonts w:ascii="Calibri" w:cs="Calibri" w:eastAsia="Calibri" w:hAnsi="Calibri"/>
          <w:color w:val="1A2332"/>
          <w:sz w:val="21"/>
          <w:szCs w:val="21"/>
        </w:rPr>
        <w:t xml:space="preserve">Le mode de liaison est-il « réception » (scan rapproché automatiquement) ou « manuel » (saisi à la main) ?</w:t>
      </w:r>
    </w:p>
    <w:p>
      <w:pPr>
        <w:pStyle w:val="ListParagraph"/>
        <w:numPr>
          <w:ilvl w:val="0"/>
          <w:numId w:val="2"/>
        </w:numPr>
        <w:spacing w:after="80"/>
      </w:pPr>
      <w:r>
        <w:rPr>
          <w:rFonts w:ascii="Calibri" w:cs="Calibri" w:eastAsia="Calibri" w:hAnsi="Calibri"/>
          <w:color w:val="1A2332"/>
          <w:sz w:val="21"/>
          <w:szCs w:val="21"/>
        </w:rPr>
        <w:t xml:space="preserve">Des alertes FSC ont-elles été confirmées en production ? Lire la raison saisie par l’opérateur.</w:t>
      </w:r>
    </w:p>
    <w:p>
      <w:pPr>
        <w:pStyle w:val="Heading2"/>
        <w:spacing w:after="120" w:before="260"/>
      </w:pPr>
      <w:r>
        <w:rPr>
          <w:rFonts w:ascii="Calibri" w:cs="Calibri" w:eastAsia="Calibri" w:hAnsi="Calibri"/>
          <w:b/>
          <w:bCs/>
          <w:color w:val="3A7BD5"/>
          <w:sz w:val="25"/>
          <w:szCs w:val="25"/>
        </w:rPr>
        <w:t xml:space="preserve">Étape 5 — Vérifier le certificat à la date, pas à aujourd’hui</w:t>
      </w:r>
    </w:p>
    <w:p>
      <w:pPr>
        <w:pStyle w:val="ListParagraph"/>
        <w:numPr>
          <w:ilvl w:val="0"/>
          <w:numId w:val="2"/>
        </w:numPr>
        <w:spacing w:after="80"/>
      </w:pPr>
      <w:r>
        <w:rPr>
          <w:rFonts w:ascii="Calibri" w:cs="Calibri" w:eastAsia="Calibri" w:hAnsi="Calibri"/>
          <w:color w:val="1A2332"/>
          <w:sz w:val="21"/>
          <w:szCs w:val="21"/>
        </w:rPr>
        <w:t xml:space="preserve">Le certificat du fournisseur était-il valide le jour de la réception de la bobine ?</w:t>
      </w:r>
    </w:p>
    <w:p>
      <w:pPr>
        <w:pStyle w:val="ListParagraph"/>
        <w:numPr>
          <w:ilvl w:val="0"/>
          <w:numId w:val="2"/>
        </w:numPr>
        <w:spacing w:after="80"/>
      </w:pPr>
      <w:r>
        <w:rPr>
          <w:rFonts w:ascii="Calibri" w:cs="Calibri" w:eastAsia="Calibri" w:hAnsi="Calibri"/>
          <w:color w:val="1A2332"/>
          <w:sz w:val="21"/>
          <w:szCs w:val="21"/>
        </w:rPr>
        <w:t xml:space="preserve">Le certificat est-il retrouvable sur le BL fournisseur papier ou numérique ?</w:t>
      </w:r>
    </w:p>
    <w:p>
      <w:pPr>
        <w:pStyle w:val="ListParagraph"/>
        <w:numPr>
          <w:ilvl w:val="0"/>
          <w:numId w:val="2"/>
        </w:numPr>
        <w:spacing w:after="80"/>
      </w:pPr>
      <w:r>
        <w:rPr>
          <w:rFonts w:ascii="Calibri" w:cs="Calibri" w:eastAsia="Calibri" w:hAnsi="Calibri"/>
          <w:color w:val="1A2332"/>
          <w:sz w:val="21"/>
          <w:szCs w:val="21"/>
        </w:rPr>
        <w:t xml:space="preserve">Le claim de la matière est-il au moins égal au claim exigé par le dossier ?</w:t>
      </w:r>
    </w:p>
    <w:p>
      <w:pPr>
        <w:pStyle w:val="Heading2"/>
        <w:spacing w:after="120" w:before="260"/>
      </w:pPr>
      <w:r>
        <w:rPr>
          <w:rFonts w:ascii="Calibri" w:cs="Calibri" w:eastAsia="Calibri" w:hAnsi="Calibri"/>
          <w:b/>
          <w:bCs/>
          <w:color w:val="3A7BD5"/>
          <w:sz w:val="25"/>
          <w:szCs w:val="25"/>
        </w:rPr>
        <w:t xml:space="preserve">Étape 6 — Refermer sur le document de vente</w:t>
      </w:r>
    </w:p>
    <w:p>
      <w:pPr>
        <w:pStyle w:val="ListParagraph"/>
        <w:numPr>
          <w:ilvl w:val="0"/>
          <w:numId w:val="2"/>
        </w:numPr>
        <w:spacing w:after="80"/>
      </w:pPr>
      <w:r>
        <w:rPr>
          <w:rFonts w:ascii="Calibri" w:cs="Calibri" w:eastAsia="Calibri" w:hAnsi="Calibri"/>
          <w:color w:val="1A2332"/>
          <w:sz w:val="21"/>
          <w:szCs w:val="21"/>
        </w:rPr>
        <w:t xml:space="preserve">La mention FSC portée sur le BL et la facture ERP correspond-elle au claim que MySifa calcule ?</w:t>
      </w:r>
    </w:p>
    <w:p>
      <w:pPr>
        <w:pStyle w:val="ListParagraph"/>
        <w:numPr>
          <w:ilvl w:val="0"/>
          <w:numId w:val="2"/>
        </w:numPr>
        <w:spacing w:after="80"/>
      </w:pPr>
      <w:r>
        <w:rPr>
          <w:rFonts w:ascii="Calibri" w:cs="Calibri" w:eastAsia="Calibri" w:hAnsi="Calibri"/>
          <w:color w:val="1A2332"/>
          <w:sz w:val="21"/>
          <w:szCs w:val="21"/>
        </w:rPr>
        <w:t xml:space="preserve">La licence FSC de SIFA y figure-t-elle ?</w:t>
      </w:r>
    </w:p>
    <w:p>
      <w:pPr>
        <w:pStyle w:val="ListParagraph"/>
        <w:numPr>
          <w:ilvl w:val="0"/>
          <w:numId w:val="2"/>
        </w:numPr>
        <w:spacing w:after="80"/>
      </w:pPr>
      <w:r>
        <w:rPr>
          <w:rFonts w:ascii="Calibri" w:cs="Calibri" w:eastAsia="Calibri" w:hAnsi="Calibri"/>
          <w:color w:val="1A2332"/>
          <w:sz w:val="21"/>
          <w:szCs w:val="21"/>
        </w:rPr>
        <w:t xml:space="preserve">Sur les 2 BL de contrôle négatif : aucune mention FSC ne doit apparaître. Une mention indue est une non-conformité aussi grave qu’une mention manquante.</w:t>
      </w:r>
    </w:p>
    <w:p>
      <w:pPr>
        <w:pStyle w:val="Heading2"/>
        <w:spacing w:after="120" w:before="260"/>
      </w:pPr>
      <w:r>
        <w:rPr>
          <w:rFonts w:ascii="Calibri" w:cs="Calibri" w:eastAsia="Calibri" w:hAnsi="Calibri"/>
          <w:b/>
          <w:bCs/>
          <w:color w:val="3A7BD5"/>
          <w:sz w:val="25"/>
          <w:szCs w:val="25"/>
        </w:rPr>
        <w:t xml:space="preserve">Étape 7 — Chronométrer</w:t>
      </w:r>
    </w:p>
    <w:p>
      <w:pPr>
        <w:spacing w:after="140" w:before="0"/>
      </w:pPr>
      <w:r>
        <w:rPr>
          <w:rFonts w:ascii="Calibri" w:cs="Calibri" w:eastAsia="Calibri" w:hAnsi="Calibri"/>
          <w:color w:val="1A2332"/>
          <w:sz w:val="21"/>
          <w:szCs w:val="21"/>
        </w:rPr>
        <w:t xml:space="preserve">Noter le temps passé sur chaque BL. Un auditeur accorde rarement plus de quinze minutes à un échantillon. Si remonter la chaîne prend une heure et trois appels téléphoniques, le constat est le même que si l’information n’existait pas.</w:t>
      </w:r>
    </w:p>
    <w:p>
      <w:r>
        <w:br w:type="page"/>
      </w:r>
    </w:p>
    <w:p>
      <w:pPr>
        <w:pStyle w:val="Heading1"/>
        <w:spacing w:after="180" w:before="360"/>
      </w:pPr>
      <w:r>
        <w:rPr>
          <w:rFonts w:ascii="Calibri" w:cs="Calibri" w:eastAsia="Calibri" w:hAnsi="Calibri"/>
          <w:b/>
          <w:bCs/>
          <w:color w:val="2D4163"/>
          <w:sz w:val="32"/>
          <w:szCs w:val="32"/>
        </w:rPr>
        <w:t xml:space="preserve">6. Fiche de relevé</w:t>
      </w:r>
    </w:p>
    <w:p>
      <w:pPr>
        <w:spacing w:after="140" w:before="0"/>
      </w:pPr>
      <w:r>
        <w:rPr>
          <w:rFonts w:ascii="Calibri" w:cs="Calibri" w:eastAsia="Calibri" w:hAnsi="Calibri"/>
          <w:color w:val="1A2332"/>
          <w:sz w:val="21"/>
          <w:szCs w:val="21"/>
        </w:rPr>
        <w:t xml:space="preserve">Une ligne par BL. Coter chaque maillon O (démontré) / R (reconstitué, à justifier) / N (non démontré).</w:t>
      </w:r>
    </w:p>
    <w:tbl>
      <w:tblPr>
        <w:tblW w:type="dxa" w:w="9020"/>
        <w:tblBorders>
          <w:top w:val="single" w:color="C9D2E0" w:sz="2"/>
          <w:left w:val="single" w:color="C9D2E0" w:sz="2"/>
          <w:bottom w:val="single" w:color="C9D2E0" w:sz="2"/>
          <w:right w:val="single" w:color="C9D2E0" w:sz="2"/>
          <w:insideH w:val="single" w:color="C9D2E0" w:sz="2"/>
          <w:insideV w:val="single" w:color="C9D2E0" w:sz="2"/>
        </w:tblBorders>
      </w:tblPr>
      <w:tblGrid>
        <w:gridCol w:w="1700"/>
        <w:gridCol w:w="700"/>
        <w:gridCol w:w="700"/>
        <w:gridCol w:w="700"/>
        <w:gridCol w:w="700"/>
        <w:gridCol w:w="700"/>
        <w:gridCol w:w="700"/>
        <w:gridCol w:w="700"/>
        <w:gridCol w:w="700"/>
        <w:gridCol w:w="1720"/>
      </w:tblGrid>
      <w:tr>
        <w:trPr>
          <w:cantSplit/>
          <w:tblHeader/>
        </w:trPr>
        <w:tc>
          <w:tcPr>
            <w:tcW w:type="dxa" w:w="1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N° BL</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M1</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M2</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M3</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M4</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M5</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M6</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M7</w:t>
            </w:r>
          </w:p>
        </w:tc>
        <w:tc>
          <w:tcPr>
            <w:tcW w:type="dxa" w:w="7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M8</w:t>
            </w:r>
          </w:p>
        </w:tc>
        <w:tc>
          <w:tcPr>
            <w:tcW w:type="dxa" w:w="172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Temps / remarque</w:t>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r>
        <w:trPr>
          <w:cantSplit/>
        </w:trPr>
        <w:tc>
          <w:tcPr>
            <w:tcW w:type="dxa" w:w="1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7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c>
          <w:tcPr>
            <w:tcW w:type="dxa" w:w="17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
            </w:r>
          </w:p>
        </w:tc>
      </w:tr>
    </w:tbl>
    <w:p>
      <w:pPr>
        <w:spacing w:after="200" w:before="0"/>
      </w:pPr>
      <w:r>
        <w:rPr>
          <w:rFonts w:ascii="Calibri" w:cs="Calibri" w:eastAsia="Calibri" w:hAnsi="Calibri"/>
          <w:color w:val="1A2332"/>
          <w:sz w:val="21"/>
          <w:szCs w:val="21"/>
        </w:rPr>
        <w:t xml:space="preserve"/>
      </w:r>
    </w:p>
    <w:p>
      <w:pPr>
        <w:spacing w:after="140" w:before="0"/>
      </w:pPr>
      <w:r>
        <w:rPr>
          <w:rFonts w:ascii="Calibri" w:cs="Calibri" w:eastAsia="Calibri" w:hAnsi="Calibri"/>
          <w:color w:val="1A2332"/>
          <w:sz w:val="21"/>
          <w:szCs w:val="21"/>
        </w:rPr>
        <w:t xml:space="preserve">Lecture du résultat : un seul N sur M5, M6 ou M7 suffit à casser le claim de la vente concernée. Un N sur M2 signifie que la chaîne n’a pas pu être testée du tout — ce n’est pas un échec de traçabilité, c’est un échec d’instrumentation, et il se corrige en développement.</w:t>
      </w:r>
    </w:p>
    <w:p>
      <w:pPr>
        <w:pStyle w:val="Heading1"/>
        <w:spacing w:after="180" w:before="360"/>
      </w:pPr>
      <w:r>
        <w:rPr>
          <w:rFonts w:ascii="Calibri" w:cs="Calibri" w:eastAsia="Calibri" w:hAnsi="Calibri"/>
          <w:b/>
          <w:bCs/>
          <w:color w:val="2D4163"/>
          <w:sz w:val="32"/>
          <w:szCs w:val="32"/>
        </w:rPr>
        <w:t xml:space="preserve">7. Ce qu’il reste à faire, par ordre</w:t>
      </w:r>
    </w:p>
    <w:tbl>
      <w:tblPr>
        <w:tblW w:type="dxa" w:w="9020"/>
        <w:tblBorders>
          <w:top w:val="single" w:color="C9D2E0" w:sz="2"/>
          <w:left w:val="single" w:color="C9D2E0" w:sz="2"/>
          <w:bottom w:val="single" w:color="C9D2E0" w:sz="2"/>
          <w:right w:val="single" w:color="C9D2E0" w:sz="2"/>
          <w:insideH w:val="single" w:color="C9D2E0" w:sz="2"/>
          <w:insideV w:val="single" w:color="C9D2E0" w:sz="2"/>
        </w:tblBorders>
      </w:tblPr>
      <w:tblGrid>
        <w:gridCol w:w="620"/>
        <w:gridCol w:w="4400"/>
        <w:gridCol w:w="1500"/>
        <w:gridCol w:w="2500"/>
      </w:tblGrid>
      <w:tr>
        <w:trPr>
          <w:cantSplit/>
          <w:tblHeader/>
        </w:trPr>
        <w:tc>
          <w:tcPr>
            <w:tcW w:type="dxa" w:w="62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w:t>
            </w:r>
          </w:p>
        </w:tc>
        <w:tc>
          <w:tcPr>
            <w:tcW w:type="dxa" w:w="44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Action</w:t>
            </w:r>
          </w:p>
        </w:tc>
        <w:tc>
          <w:tcPr>
            <w:tcW w:type="dxa" w:w="15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Nature</w:t>
            </w:r>
          </w:p>
        </w:tc>
        <w:tc>
          <w:tcPr>
            <w:tcW w:type="dxa" w:w="2500"/>
            <w:shd w:fill="2D4163" w:color="auto" w:val="clear"/>
            <w:tcMar>
              <w:top w:type="dxa" w:w="90"/>
              <w:left w:type="dxa" w:w="120"/>
              <w:bottom w:type="dxa" w:w="90"/>
              <w:right w:type="dxa" w:w="120"/>
            </w:tcMar>
            <w:vAlign w:val="center"/>
          </w:tcPr>
          <w:p>
            <w:pPr>
              <w:spacing w:after="0"/>
            </w:pPr>
            <w:r>
              <w:rPr>
                <w:rFonts w:ascii="Calibri" w:cs="Calibri" w:eastAsia="Calibri" w:hAnsi="Calibri"/>
                <w:b/>
                <w:bCs/>
                <w:color w:val="FFFFFF"/>
                <w:sz w:val="18"/>
                <w:szCs w:val="18"/>
              </w:rPr>
              <w:t xml:space="preserve">Avant quoi</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1</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Raccorder la chaîne FSC à planning_entry_id</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1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à blanc</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2</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Renseigner FSC_LICENCE_SIFA sur le serveur</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Config — 10 min</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à blanc</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3</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Figer le claim de sortie sur le départ à la validation</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1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de certification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4</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Étendre le garde-fou de suppression aux ventes fabriquées</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0,5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de certification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5</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Ajouter les expéditions au registre FSC exportable</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1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de certification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6</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Index unique sur code_barre + contrôle de doublon à la réception</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0,5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de certification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7</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Évaluer et figer la validité du certificat à la réception matière</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1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de certification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8</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Métrage réel par bobine + module de réconciliation des volumes</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3 à 5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Avant l’audit de certification</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9</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no_lot_fournisseur sur les bobines réceptionnées</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0,5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Phase 2</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10</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Claim typé sur le lot de produit fini</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2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Le jour où SIFA vend deux claims</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11</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Lier fournisseurs_fsc par clé étrangère, plus par nom</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Dette — 1 j</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Phase 2</w:t>
            </w:r>
          </w:p>
        </w:tc>
      </w:tr>
      <w:tr>
        <w:trPr>
          <w:cantSplit/>
        </w:trPr>
        <w:tc>
          <w:tcPr>
            <w:tcW w:type="dxa" w:w="62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12</w:t>
            </w:r>
          </w:p>
        </w:tc>
        <w:tc>
          <w:tcPr>
            <w:tcW w:type="dxa" w:w="44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Module d’audit interne annuel + registre de formation</w:t>
            </w:r>
          </w:p>
        </w:tc>
        <w:tc>
          <w:tcPr>
            <w:tcW w:type="dxa" w:w="1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Dév + process</w:t>
            </w:r>
          </w:p>
        </w:tc>
        <w:tc>
          <w:tcPr>
            <w:tcW w:type="dxa" w:w="2500"/>
            <w:tcMar>
              <w:top w:type="dxa" w:w="90"/>
              <w:left w:type="dxa" w:w="120"/>
              <w:bottom w:type="dxa" w:w="90"/>
              <w:right w:type="dxa" w:w="120"/>
            </w:tcMar>
            <w:vAlign w:val="center"/>
          </w:tcPr>
          <w:p>
            <w:pPr>
              <w:spacing w:after="0"/>
            </w:pPr>
            <w:r>
              <w:rPr>
                <w:rFonts w:ascii="Calibri" w:cs="Calibri" w:eastAsia="Calibri" w:hAnsi="Calibri"/>
                <w:color w:val="1A2332"/>
                <w:sz w:val="18"/>
                <w:szCs w:val="18"/>
              </w:rPr>
              <w:t xml:space="preserve">Maintien de la certification</w:t>
            </w:r>
          </w:p>
        </w:tc>
      </w:tr>
    </w:tbl>
    <w:p>
      <w:pPr>
        <w:spacing w:after="200" w:before="0"/>
      </w:pPr>
      <w:r>
        <w:rPr>
          <w:rFonts w:ascii="Calibri" w:cs="Calibri" w:eastAsia="Calibri" w:hAnsi="Calibri"/>
          <w:color w:val="1A2332"/>
          <w:sz w:val="21"/>
          <w:szCs w:val="21"/>
        </w:rPr>
        <w:t xml:space="preserve"/>
      </w:r>
    </w:p>
    <w:tbl>
      <w:tblPr>
        <w:tblW w:type="dxa" w:w="9020"/>
        <w:tblBorders>
          <w:top w:val="none"/>
          <w:left w:val="none"/>
          <w:bottom w:val="none"/>
          <w:right w:val="none"/>
          <w:insideH w:val="none"/>
          <w:insideV w:val="none"/>
        </w:tblBorders>
      </w:tblPr>
      <w:tblGrid>
        <w:gridCol w:w="9020"/>
      </w:tblGrid>
      <w:tr>
        <w:tc>
          <w:tcPr>
            <w:tcW w:type="dxa" w:w="9020"/>
            <w:shd w:fill="F4F6FA" w:color="auto" w:val="clear"/>
            <w:tcMar>
              <w:top w:type="dxa" w:w="200"/>
              <w:left w:type="dxa" w:w="220"/>
              <w:bottom w:type="dxa" w:w="200"/>
              <w:right w:type="dxa" w:w="220"/>
            </w:tcMar>
          </w:tcPr>
          <w:p>
            <w:pPr>
              <w:spacing w:after="100"/>
            </w:pPr>
            <w:r>
              <w:rPr>
                <w:rFonts w:ascii="Calibri" w:cs="Calibri" w:eastAsia="Calibri" w:hAnsi="Calibri"/>
                <w:b/>
                <w:bCs/>
                <w:color w:val="2D4163"/>
                <w:sz w:val="22"/>
                <w:szCs w:val="22"/>
              </w:rPr>
              <w:t xml:space="preserve">Ce que cet audit démontre</w:t>
            </w:r>
          </w:p>
          <w:p>
            <w:pPr>
              <w:spacing w:after="60"/>
            </w:pPr>
            <w:r>
              <w:rPr>
                <w:rFonts w:ascii="Calibri" w:cs="Calibri" w:eastAsia="Calibri" w:hAnsi="Calibri"/>
                <w:color w:val="1A2332"/>
                <w:sz w:val="20"/>
                <w:szCs w:val="20"/>
              </w:rPr>
              <w:t xml:space="preserve">La traçabilité matière de MySifa tient : le scan opérateur, la réception fournisseur et le lien bobine → dossier sont des données d’origine, horodatées et nominatives. C’est la partie difficile, et elle est faite.</w:t>
            </w:r>
          </w:p>
          <w:p>
            <w:pPr>
              <w:spacing w:after="60"/>
            </w:pPr>
            <w:r>
              <w:rPr>
                <w:rFonts w:ascii="Calibri" w:cs="Calibri" w:eastAsia="Calibri" w:hAnsi="Calibri"/>
                <w:color w:val="1A2332"/>
                <w:sz w:val="20"/>
                <w:szCs w:val="20"/>
              </w:rPr>
              <w:t xml:space="preserve">Ce qui manque n’est pas de la traçabilité, c’est du raccordement : deux modules FSC lisent un champ mort au lieu du champ que l’application remplit. Un jour de développement sépare une chaîne rompue d’une chaîne complète.</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Forge · Eugène Leconte · eugeneleconte@outlook.com  —  Fabriqué à Lille, déployé dans vos ateliers.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SIFA — Audit à blanc FSC : expéditions → traçabilité matière</dc:title>
  <dc:creator>Forge — Eugène Leconte</dc:creator>
  <cp:lastModifiedBy>Un-named</cp:lastModifiedBy>
  <cp:revision>1</cp:revision>
  <dcterms:created xsi:type="dcterms:W3CDTF">2026-08-06T09:17:53.367Z</dcterms:created>
  <dcterms:modified xsi:type="dcterms:W3CDTF">2026-08-06T09:17:53.367Z</dcterms:modified>
</cp:coreProperties>
</file>

<file path=docProps/custom.xml><?xml version="1.0" encoding="utf-8"?>
<Properties xmlns="http://schemas.openxmlformats.org/officeDocument/2006/custom-properties" xmlns:vt="http://schemas.openxmlformats.org/officeDocument/2006/docPropsVTypes"/>
</file>