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GUÍA DE USO DE DASHBORD</w:t>
      </w:r>
    </w:p>
    <w:p w:rsidR="00000000" w:rsidDel="00000000" w:rsidP="00000000" w:rsidRDefault="00000000" w:rsidRPr="00000000" w14:paraId="00000002">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En la página inicial del Dashbord podrán ver a la derecha de la imagen central, tres botones: “Reporte de ventas”, “Reporte de costos” y “Reporte de ganancias”.</w:t>
      </w:r>
    </w:p>
    <w:p w:rsidR="00000000" w:rsidDel="00000000" w:rsidP="00000000" w:rsidRDefault="00000000" w:rsidRPr="00000000" w14:paraId="00000003">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Al hacer clic en cada uno de ellos serán dirigidos a una hoja de cálculo independiente, en la cual podrán ver gráficos dinámicos y sus correspondientes tablas dinámicas inferiormente (para una información más detallada de los números).</w:t>
      </w:r>
    </w:p>
    <w:p w:rsidR="00000000" w:rsidDel="00000000" w:rsidP="00000000" w:rsidRDefault="00000000" w:rsidRPr="00000000" w14:paraId="00000004">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En la hoja correspondiente al “Reporte de ventas” podrán visualizar superiormente una serie de filtros (en la primera línea: año, categoría, método de envío y región, y en una segunda línea segmento, subcategoría, prioridad de la orden y mercado); los cuales les permitirán personalizar la visualización de gráficos y tablas dinámicas según sus necesidades, intereses o preguntas que puedan surgir. Inferiormente se encuentran los valores del Total de ventas, Total de costos y Total de ganancias, que se modificarán según el filtro aplicado. El filtro de año se encuentra ya seleccionado para mostrar los detalles del período 2013-2014, pero podría verse, si así se desea también 2011 y 2012. Por debajo, se encuentran los gráficos relativos a: Total de ventas por categoría, Total de ventas por subcategoría, Total de ventas por segmento, Total de ventas por año, Total de ventas por región, Total de ventas por mercado, Total de ventas por método de envío y Total de ventas por prioridad de la orden. Y finalmente, tenemos las tablas dinámicas con valores más detallados de totales.</w:t>
      </w:r>
    </w:p>
    <w:p w:rsidR="00000000" w:rsidDel="00000000" w:rsidP="00000000" w:rsidRDefault="00000000" w:rsidRPr="00000000" w14:paraId="00000005">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En la hoja correspondiente al “Reporte de costos” encontramos la misma información, pero respectiva a los costos. También superiormente hay una serie de filtros (en la primera línea: año, categoría, método de envío y región, y en una segunda línea: segmento, subcategoría, prioridad de la orden y mercado); los cuales les permitirán personalizar la visualización de gráficos y tablas dinámicas. Inferiormente se encuentran los valores del Total de ventas, Total de costos y Total de ganancias, que se modificarán según el filtro aplicado. El filtro de año se encuentra ya seleccionado para mostrar los detalles del período 2013-2014, pero podría verse, si así se desea también 2011 y 2012. Por debajo, se encuentran los gráficos relativos a: Total de costos por categoría, Total de costos por subcategoría, Total de costos por segmento, Total de costos por año, Total de costos por región, Total de costos por mercado, Total de costos por método de envío y Total de costos por prioridad de la orden. Y finalmente, las tablas dinámicas.</w:t>
      </w:r>
    </w:p>
    <w:p w:rsidR="00000000" w:rsidDel="00000000" w:rsidP="00000000" w:rsidRDefault="00000000" w:rsidRPr="00000000" w14:paraId="00000006">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En la última hoja, correspondiente al “Reporte de ganancias” encontramos la misma información, pero respectiva a los ganancias, con los filtros superiormente (en la primera línea: año, categoría, método de envío y región, y en una segunda línea: segmento, subcategoría, prioridad de la orden y mercado); los cuales les permitirán personalizar la visualización de gráficos y tablas dinámicas. Inferiormente hallamos los valores del Total de ventas, Total de costos y Total de ganancias, que se modificarán según el filtro aplicado. El filtro de año se encuentra ya seleccionado para mostrar los detalles del período 2013-2014, pero podría verse, si así se desea también 2011 y 2012. Por debajo, están los gráficos relativos a: Total de ganancias por categoría, Total de ganancias por subcategoría, Total de ganancias por segmento, Total de ganancias por año, Total de ganancias por región, Total de ganancias por mercado, Total de ganancias por método de envío y Total de ganancias por prioridad de la orden. Y finalmente, se encuentran las tablas dinámicas.</w:t>
      </w:r>
    </w:p>
    <w:p w:rsidR="00000000" w:rsidDel="00000000" w:rsidP="00000000" w:rsidRDefault="00000000" w:rsidRPr="00000000" w14:paraId="00000007">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8">
      <w:pPr>
        <w:spacing w:after="240" w:before="240" w:lineRule="auto"/>
        <w:jc w:val="both"/>
        <w:rPr/>
      </w:pPr>
      <w:r w:rsidDel="00000000" w:rsidR="00000000" w:rsidRPr="00000000">
        <w:rPr>
          <w:rFonts w:ascii="Calibri" w:cs="Calibri" w:eastAsia="Calibri" w:hAnsi="Calibri"/>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