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Apéndice — Incongruencias del Big Bang y Falsabilidad de la CMG–LCE</w:t>
      </w:r>
    </w:p>
    <w:p>
      <w:r>
        <w:t>Este documento presenta las principales anomalías del modelo cosmológico estándar (Big Bang / ΛCDM) y los métodos de falsación que propone la Cosmología Magnetogravitacional (CMG) junto con su Ley de Coherencia–Energía (LCE). Se incluyen las pruebas más rápidas de verificación empírica y su relevancia para el cambio de paradigma físico.</w:t>
      </w:r>
    </w:p>
    <w:p>
      <w:pPr>
        <w:pStyle w:val="Heading2"/>
      </w:pPr>
      <w:r>
        <w:t>1. Principales incongruencias del modelo Big Bang / ΛCDM</w:t>
      </w:r>
    </w:p>
    <w:p>
      <w:pPr>
        <w:pStyle w:val="ListBullet"/>
      </w:pPr>
      <w:r>
        <w:t>Homogeneidad del CMB sin contacto causal (problema del horizonte).</w:t>
      </w:r>
    </w:p>
    <w:p>
      <w:pPr>
        <w:pStyle w:val="ListBullet"/>
      </w:pPr>
      <w:r>
        <w:t>Planitud extrema del universo (problema de ajuste fino).</w:t>
      </w:r>
    </w:p>
    <w:p>
      <w:pPr>
        <w:pStyle w:val="ListBullet"/>
      </w:pPr>
      <w:r>
        <w:t>Asimetría materia–antimateria no explicada por violación CP conocida.</w:t>
      </w:r>
    </w:p>
    <w:p>
      <w:pPr>
        <w:pStyle w:val="ListBullet"/>
      </w:pPr>
      <w:r>
        <w:t>Energía oscura de valor 10^120 veces menor que el predicho por la física cuántica.</w:t>
      </w:r>
    </w:p>
    <w:p>
      <w:pPr>
        <w:pStyle w:val="ListBullet"/>
      </w:pPr>
      <w:r>
        <w:t>Materia oscura sin detección directa tras décadas de búsqueda.</w:t>
      </w:r>
    </w:p>
    <w:p>
      <w:pPr>
        <w:pStyle w:val="ListBullet"/>
      </w:pPr>
      <w:r>
        <w:t>Singularidad inicial no física (ruptura matemática).</w:t>
      </w:r>
    </w:p>
    <w:p>
      <w:pPr>
        <w:pStyle w:val="ListBullet"/>
      </w:pPr>
      <w:r>
        <w:t>Inflación teórica sin confirmación observacional directa.</w:t>
      </w:r>
    </w:p>
    <w:p>
      <w:pPr>
        <w:pStyle w:val="ListBullet"/>
      </w:pPr>
      <w:r>
        <w:t>Tensiones del parámetro H₀ y anisotropías a gran escala.</w:t>
      </w:r>
    </w:p>
    <w:p>
      <w:pPr>
        <w:pStyle w:val="Heading2"/>
      </w:pPr>
      <w:r>
        <w:t>2. Pruebas más rápidas y factibles de verificación (2025–2030)</w:t>
      </w:r>
    </w:p>
    <w:p>
      <w:r>
        <w:t>1. Correlación entre magnetismo y dinámica galáctica — verificable en 1–5 años con datos existentes (LOFAR, ALMA, JWST).</w:t>
      </w:r>
    </w:p>
    <w:p>
      <w:r>
        <w:t>2. Variación temporal del parámetro Λ — comprobable con DESI, Euclid y Roman Telescope antes de 2030.</w:t>
      </w:r>
    </w:p>
    <w:p>
      <w:r>
        <w:t>3. Correlaciones magneto-gravitacionales de laboratorio — factibles en 1–3 años mediante interferometría o redes SQUID.</w:t>
      </w:r>
    </w:p>
    <w:p>
      <w:pPr>
        <w:pStyle w:val="Heading2"/>
      </w:pPr>
      <w:r>
        <w:t>3. Prioridad y jerarquía de verificabilidad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Prioridad</w:t>
            </w:r>
          </w:p>
        </w:tc>
        <w:tc>
          <w:tcPr>
            <w:tcW w:type="dxa" w:w="1728"/>
          </w:tcPr>
          <w:p>
            <w:r>
              <w:t>Prueba / Observación</w:t>
            </w:r>
          </w:p>
        </w:tc>
        <w:tc>
          <w:tcPr>
            <w:tcW w:type="dxa" w:w="1728"/>
          </w:tcPr>
          <w:p>
            <w:r>
              <w:t>Plazo</w:t>
            </w:r>
          </w:p>
        </w:tc>
        <w:tc>
          <w:tcPr>
            <w:tcW w:type="dxa" w:w="1728"/>
          </w:tcPr>
          <w:p>
            <w:r>
              <w:t>Dificultad</w:t>
            </w:r>
          </w:p>
        </w:tc>
        <w:tc>
          <w:tcPr>
            <w:tcW w:type="dxa" w:w="1728"/>
          </w:tcPr>
          <w:p>
            <w:r>
              <w:t>Impacto teórico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Magnetismo ↔ Rotación galáctica</w:t>
            </w:r>
          </w:p>
        </w:tc>
        <w:tc>
          <w:tcPr>
            <w:tcW w:type="dxa" w:w="1728"/>
          </w:tcPr>
          <w:p>
            <w:r>
              <w:t>1–5 años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Variación de Λ (DESI / Euclid)</w:t>
            </w:r>
          </w:p>
        </w:tc>
        <w:tc>
          <w:tcPr>
            <w:tcW w:type="dxa" w:w="1728"/>
          </w:tcPr>
          <w:p>
            <w:r>
              <w:t>3–7 años</w:t>
            </w:r>
          </w:p>
        </w:tc>
        <w:tc>
          <w:tcPr>
            <w:tcW w:type="dxa" w:w="1728"/>
          </w:tcPr>
          <w:p>
            <w:r>
              <w:t>Media–Alta</w:t>
            </w:r>
          </w:p>
        </w:tc>
        <w:tc>
          <w:tcPr>
            <w:tcW w:type="dxa" w:w="1728"/>
          </w:tcPr>
          <w:p>
            <w:r>
              <w:t>Muy alta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Correlación magneto-gravitacional terrestre</w:t>
            </w:r>
          </w:p>
        </w:tc>
        <w:tc>
          <w:tcPr>
            <w:tcW w:type="dxa" w:w="1728"/>
          </w:tcPr>
          <w:p>
            <w:r>
              <w:t>1–3 años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Media–Alta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Redshift drift (Sandage–Loeb)</w:t>
            </w:r>
          </w:p>
        </w:tc>
        <w:tc>
          <w:tcPr>
            <w:tcW w:type="dxa" w:w="1728"/>
          </w:tcPr>
          <w:p>
            <w:r>
              <w:t>10–15 años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Ondas de fase coherente (LISA/PTA)</w:t>
            </w:r>
          </w:p>
        </w:tc>
        <w:tc>
          <w:tcPr>
            <w:tcW w:type="dxa" w:w="1728"/>
          </w:tcPr>
          <w:p>
            <w:r>
              <w:t>10–15 años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Muy alta</w:t>
            </w:r>
          </w:p>
        </w:tc>
      </w:tr>
    </w:tbl>
    <w:p>
      <w:pPr>
        <w:pStyle w:val="Heading2"/>
      </w:pPr>
      <w:r>
        <w:t>4. Conclusión operativa</w:t>
      </w:r>
    </w:p>
    <w:p>
      <w:r>
        <w:t>La verificación más rápida y viable de la CMG–LCE es el reanálisis de datos galácticos en busca de correlaciones entre magnetismo y dinámica rotacional. Esto puede hacerse con datos ya existentes y permitiría confirmar o refutar la necesidad de materia oscura. En paralelo, el seguimiento de la variación de Λ mediante Euclid y DESI podría validar empíricamente la CMG antes de 2030.</w:t>
      </w:r>
    </w:p>
    <w:p>
      <w:r>
        <w:t>En resumen, la CMG–LCE se juega su validez en el mismo terreno donde el Big Bang es frágil: variación de Λ, huellas de coherencia en la gravedad y correlaciones electromagnéticas-gravitacionales. Si ahí no aparece nada, la CMG cae; si aparece, el paradigma cambia.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