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Anexo IV — Incongruencias del Modelo del Big Bang y la Solución CMG–LCE</w:t>
      </w:r>
    </w:p>
    <w:p/>
    <w:p>
      <w:r>
        <w:t>1. El paradigma dominante: el Big Bang</w:t>
      </w:r>
    </w:p>
    <w:p>
      <w:r>
        <w:t>Durante el último siglo, la cosmología estándar ha interpretado el universo como el resultado de una gran explosión inicial —el Big Bang—. Según este modelo, todo el espacio, el tiempo, la materia y la energía se originaron en un punto singular. Desde entonces, el universo se expande, y la aceleración observada se atribuye a la energía oscura. Aunque explica la radiación cósmica de fondo y la expansión de Hubble, presenta lagunas conceptuales profundas.</w:t>
      </w:r>
    </w:p>
    <w:p>
      <w:r>
        <w:t>2. Las incongruencias fundamentales</w:t>
      </w:r>
    </w:p>
    <w:p>
      <w:r>
        <w:t>a. El problema de la singularidad: el modelo comienza con una densidad infinita donde las leyes físicas dejan de aplicarse.</w:t>
      </w:r>
    </w:p>
    <w:p>
      <w:r>
        <w:t>b. La causalidad perdida: regiones hoy separadas del universo no habrían podido comunicarse antes de expandirse, pero presentan igual temperatura (problema del horizonte).</w:t>
      </w:r>
    </w:p>
    <w:p>
      <w:r>
        <w:t>c. La materia y energía oscuras: el 95 % del universo son entidades hipotéticas sin detección directa.</w:t>
      </w:r>
    </w:p>
    <w:p>
      <w:r>
        <w:t>d. El problema de la flecha del tiempo: el universo comenzó con baja entropía, pero el modelo no explica su origen.</w:t>
      </w:r>
    </w:p>
    <w:p>
      <w:r>
        <w:t>e. La energía del vacío: la constante cosmológica Λ difiere en 120 órdenes de magnitud entre la predicción cuántica y la observación.</w:t>
      </w:r>
    </w:p>
    <w:p>
      <w:r>
        <w:t>3. El punto de ruptura epistemológico</w:t>
      </w:r>
    </w:p>
    <w:p>
      <w:r>
        <w:t>Todas estas paradojas comparten un mismo origen: el Big Bang trata el vacío como un escenario pasivo. En este modelo, el espacio-tiempo no participa activamente en la evolución del cosmos, lo que impide explicar su origen energético o su direccionalidad temporal.</w:t>
      </w:r>
    </w:p>
    <w:p>
      <w:r>
        <w:t>4. La CMG: una nueva ontología del vacío</w:t>
      </w:r>
    </w:p>
    <w:p>
      <w:r>
        <w:t>La Cosmología Magnetogravitacional (CMG) propone un cambio de paradigma: el vacío es un medio con memoria capaz de almacenar y liberar energía de coherencia. El universo es un sistema termodinámico donde la geometría, la energía y la memoria se acoplan mediante el campo de coherencia Ψ. Su evolución se rige por la Ley de Coherencia–Energía (LCE):</w:t>
      </w:r>
    </w:p>
    <w:tbl>
      <w:tblPr>
        <w:tblW w:type="auto" w:w="0"/>
        <w:tblLook w:firstColumn="1" w:firstRow="1" w:lastColumn="0" w:lastRow="0" w:noHBand="0" w:noVBand="1" w:val="04A0"/>
      </w:tblPr>
      <w:tblGrid>
        <w:gridCol w:w="4703"/>
        <w:gridCol w:w="4703"/>
      </w:tblGrid>
      <w:tr>
        <w:tc>
          <w:tcPr>
            <w:tcW w:type="dxa" w:w="4703"/>
          </w:tcPr>
          <w:p>
            <w:pPr>
              <w:jc w:val="center"/>
            </w:pPr>
            <w:r>
              <w:drawing>
                <wp:inline xmlns:a="http://schemas.openxmlformats.org/drawingml/2006/main" xmlns:pic="http://schemas.openxmlformats.org/drawingml/2006/picture">
                  <wp:extent cx="3200400" cy="87085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870858"/>
                          </a:xfrm>
                          <a:prstGeom prst="rect"/>
                        </pic:spPr>
                      </pic:pic>
                    </a:graphicData>
                  </a:graphic>
                </wp:inline>
              </w:drawing>
            </w:r>
          </w:p>
        </w:tc>
        <w:tc>
          <w:tcPr>
            <w:tcW w:type="dxa" w:w="4703"/>
          </w:tcPr>
          <w:p>
            <w:pPr>
              <w:jc w:val="right"/>
            </w:pPr>
            <w:r>
              <w:rPr>
                <w:b/>
              </w:rPr>
              <w:t>(1)</w:t>
            </w:r>
          </w:p>
        </w:tc>
      </w:tr>
    </w:tbl>
    <w:p>
      <w:r>
        <w:t>Esta ecuación reemplaza la singularidad inicial por un estado de máxima coherencia del vacío, una fase donde toda la información del cosmos está sincronizada.</w:t>
      </w:r>
    </w:p>
    <w:p>
      <w:r>
        <w:t>5. Cómo la CMG resuelve las paradojas</w:t>
      </w:r>
    </w:p>
    <w:p>
      <w:r>
        <w:t>La siguiente tabla resume cómo la CMG y la LCE ofrecen soluciones naturales a los principales problemas del Big Bang:</w:t>
      </w:r>
    </w:p>
    <w:tbl>
      <w:tblPr>
        <w:tblStyle w:val="TableGrid"/>
        <w:tblW w:type="auto" w:w="0"/>
        <w:tblLook w:firstColumn="1" w:firstRow="1" w:lastColumn="0" w:lastRow="0" w:noHBand="0" w:noVBand="1" w:val="04A0"/>
      </w:tblPr>
      <w:tblGrid>
        <w:gridCol w:w="4703"/>
        <w:gridCol w:w="4703"/>
      </w:tblGrid>
      <w:tr>
        <w:tc>
          <w:tcPr>
            <w:tcW w:type="dxa" w:w="4703"/>
          </w:tcPr>
          <w:p>
            <w:r>
              <w:rPr>
                <w:b/>
              </w:rPr>
              <w:t>Problema del Big Bang</w:t>
            </w:r>
          </w:p>
        </w:tc>
        <w:tc>
          <w:tcPr>
            <w:tcW w:type="dxa" w:w="4703"/>
            <w:shd w:fill="D9D9D9"/>
          </w:tcPr>
          <w:p>
            <w:r>
              <w:rPr>
                <w:b/>
              </w:rPr>
              <w:t>Solución CMG–LCE</w:t>
            </w:r>
          </w:p>
        </w:tc>
      </w:tr>
      <w:tr>
        <w:tc>
          <w:tcPr>
            <w:tcW w:type="dxa" w:w="4703"/>
          </w:tcPr>
          <w:p>
            <w:r>
              <w:t>Singularidad inicial</w:t>
            </w:r>
          </w:p>
        </w:tc>
        <w:tc>
          <w:tcPr>
            <w:tcW w:type="dxa" w:w="4703"/>
          </w:tcPr>
          <w:p>
            <w:r>
              <w:t>El inicio no es un punto, sino un estado coherente del vacío; no hay densidad infinita.</w:t>
            </w:r>
          </w:p>
        </w:tc>
      </w:tr>
      <w:tr>
        <w:tc>
          <w:tcPr>
            <w:tcW w:type="dxa" w:w="4703"/>
          </w:tcPr>
          <w:p>
            <w:r>
              <w:t>Horizonte causal</w:t>
            </w:r>
          </w:p>
        </w:tc>
        <w:tc>
          <w:tcPr>
            <w:tcW w:type="dxa" w:w="4703"/>
          </w:tcPr>
          <w:p>
            <w:r>
              <w:t>La coherencia del campo Ψ sincroniza regiones del cosmos antes de la expansión.</w:t>
            </w:r>
          </w:p>
        </w:tc>
      </w:tr>
      <w:tr>
        <w:tc>
          <w:tcPr>
            <w:tcW w:type="dxa" w:w="4703"/>
          </w:tcPr>
          <w:p>
            <w:r>
              <w:t>Materia y energía oscuras</w:t>
            </w:r>
          </w:p>
        </w:tc>
        <w:tc>
          <w:tcPr>
            <w:tcW w:type="dxa" w:w="4703"/>
          </w:tcPr>
          <w:p>
            <w:r>
              <w:t>Son manifestaciones del vacío coherente, no componentes exóticos.</w:t>
            </w:r>
          </w:p>
        </w:tc>
      </w:tr>
      <w:tr>
        <w:tc>
          <w:tcPr>
            <w:tcW w:type="dxa" w:w="4703"/>
          </w:tcPr>
          <w:p>
            <w:r>
              <w:t>Flecha del tiempo</w:t>
            </w:r>
          </w:p>
        </w:tc>
        <w:tc>
          <w:tcPr>
            <w:tcW w:type="dxa" w:w="4703"/>
          </w:tcPr>
          <w:p>
            <w:r>
              <w:t>La direccionalidad temporal surge de la pérdida gradual de coherencia del vacío.</w:t>
            </w:r>
          </w:p>
        </w:tc>
      </w:tr>
      <w:tr>
        <w:tc>
          <w:tcPr>
            <w:tcW w:type="dxa" w:w="4703"/>
          </w:tcPr>
          <w:p>
            <w:r>
              <w:t>Energía del vacío</w:t>
            </w:r>
          </w:p>
        </w:tc>
        <w:tc>
          <w:tcPr>
            <w:tcW w:type="dxa" w:w="4703"/>
          </w:tcPr>
          <w:p>
            <w:r>
              <w:t>Λ se vuelve una variable dinámica dependiente de Ψ(t); el equilibrio se conserva.</w:t>
            </w:r>
          </w:p>
        </w:tc>
      </w:tr>
    </w:tbl>
    <w:p>
      <w:r>
        <w:t>6. Un cosmos que recuerda, no que explota</w:t>
      </w:r>
    </w:p>
    <w:p>
      <w:r>
        <w:t>La CMG elimina la explosión del Big Bang y la sustituye por un ciclo de respiración cósmica: coherencia máxima, expansión, equilibrio y contracción. Cada ciclo conserva la información del anterior, haciendo del cosmos una estructura viva y auto-recordante.</w:t>
      </w:r>
    </w:p>
    <w:p>
      <w:r>
        <w:t>7. Elegancia conceptual y verificabilidad</w:t>
      </w:r>
    </w:p>
    <w:p>
      <w:r>
        <w:t>La CMG y la LCE no requieren entidades hipotéticas: no introducen materia oscura ni partículas supersimétricas. Reinterpretan el papel del vacío bajo un principio unificador y verificable. Su belleza reside en su simplicidad física y coherencia matemática.</w:t>
      </w:r>
    </w:p>
    <w:p>
      <w:r>
        <w:t>8. En una frase</w:t>
      </w:r>
    </w:p>
    <w:p>
      <w:pPr>
        <w:jc w:val="center"/>
      </w:pPr>
      <w:r>
        <w:rPr>
          <w:i/>
        </w:rPr>
        <w:t>El Big Bang explica la expansión; la CMG explica el sentido. El universo no nació: comenzó a recordar.</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