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23CD" w14:textId="77777777" w:rsidR="00CF3D81" w:rsidRPr="00901A3A" w:rsidRDefault="00CF3D81" w:rsidP="00CF3D81">
      <w:pPr>
        <w:pStyle w:val="Intestazione"/>
        <w:jc w:val="center"/>
        <w:rPr>
          <w:rFonts w:ascii="Times New Roman" w:hAnsi="Times New Roman"/>
          <w:smallCaps/>
          <w:sz w:val="28"/>
        </w:rPr>
      </w:pPr>
      <w:r w:rsidRPr="00901A3A">
        <w:rPr>
          <w:rFonts w:ascii="Times New Roman" w:hAnsi="Times New Roman"/>
          <w:smallCaps/>
          <w:sz w:val="28"/>
        </w:rPr>
        <w:t>ALMA MATER STUDIORUM UNIVERSITA’ DI BOLOGNA</w:t>
      </w:r>
    </w:p>
    <w:p w14:paraId="3279383B" w14:textId="77777777" w:rsidR="00CF3D81" w:rsidRPr="00901A3A" w:rsidRDefault="00CF3D81" w:rsidP="00CF3D81">
      <w:pPr>
        <w:pStyle w:val="Intestazione"/>
        <w:jc w:val="center"/>
        <w:rPr>
          <w:rFonts w:ascii="Times New Roman" w:hAnsi="Times New Roman"/>
          <w:smallCaps/>
          <w:sz w:val="28"/>
        </w:rPr>
      </w:pPr>
    </w:p>
    <w:p w14:paraId="6F6EF138" w14:textId="77777777" w:rsidR="00CF3D81" w:rsidRDefault="00CF3D81" w:rsidP="00CF3D81">
      <w:pPr>
        <w:pStyle w:val="Intestazione"/>
        <w:jc w:val="center"/>
        <w:rPr>
          <w:rFonts w:ascii="Times New Roman" w:hAnsi="Times New Roman"/>
          <w:smallCaps/>
        </w:rPr>
      </w:pPr>
    </w:p>
    <w:p w14:paraId="0E28DD9E" w14:textId="77777777" w:rsidR="00901A3A" w:rsidRDefault="00901A3A" w:rsidP="00CF3D81">
      <w:pPr>
        <w:pStyle w:val="Intestazione"/>
        <w:jc w:val="center"/>
        <w:rPr>
          <w:rFonts w:ascii="Times New Roman" w:hAnsi="Times New Roman"/>
          <w:smallCaps/>
        </w:rPr>
      </w:pPr>
    </w:p>
    <w:p w14:paraId="50CABC02" w14:textId="77777777" w:rsidR="00901A3A" w:rsidRPr="00817F36" w:rsidRDefault="00901A3A" w:rsidP="00CF3D81">
      <w:pPr>
        <w:pStyle w:val="Intestazione"/>
        <w:jc w:val="center"/>
        <w:rPr>
          <w:rFonts w:ascii="Times New Roman" w:hAnsi="Times New Roman"/>
          <w:smallCaps/>
        </w:rPr>
      </w:pPr>
    </w:p>
    <w:p w14:paraId="0C9B68C1" w14:textId="77777777" w:rsidR="00CF3D81" w:rsidRPr="00E322D8" w:rsidRDefault="00CF3D81" w:rsidP="00CF3D81">
      <w:pPr>
        <w:pStyle w:val="Corpotesto"/>
        <w:ind w:left="567"/>
        <w:jc w:val="center"/>
        <w:rPr>
          <w:rFonts w:ascii="Times New Roman" w:hAnsi="Times New Roman"/>
          <w:smallCaps/>
          <w:sz w:val="28"/>
          <w:lang w:val="en-US"/>
        </w:rPr>
      </w:pPr>
      <w:r w:rsidRPr="00E322D8">
        <w:rPr>
          <w:rFonts w:ascii="Times New Roman" w:hAnsi="Times New Roman"/>
          <w:smallCaps/>
          <w:sz w:val="28"/>
          <w:lang w:val="en-US"/>
        </w:rPr>
        <w:t>Master Universitario in</w:t>
      </w:r>
    </w:p>
    <w:p w14:paraId="410E674A" w14:textId="77777777" w:rsidR="001C5235" w:rsidRPr="00E322D8" w:rsidRDefault="001C5235" w:rsidP="001C5235">
      <w:pPr>
        <w:autoSpaceDE w:val="0"/>
        <w:autoSpaceDN w:val="0"/>
        <w:adjustRightInd w:val="0"/>
        <w:spacing w:after="0" w:line="240" w:lineRule="auto"/>
        <w:jc w:val="center"/>
        <w:rPr>
          <w:rFonts w:ascii="Times New Roman" w:eastAsia="Times" w:hAnsi="Times New Roman" w:cs="Times New Roman"/>
          <w:smallCaps/>
          <w:sz w:val="28"/>
          <w:szCs w:val="24"/>
          <w:lang w:val="en-US" w:eastAsia="it-IT"/>
        </w:rPr>
      </w:pPr>
      <w:r w:rsidRPr="00E322D8">
        <w:rPr>
          <w:rFonts w:ascii="Times New Roman" w:eastAsia="Times" w:hAnsi="Times New Roman" w:cs="Times New Roman"/>
          <w:smallCaps/>
          <w:sz w:val="28"/>
          <w:szCs w:val="24"/>
          <w:lang w:val="en-US" w:eastAsia="it-IT"/>
        </w:rPr>
        <w:t>Cybersecurity: from design to operations</w:t>
      </w:r>
    </w:p>
    <w:p w14:paraId="609D5E0B" w14:textId="77777777" w:rsidR="00CF3D81" w:rsidRPr="00E322D8" w:rsidRDefault="00CF3D81" w:rsidP="00CF3D81">
      <w:pPr>
        <w:autoSpaceDE w:val="0"/>
        <w:autoSpaceDN w:val="0"/>
        <w:adjustRightInd w:val="0"/>
        <w:spacing w:after="0" w:line="240" w:lineRule="auto"/>
        <w:rPr>
          <w:rFonts w:ascii="Times New Roman" w:hAnsi="Times New Roman" w:cs="Times New Roman"/>
          <w:sz w:val="24"/>
          <w:szCs w:val="24"/>
          <w:lang w:val="en-US"/>
        </w:rPr>
      </w:pPr>
    </w:p>
    <w:p w14:paraId="102DB5DF" w14:textId="77777777" w:rsidR="00CF3D81" w:rsidRPr="00E322D8" w:rsidRDefault="00CF3D81" w:rsidP="00CF3D81">
      <w:pPr>
        <w:autoSpaceDE w:val="0"/>
        <w:autoSpaceDN w:val="0"/>
        <w:adjustRightInd w:val="0"/>
        <w:spacing w:after="0" w:line="240" w:lineRule="auto"/>
        <w:rPr>
          <w:rFonts w:ascii="Times New Roman" w:hAnsi="Times New Roman" w:cs="Times New Roman"/>
          <w:sz w:val="30"/>
          <w:szCs w:val="30"/>
          <w:lang w:val="en-US"/>
        </w:rPr>
      </w:pPr>
    </w:p>
    <w:p w14:paraId="44A6F8BD" w14:textId="77777777" w:rsidR="00CF3D81" w:rsidRPr="00E322D8" w:rsidRDefault="00CF3D81" w:rsidP="00CF3D81">
      <w:pPr>
        <w:autoSpaceDE w:val="0"/>
        <w:autoSpaceDN w:val="0"/>
        <w:adjustRightInd w:val="0"/>
        <w:spacing w:after="0" w:line="240" w:lineRule="auto"/>
        <w:rPr>
          <w:rFonts w:ascii="Times New Roman" w:hAnsi="Times New Roman" w:cs="Times New Roman"/>
          <w:sz w:val="30"/>
          <w:szCs w:val="30"/>
          <w:lang w:val="en-US"/>
        </w:rPr>
      </w:pPr>
    </w:p>
    <w:p w14:paraId="54A14480" w14:textId="77777777" w:rsidR="00CF3D81" w:rsidRPr="00E322D8" w:rsidRDefault="00CF3D81" w:rsidP="00CF3D81">
      <w:pPr>
        <w:autoSpaceDE w:val="0"/>
        <w:autoSpaceDN w:val="0"/>
        <w:adjustRightInd w:val="0"/>
        <w:spacing w:after="0" w:line="240" w:lineRule="auto"/>
        <w:rPr>
          <w:rFonts w:ascii="Times New Roman" w:hAnsi="Times New Roman" w:cs="Times New Roman"/>
          <w:sz w:val="30"/>
          <w:szCs w:val="30"/>
          <w:lang w:val="en-US"/>
        </w:rPr>
      </w:pPr>
    </w:p>
    <w:p w14:paraId="49CDB42C" w14:textId="77777777" w:rsidR="00CF3D81" w:rsidRPr="00817F36" w:rsidRDefault="00CF3D81" w:rsidP="00CF3D81">
      <w:pPr>
        <w:autoSpaceDE w:val="0"/>
        <w:autoSpaceDN w:val="0"/>
        <w:adjustRightInd w:val="0"/>
        <w:spacing w:after="0" w:line="240" w:lineRule="auto"/>
        <w:jc w:val="center"/>
        <w:rPr>
          <w:rFonts w:ascii="Times New Roman" w:hAnsi="Times New Roman" w:cs="Times New Roman"/>
          <w:sz w:val="30"/>
          <w:szCs w:val="30"/>
          <w:lang w:val="it-IT"/>
        </w:rPr>
      </w:pPr>
      <w:r w:rsidRPr="00146E3C">
        <w:rPr>
          <w:rFonts w:ascii="Times New Roman" w:eastAsia="Times New Roman" w:hAnsi="Times New Roman"/>
          <w:color w:val="111111"/>
          <w:sz w:val="30"/>
          <w:lang w:val="it-IT"/>
        </w:rPr>
        <w:t xml:space="preserve">Automazione del triage delle e-mail di phishing in un contesto </w:t>
      </w:r>
      <w:proofErr w:type="spellStart"/>
      <w:r w:rsidRPr="00146E3C">
        <w:rPr>
          <w:rFonts w:ascii="Times New Roman" w:eastAsia="Times New Roman" w:hAnsi="Times New Roman"/>
          <w:color w:val="111111"/>
          <w:sz w:val="30"/>
          <w:lang w:val="it-IT"/>
        </w:rPr>
        <w:t>enterprise</w:t>
      </w:r>
      <w:proofErr w:type="spellEnd"/>
      <w:r w:rsidRPr="00146E3C">
        <w:rPr>
          <w:rFonts w:ascii="Times New Roman" w:eastAsia="Times New Roman" w:hAnsi="Times New Roman"/>
          <w:color w:val="111111"/>
          <w:sz w:val="30"/>
          <w:lang w:val="it-IT"/>
        </w:rPr>
        <w:t xml:space="preserve">: il caso </w:t>
      </w:r>
      <w:proofErr w:type="spellStart"/>
      <w:r w:rsidRPr="00146E3C">
        <w:rPr>
          <w:rFonts w:ascii="Times New Roman" w:eastAsia="Times New Roman" w:hAnsi="Times New Roman"/>
          <w:color w:val="111111"/>
          <w:sz w:val="30"/>
          <w:lang w:val="it-IT"/>
        </w:rPr>
        <w:t>FishSTOP</w:t>
      </w:r>
      <w:proofErr w:type="spellEnd"/>
      <w:r w:rsidRPr="00146E3C">
        <w:rPr>
          <w:rFonts w:ascii="Times New Roman" w:eastAsia="Times New Roman" w:hAnsi="Times New Roman"/>
          <w:color w:val="111111"/>
          <w:sz w:val="30"/>
          <w:lang w:val="it-IT"/>
        </w:rPr>
        <w:t xml:space="preserve"> presso </w:t>
      </w:r>
      <w:proofErr w:type="spellStart"/>
      <w:r w:rsidRPr="00146E3C">
        <w:rPr>
          <w:rFonts w:ascii="Times New Roman" w:eastAsia="Times New Roman" w:hAnsi="Times New Roman"/>
          <w:color w:val="111111"/>
          <w:sz w:val="30"/>
          <w:lang w:val="it-IT"/>
        </w:rPr>
        <w:t>Cefla</w:t>
      </w:r>
      <w:proofErr w:type="spellEnd"/>
    </w:p>
    <w:p w14:paraId="7385D55F" w14:textId="77777777" w:rsidR="00CF3D81" w:rsidRDefault="00CF3D81" w:rsidP="00CF3D81">
      <w:pPr>
        <w:autoSpaceDE w:val="0"/>
        <w:autoSpaceDN w:val="0"/>
        <w:adjustRightInd w:val="0"/>
        <w:spacing w:after="0" w:line="240" w:lineRule="auto"/>
        <w:rPr>
          <w:rFonts w:ascii="Times New Roman" w:hAnsi="Times New Roman" w:cs="Times New Roman"/>
          <w:sz w:val="30"/>
          <w:szCs w:val="30"/>
          <w:lang w:val="it-IT"/>
        </w:rPr>
      </w:pPr>
    </w:p>
    <w:p w14:paraId="70579219" w14:textId="77777777" w:rsidR="00901A3A" w:rsidRDefault="00901A3A" w:rsidP="00CF3D81">
      <w:pPr>
        <w:autoSpaceDE w:val="0"/>
        <w:autoSpaceDN w:val="0"/>
        <w:adjustRightInd w:val="0"/>
        <w:spacing w:after="0" w:line="240" w:lineRule="auto"/>
        <w:rPr>
          <w:rFonts w:ascii="Times New Roman" w:hAnsi="Times New Roman" w:cs="Times New Roman"/>
          <w:sz w:val="30"/>
          <w:szCs w:val="30"/>
          <w:lang w:val="it-IT"/>
        </w:rPr>
      </w:pPr>
    </w:p>
    <w:p w14:paraId="6A8CBB32" w14:textId="77777777" w:rsidR="00CF3D81" w:rsidRPr="00817F36" w:rsidRDefault="00CF3D81" w:rsidP="00CF3D81">
      <w:pPr>
        <w:autoSpaceDE w:val="0"/>
        <w:autoSpaceDN w:val="0"/>
        <w:adjustRightInd w:val="0"/>
        <w:spacing w:after="0" w:line="240" w:lineRule="auto"/>
        <w:rPr>
          <w:rFonts w:ascii="Times New Roman" w:hAnsi="Times New Roman" w:cs="Times New Roman"/>
          <w:sz w:val="30"/>
          <w:szCs w:val="30"/>
          <w:lang w:val="it-IT"/>
        </w:rPr>
      </w:pPr>
    </w:p>
    <w:p w14:paraId="33F65F95" w14:textId="77777777" w:rsidR="00CF3D81" w:rsidRPr="00817F36" w:rsidRDefault="00CF3D81" w:rsidP="00CF3D81">
      <w:pPr>
        <w:autoSpaceDE w:val="0"/>
        <w:autoSpaceDN w:val="0"/>
        <w:adjustRightInd w:val="0"/>
        <w:spacing w:after="0" w:line="240" w:lineRule="auto"/>
        <w:rPr>
          <w:rFonts w:ascii="Times New Roman" w:hAnsi="Times New Roman" w:cs="Times New Roman"/>
          <w:sz w:val="24"/>
          <w:szCs w:val="24"/>
          <w:lang w:val="it-IT"/>
        </w:rPr>
      </w:pPr>
    </w:p>
    <w:p w14:paraId="0DBD989F" w14:textId="77777777" w:rsidR="00CF3D81" w:rsidRPr="00817F36" w:rsidRDefault="00CF3D81" w:rsidP="001D7302">
      <w:pPr>
        <w:autoSpaceDE w:val="0"/>
        <w:autoSpaceDN w:val="0"/>
        <w:adjustRightInd w:val="0"/>
        <w:spacing w:after="0" w:line="240" w:lineRule="auto"/>
        <w:rPr>
          <w:rFonts w:ascii="Times New Roman" w:hAnsi="Times New Roman" w:cs="Times New Roman"/>
          <w:sz w:val="28"/>
          <w:szCs w:val="28"/>
          <w:lang w:val="it-IT"/>
        </w:rPr>
      </w:pPr>
      <w:r w:rsidRPr="00817F36">
        <w:rPr>
          <w:rFonts w:ascii="Times New Roman" w:eastAsia="Times New Roman" w:hAnsi="Times New Roman" w:cs="Times New Roman"/>
          <w:color w:val="111111"/>
          <w:sz w:val="28"/>
          <w:szCs w:val="28"/>
          <w:lang w:val="it-IT"/>
        </w:rPr>
        <w:t>Presentato da:</w:t>
      </w:r>
    </w:p>
    <w:p w14:paraId="3D94B5CC" w14:textId="77777777" w:rsidR="001D7302" w:rsidRDefault="001D7302" w:rsidP="00CF3D81">
      <w:pPr>
        <w:autoSpaceDE w:val="0"/>
        <w:autoSpaceDN w:val="0"/>
        <w:adjustRightInd w:val="0"/>
        <w:spacing w:after="0" w:line="240" w:lineRule="auto"/>
        <w:rPr>
          <w:rFonts w:ascii="Times New Roman" w:hAnsi="Times New Roman" w:cs="Times New Roman"/>
          <w:sz w:val="28"/>
          <w:szCs w:val="28"/>
          <w:lang w:val="it-IT"/>
        </w:rPr>
      </w:pPr>
      <w:r w:rsidRPr="00146E3C">
        <w:rPr>
          <w:rFonts w:ascii="Times New Roman" w:eastAsia="Times New Roman" w:hAnsi="Times New Roman"/>
          <w:color w:val="111111"/>
          <w:sz w:val="28"/>
          <w:lang w:val="it-IT"/>
        </w:rPr>
        <w:t>Eugenio Maria de Rosa</w:t>
      </w:r>
    </w:p>
    <w:p w14:paraId="0D0F2921" w14:textId="77777777" w:rsidR="00CF3D81" w:rsidRPr="00817F36" w:rsidRDefault="00CF3D81" w:rsidP="00CF3D81">
      <w:pPr>
        <w:autoSpaceDE w:val="0"/>
        <w:autoSpaceDN w:val="0"/>
        <w:adjustRightInd w:val="0"/>
        <w:spacing w:after="0" w:line="240" w:lineRule="auto"/>
        <w:rPr>
          <w:rFonts w:ascii="Times New Roman" w:hAnsi="Times New Roman" w:cs="Times New Roman"/>
          <w:sz w:val="28"/>
          <w:szCs w:val="28"/>
          <w:lang w:val="it-IT"/>
        </w:rPr>
      </w:pPr>
      <w:r w:rsidRPr="00817F36">
        <w:rPr>
          <w:rFonts w:ascii="Times New Roman" w:eastAsia="Times New Roman" w:hAnsi="Times New Roman" w:cs="Times New Roman"/>
          <w:color w:val="111111"/>
          <w:sz w:val="28"/>
          <w:szCs w:val="28"/>
          <w:lang w:val="it-IT"/>
        </w:rPr>
        <w:t>Tutor accademico: Prof</w:t>
      </w:r>
      <w:r w:rsidR="00146E3C">
        <w:rPr>
          <w:rFonts w:ascii="Times New Roman" w:eastAsia="Times New Roman" w:hAnsi="Times New Roman" w:cs="Times New Roman"/>
          <w:color w:val="111111"/>
          <w:sz w:val="28"/>
          <w:szCs w:val="28"/>
          <w:lang w:val="it-IT"/>
        </w:rPr>
        <w:t>. Marco Prandini</w:t>
      </w:r>
    </w:p>
    <w:p w14:paraId="19A99E8C" w14:textId="77777777" w:rsidR="00CF3D81" w:rsidRPr="00817F36" w:rsidRDefault="00CF3D81" w:rsidP="00CF3D81">
      <w:pPr>
        <w:autoSpaceDE w:val="0"/>
        <w:autoSpaceDN w:val="0"/>
        <w:adjustRightInd w:val="0"/>
        <w:spacing w:after="0" w:line="240" w:lineRule="auto"/>
        <w:rPr>
          <w:rFonts w:ascii="Times New Roman" w:hAnsi="Times New Roman" w:cs="Times New Roman"/>
          <w:sz w:val="28"/>
          <w:szCs w:val="28"/>
          <w:lang w:val="it-IT"/>
        </w:rPr>
      </w:pPr>
      <w:r w:rsidRPr="00146E3C">
        <w:rPr>
          <w:rFonts w:ascii="Times New Roman" w:eastAsia="Times New Roman" w:hAnsi="Times New Roman"/>
          <w:color w:val="111111"/>
          <w:sz w:val="28"/>
          <w:lang w:val="it-IT"/>
        </w:rPr>
        <w:t>Tutor aziendale: Andrea Zaffoni</w:t>
      </w:r>
    </w:p>
    <w:p w14:paraId="1B34263F" w14:textId="77777777" w:rsidR="00CF3D81" w:rsidRPr="00817F36" w:rsidRDefault="00CF3D81" w:rsidP="00CF3D81">
      <w:pPr>
        <w:autoSpaceDE w:val="0"/>
        <w:autoSpaceDN w:val="0"/>
        <w:adjustRightInd w:val="0"/>
        <w:spacing w:after="0" w:line="240" w:lineRule="auto"/>
        <w:rPr>
          <w:rFonts w:ascii="Times New Roman" w:hAnsi="Times New Roman" w:cs="Times New Roman"/>
          <w:sz w:val="28"/>
          <w:szCs w:val="28"/>
          <w:lang w:val="it-IT"/>
        </w:rPr>
      </w:pPr>
    </w:p>
    <w:p w14:paraId="3AABFA01" w14:textId="77777777" w:rsidR="00CF3D81" w:rsidRPr="00817F36" w:rsidRDefault="00CF3D81" w:rsidP="00CF3D81">
      <w:pPr>
        <w:autoSpaceDE w:val="0"/>
        <w:autoSpaceDN w:val="0"/>
        <w:adjustRightInd w:val="0"/>
        <w:spacing w:after="0" w:line="240" w:lineRule="auto"/>
        <w:rPr>
          <w:rFonts w:ascii="Times New Roman" w:hAnsi="Times New Roman" w:cs="Times New Roman"/>
          <w:sz w:val="28"/>
          <w:szCs w:val="28"/>
          <w:lang w:val="it-IT"/>
        </w:rPr>
      </w:pPr>
    </w:p>
    <w:p w14:paraId="72A2DE43" w14:textId="77777777" w:rsidR="00CF3D81" w:rsidRPr="00817F36" w:rsidRDefault="00CF3D81" w:rsidP="00CF3D81">
      <w:pPr>
        <w:autoSpaceDE w:val="0"/>
        <w:autoSpaceDN w:val="0"/>
        <w:adjustRightInd w:val="0"/>
        <w:spacing w:after="0" w:line="240" w:lineRule="auto"/>
        <w:rPr>
          <w:rFonts w:ascii="Times New Roman" w:hAnsi="Times New Roman" w:cs="Times New Roman"/>
          <w:sz w:val="28"/>
          <w:szCs w:val="28"/>
          <w:lang w:val="it-IT"/>
        </w:rPr>
      </w:pPr>
    </w:p>
    <w:p w14:paraId="6D35B1BD" w14:textId="77777777" w:rsidR="00CF3D81" w:rsidRDefault="00CF3D81" w:rsidP="00CF3D81">
      <w:pPr>
        <w:autoSpaceDE w:val="0"/>
        <w:autoSpaceDN w:val="0"/>
        <w:adjustRightInd w:val="0"/>
        <w:spacing w:after="0" w:line="240" w:lineRule="auto"/>
        <w:rPr>
          <w:rFonts w:ascii="Times New Roman" w:hAnsi="Times New Roman" w:cs="Times New Roman"/>
          <w:sz w:val="28"/>
          <w:szCs w:val="28"/>
          <w:lang w:val="it-IT"/>
        </w:rPr>
      </w:pPr>
    </w:p>
    <w:p w14:paraId="3FF0942D" w14:textId="77777777" w:rsidR="001D7302" w:rsidRPr="00817F36" w:rsidRDefault="001D7302" w:rsidP="00CF3D81">
      <w:pPr>
        <w:autoSpaceDE w:val="0"/>
        <w:autoSpaceDN w:val="0"/>
        <w:adjustRightInd w:val="0"/>
        <w:spacing w:after="0" w:line="240" w:lineRule="auto"/>
        <w:rPr>
          <w:rFonts w:ascii="Times New Roman" w:hAnsi="Times New Roman" w:cs="Times New Roman"/>
          <w:sz w:val="32"/>
          <w:szCs w:val="32"/>
          <w:lang w:val="it-IT"/>
        </w:rPr>
      </w:pPr>
    </w:p>
    <w:p w14:paraId="0B714736" w14:textId="77777777" w:rsidR="00CF3D81" w:rsidRPr="00817F36" w:rsidRDefault="00CF3D81" w:rsidP="00CF3D81">
      <w:pPr>
        <w:autoSpaceDE w:val="0"/>
        <w:autoSpaceDN w:val="0"/>
        <w:adjustRightInd w:val="0"/>
        <w:spacing w:after="0" w:line="240" w:lineRule="auto"/>
        <w:rPr>
          <w:rFonts w:ascii="Times New Roman" w:hAnsi="Times New Roman" w:cs="Times New Roman"/>
          <w:sz w:val="32"/>
          <w:szCs w:val="32"/>
          <w:lang w:val="it-IT"/>
        </w:rPr>
      </w:pPr>
    </w:p>
    <w:p w14:paraId="13C59353" w14:textId="77777777" w:rsidR="00CF3D81" w:rsidRPr="00817F36" w:rsidRDefault="00CF3D81" w:rsidP="00CF3D81">
      <w:pPr>
        <w:autoSpaceDE w:val="0"/>
        <w:autoSpaceDN w:val="0"/>
        <w:adjustRightInd w:val="0"/>
        <w:spacing w:after="0" w:line="240" w:lineRule="auto"/>
        <w:rPr>
          <w:rFonts w:ascii="Times New Roman" w:hAnsi="Times New Roman" w:cs="Times New Roman"/>
          <w:sz w:val="32"/>
          <w:szCs w:val="32"/>
          <w:lang w:val="it-IT"/>
        </w:rPr>
      </w:pPr>
    </w:p>
    <w:p w14:paraId="1DB18D2E" w14:textId="77777777" w:rsidR="00CF3D81" w:rsidRPr="00817F36" w:rsidRDefault="00CF3D81" w:rsidP="00CF3D81">
      <w:pPr>
        <w:autoSpaceDE w:val="0"/>
        <w:autoSpaceDN w:val="0"/>
        <w:adjustRightInd w:val="0"/>
        <w:spacing w:after="0" w:line="240" w:lineRule="auto"/>
        <w:rPr>
          <w:rFonts w:ascii="Times New Roman" w:hAnsi="Times New Roman" w:cs="Times New Roman"/>
          <w:sz w:val="32"/>
          <w:szCs w:val="32"/>
          <w:lang w:val="it-IT"/>
        </w:rPr>
      </w:pPr>
    </w:p>
    <w:p w14:paraId="3F81CFC3" w14:textId="77777777" w:rsidR="00CF3D81" w:rsidRPr="00817F36" w:rsidRDefault="00CF3D81" w:rsidP="00CF3D81">
      <w:pPr>
        <w:autoSpaceDE w:val="0"/>
        <w:autoSpaceDN w:val="0"/>
        <w:adjustRightInd w:val="0"/>
        <w:spacing w:after="0" w:line="240" w:lineRule="auto"/>
        <w:rPr>
          <w:rFonts w:ascii="Times New Roman" w:hAnsi="Times New Roman" w:cs="Times New Roman"/>
          <w:sz w:val="32"/>
          <w:szCs w:val="32"/>
          <w:lang w:val="it-IT"/>
        </w:rPr>
      </w:pPr>
    </w:p>
    <w:p w14:paraId="720C5290" w14:textId="77777777" w:rsidR="00CF3D81" w:rsidRPr="00817F36" w:rsidRDefault="00CF3D81" w:rsidP="00CF3D81">
      <w:pPr>
        <w:autoSpaceDE w:val="0"/>
        <w:autoSpaceDN w:val="0"/>
        <w:adjustRightInd w:val="0"/>
        <w:spacing w:after="0" w:line="240" w:lineRule="auto"/>
        <w:rPr>
          <w:rFonts w:ascii="Times New Roman" w:hAnsi="Times New Roman" w:cs="Times New Roman"/>
          <w:sz w:val="32"/>
          <w:szCs w:val="32"/>
          <w:lang w:val="it-IT"/>
        </w:rPr>
      </w:pPr>
    </w:p>
    <w:p w14:paraId="5DC85FA3" w14:textId="77777777" w:rsidR="00CF3D81" w:rsidRDefault="00817F36" w:rsidP="00CF3D81">
      <w:pPr>
        <w:autoSpaceDE w:val="0"/>
        <w:autoSpaceDN w:val="0"/>
        <w:adjustRightInd w:val="0"/>
        <w:spacing w:after="0" w:line="240" w:lineRule="auto"/>
        <w:jc w:val="center"/>
        <w:rPr>
          <w:rFonts w:ascii="Times New Roman" w:hAnsi="Times New Roman" w:cs="Times New Roman"/>
          <w:sz w:val="32"/>
          <w:szCs w:val="32"/>
          <w:lang w:val="it-IT"/>
        </w:rPr>
      </w:pPr>
      <w:r w:rsidRPr="00901A3A">
        <w:rPr>
          <w:rFonts w:ascii="Times New Roman" w:hAnsi="Times New Roman" w:cs="Times New Roman"/>
          <w:sz w:val="32"/>
          <w:szCs w:val="32"/>
          <w:lang w:val="it-IT"/>
        </w:rPr>
        <w:t xml:space="preserve">Anno Accademico </w:t>
      </w:r>
      <w:r w:rsidR="001D7302">
        <w:rPr>
          <w:rFonts w:ascii="Times New Roman" w:hAnsi="Times New Roman" w:cs="Times New Roman"/>
          <w:sz w:val="32"/>
          <w:szCs w:val="32"/>
          <w:lang w:val="it-IT"/>
        </w:rPr>
        <w:t>20</w:t>
      </w:r>
      <w:r w:rsidR="00F80BB1">
        <w:rPr>
          <w:rFonts w:ascii="Times New Roman" w:hAnsi="Times New Roman" w:cs="Times New Roman"/>
          <w:sz w:val="32"/>
          <w:szCs w:val="32"/>
          <w:lang w:val="it-IT"/>
        </w:rPr>
        <w:t>2</w:t>
      </w:r>
      <w:r w:rsidR="001C5235">
        <w:rPr>
          <w:rFonts w:ascii="Times New Roman" w:hAnsi="Times New Roman" w:cs="Times New Roman"/>
          <w:sz w:val="32"/>
          <w:szCs w:val="32"/>
          <w:lang w:val="it-IT"/>
        </w:rPr>
        <w:t>5</w:t>
      </w:r>
      <w:r w:rsidR="001D7302">
        <w:rPr>
          <w:rFonts w:ascii="Times New Roman" w:hAnsi="Times New Roman" w:cs="Times New Roman"/>
          <w:sz w:val="32"/>
          <w:szCs w:val="32"/>
          <w:lang w:val="it-IT"/>
        </w:rPr>
        <w:t>/20</w:t>
      </w:r>
      <w:r w:rsidR="00F80BB1">
        <w:rPr>
          <w:rFonts w:ascii="Times New Roman" w:hAnsi="Times New Roman" w:cs="Times New Roman"/>
          <w:sz w:val="32"/>
          <w:szCs w:val="32"/>
          <w:lang w:val="it-IT"/>
        </w:rPr>
        <w:t>2</w:t>
      </w:r>
      <w:r w:rsidR="001C5235">
        <w:rPr>
          <w:rFonts w:ascii="Times New Roman" w:hAnsi="Times New Roman" w:cs="Times New Roman"/>
          <w:sz w:val="32"/>
          <w:szCs w:val="32"/>
          <w:lang w:val="it-IT"/>
        </w:rPr>
        <w:t>6</w:t>
      </w:r>
    </w:p>
    <w:p w14:paraId="6B09DDD5" w14:textId="77777777" w:rsidR="00065E1E" w:rsidRPr="00146E3C" w:rsidRDefault="00065E1E">
      <w:pPr>
        <w:rPr>
          <w:lang w:val="it-IT"/>
        </w:rPr>
        <w:sectPr w:rsidR="00065E1E" w:rsidRPr="00146E3C">
          <w:pgSz w:w="12240" w:h="15840"/>
          <w:pgMar w:top="1417" w:right="1134" w:bottom="1134" w:left="1134" w:header="708" w:footer="708" w:gutter="0"/>
          <w:cols w:space="708"/>
          <w:docGrid w:linePitch="360"/>
        </w:sectPr>
      </w:pPr>
    </w:p>
    <w:p w14:paraId="74902A9D" w14:textId="77777777" w:rsidR="00065E1E" w:rsidRDefault="00713D55">
      <w:pPr>
        <w:pStyle w:val="Titolo11"/>
      </w:pPr>
      <w:r>
        <w:lastRenderedPageBreak/>
        <w:t>Indice</w:t>
      </w:r>
    </w:p>
    <w:p w14:paraId="59BFBB26" w14:textId="77777777" w:rsidR="00065E1E" w:rsidRPr="00146E3C" w:rsidRDefault="00713D55">
      <w:pPr>
        <w:rPr>
          <w:lang w:val="it-IT"/>
        </w:rPr>
      </w:pPr>
      <w:r>
        <w:fldChar w:fldCharType="begin"/>
      </w:r>
      <w:r w:rsidRPr="00146E3C">
        <w:rPr>
          <w:lang w:val="it-IT"/>
        </w:rPr>
        <w:instrText xml:space="preserve"> TOC \o "1-2" \h \z \u </w:instrText>
      </w:r>
      <w:r>
        <w:fldChar w:fldCharType="separate"/>
      </w:r>
      <w:r w:rsidRPr="00146E3C">
        <w:rPr>
          <w:lang w:val="it-IT"/>
        </w:rPr>
        <w:t>Aggiornare l'indice in Word: Ctrl+A, quindi F9</w:t>
      </w:r>
      <w:r>
        <w:fldChar w:fldCharType="end"/>
      </w:r>
    </w:p>
    <w:p w14:paraId="2B7B9339" w14:textId="77777777" w:rsidR="00065E1E" w:rsidRDefault="00713D55">
      <w:pPr>
        <w:shd w:val="clear" w:color="auto" w:fill="F2F2F2"/>
        <w:spacing w:before="240" w:after="120"/>
      </w:pPr>
      <w:r w:rsidRPr="00146E3C">
        <w:rPr>
          <w:rFonts w:ascii="Times New Roman" w:eastAsia="Times New Roman" w:hAnsi="Times New Roman"/>
          <w:i/>
          <w:color w:val="5B5B5B"/>
          <w:sz w:val="20"/>
          <w:lang w:val="it-IT"/>
        </w:rPr>
        <w:t xml:space="preserve">Promemoria editoriale (da eliminare prima della consegna): massimo 50 facciate; carattere 12 </w:t>
      </w:r>
      <w:proofErr w:type="spellStart"/>
      <w:r w:rsidRPr="00146E3C">
        <w:rPr>
          <w:rFonts w:ascii="Times New Roman" w:eastAsia="Times New Roman" w:hAnsi="Times New Roman"/>
          <w:i/>
          <w:color w:val="5B5B5B"/>
          <w:sz w:val="20"/>
          <w:lang w:val="it-IT"/>
        </w:rPr>
        <w:t>pt</w:t>
      </w:r>
      <w:proofErr w:type="spellEnd"/>
      <w:r w:rsidRPr="00146E3C">
        <w:rPr>
          <w:rFonts w:ascii="Times New Roman" w:eastAsia="Times New Roman" w:hAnsi="Times New Roman"/>
          <w:i/>
          <w:color w:val="5B5B5B"/>
          <w:sz w:val="20"/>
          <w:lang w:val="it-IT"/>
        </w:rPr>
        <w:t xml:space="preserve">; 60-65 caratteri per riga; 35-40 righe per facciata. </w:t>
      </w:r>
      <w:r>
        <w:rPr>
          <w:rFonts w:ascii="Times New Roman" w:eastAsia="Times New Roman" w:hAnsi="Times New Roman"/>
          <w:i/>
          <w:color w:val="5B5B5B"/>
          <w:sz w:val="20"/>
        </w:rPr>
        <w:t xml:space="preserve">La </w:t>
      </w:r>
      <w:proofErr w:type="spellStart"/>
      <w:r>
        <w:rPr>
          <w:rFonts w:ascii="Times New Roman" w:eastAsia="Times New Roman" w:hAnsi="Times New Roman"/>
          <w:i/>
          <w:color w:val="5B5B5B"/>
          <w:sz w:val="20"/>
        </w:rPr>
        <w:t>tesi</w:t>
      </w:r>
      <w:proofErr w:type="spellEnd"/>
      <w:r>
        <w:rPr>
          <w:rFonts w:ascii="Times New Roman" w:eastAsia="Times New Roman" w:hAnsi="Times New Roman"/>
          <w:i/>
          <w:color w:val="5B5B5B"/>
          <w:sz w:val="20"/>
        </w:rPr>
        <w:t xml:space="preserve"> </w:t>
      </w:r>
      <w:proofErr w:type="spellStart"/>
      <w:r>
        <w:rPr>
          <w:rFonts w:ascii="Times New Roman" w:eastAsia="Times New Roman" w:hAnsi="Times New Roman"/>
          <w:i/>
          <w:color w:val="5B5B5B"/>
          <w:sz w:val="20"/>
        </w:rPr>
        <w:t>descrive</w:t>
      </w:r>
      <w:proofErr w:type="spellEnd"/>
      <w:r>
        <w:rPr>
          <w:rFonts w:ascii="Times New Roman" w:eastAsia="Times New Roman" w:hAnsi="Times New Roman"/>
          <w:i/>
          <w:color w:val="5B5B5B"/>
          <w:sz w:val="20"/>
        </w:rPr>
        <w:t xml:space="preserve"> </w:t>
      </w:r>
      <w:proofErr w:type="spellStart"/>
      <w:r>
        <w:rPr>
          <w:rFonts w:ascii="Times New Roman" w:eastAsia="Times New Roman" w:hAnsi="Times New Roman"/>
          <w:i/>
          <w:color w:val="5B5B5B"/>
          <w:sz w:val="20"/>
        </w:rPr>
        <w:t>esclusivamente</w:t>
      </w:r>
      <w:proofErr w:type="spellEnd"/>
      <w:r>
        <w:rPr>
          <w:rFonts w:ascii="Times New Roman" w:eastAsia="Times New Roman" w:hAnsi="Times New Roman"/>
          <w:i/>
          <w:color w:val="5B5B5B"/>
          <w:sz w:val="20"/>
        </w:rPr>
        <w:t xml:space="preserve"> il </w:t>
      </w:r>
      <w:proofErr w:type="spellStart"/>
      <w:r>
        <w:rPr>
          <w:rFonts w:ascii="Times New Roman" w:eastAsia="Times New Roman" w:hAnsi="Times New Roman"/>
          <w:i/>
          <w:color w:val="5B5B5B"/>
          <w:sz w:val="20"/>
        </w:rPr>
        <w:t>tirocinio</w:t>
      </w:r>
      <w:proofErr w:type="spellEnd"/>
      <w:r>
        <w:rPr>
          <w:rFonts w:ascii="Times New Roman" w:eastAsia="Times New Roman" w:hAnsi="Times New Roman"/>
          <w:i/>
          <w:color w:val="5B5B5B"/>
          <w:sz w:val="20"/>
        </w:rPr>
        <w:t xml:space="preserve"> </w:t>
      </w:r>
      <w:proofErr w:type="spellStart"/>
      <w:r>
        <w:rPr>
          <w:rFonts w:ascii="Times New Roman" w:eastAsia="Times New Roman" w:hAnsi="Times New Roman"/>
          <w:i/>
          <w:color w:val="5B5B5B"/>
          <w:sz w:val="20"/>
        </w:rPr>
        <w:t>curricolare</w:t>
      </w:r>
      <w:proofErr w:type="spellEnd"/>
      <w:r>
        <w:rPr>
          <w:rFonts w:ascii="Times New Roman" w:eastAsia="Times New Roman" w:hAnsi="Times New Roman"/>
          <w:i/>
          <w:color w:val="5B5B5B"/>
          <w:sz w:val="20"/>
        </w:rPr>
        <w:t>.</w:t>
      </w:r>
    </w:p>
    <w:p w14:paraId="3ECBB332" w14:textId="77777777" w:rsidR="00065E1E" w:rsidRDefault="00713D55">
      <w:r>
        <w:br w:type="page"/>
      </w:r>
    </w:p>
    <w:p w14:paraId="27A65590" w14:textId="77777777" w:rsidR="00065E1E" w:rsidRDefault="00713D55">
      <w:pPr>
        <w:pStyle w:val="Titolo11"/>
        <w:numPr>
          <w:ilvl w:val="0"/>
          <w:numId w:val="1"/>
        </w:numPr>
      </w:pPr>
      <w:r>
        <w:lastRenderedPageBreak/>
        <w:t>Introduzione e scopo del tirocinio</w:t>
      </w:r>
    </w:p>
    <w:p w14:paraId="332D4B55" w14:textId="77777777" w:rsidR="00065E1E" w:rsidRDefault="00713D55">
      <w:pPr>
        <w:pStyle w:val="Titolo21"/>
        <w:numPr>
          <w:ilvl w:val="1"/>
          <w:numId w:val="1"/>
        </w:numPr>
      </w:pPr>
      <w:r>
        <w:t>Efficienza operativa, alert fatigue e riduzione del MTTR</w:t>
      </w:r>
    </w:p>
    <w:p w14:paraId="6BAFC36F" w14:textId="77777777" w:rsidR="00065E1E" w:rsidRDefault="00713D55">
      <w:pPr>
        <w:pStyle w:val="Corpotesi"/>
      </w:pPr>
      <w:r>
        <w:t xml:space="preserve">Nelle organizzazioni industriali caratterizzate da infrastrutture distribuite, sedi differenti e processi produttivi eterogenei, la sicurezza informatica non coincide con il solo monitoraggio degli incidenti o delle campagne di phishing. Il presidio interno deve governare in modo coordinato la protezione degli endpoint, la sicurezza delle identità digitali, la segmentazione della rete, la gestione delle vulnerabilità, l'applicazione delle patch e il raccordo con eventuali servizi esterni di Security Operations Center (SOC). L'efficacia del team dipende quindi dalla capacità di assegnare il tempo disponibile alle attività con il maggiore impatto sul </w:t>
      </w:r>
      <w:r w:rsidR="000361F0">
        <w:t>core business</w:t>
      </w:r>
      <w:r>
        <w:t xml:space="preserve"> aziendale.</w:t>
      </w:r>
    </w:p>
    <w:p w14:paraId="50E96512" w14:textId="77777777" w:rsidR="00065E1E" w:rsidRDefault="00713D55">
      <w:pPr>
        <w:pStyle w:val="Corpotesi"/>
      </w:pPr>
      <w:r>
        <w:t xml:space="preserve">In questo contesto assume rilievo il fenomeno dell'alert fatigue, ossia la progressiva difficoltà degli analisti nel distinguere e prioritizzare gli eventi realmente significativi quando il volume delle segnalazioni supera la capacità ordinaria di analisi. La letteratura recente individua nel triage degli alert una delle attività centrali dei SOC e considera automazione, correlazione e supporto decisionale tra le principali linee di intervento per contenere il sovraccarico operativo (Tariq et al., 2025). Nel presente elaborato il termine MTTR è utilizzato con il significato di Mean Time to </w:t>
      </w:r>
      <w:proofErr w:type="spellStart"/>
      <w:r>
        <w:t>Respond</w:t>
      </w:r>
      <w:proofErr w:type="spellEnd"/>
      <w:r>
        <w:t>, cioè il tempo medio necessario per prendere in carico una segnalazione, valutarne la rilevanza e avviare le opportune azioni di risposta.</w:t>
      </w:r>
    </w:p>
    <w:p w14:paraId="24D7452C" w14:textId="6E0DCF9F" w:rsidR="00065E1E" w:rsidRDefault="00713D55">
      <w:pPr>
        <w:pStyle w:val="Corpotesi"/>
      </w:pPr>
      <w:r>
        <w:t xml:space="preserve">L'aumento del tempo di risposta non costituisce soltanto un problema tecnico. Un ritardo nell'analisi può prolungare l'esposizione a una minaccia, rallentare le attività di contenimento e sottrarre risorse a interventi preventivi quali </w:t>
      </w:r>
      <w:r w:rsidR="0029613B">
        <w:t>irrobustimenti dell’infrastruttura</w:t>
      </w:r>
      <w:r>
        <w:t>, segmentazione e gestione delle vulnerabilità. L'automazione del triage non deve sostituire la decisione dell'analista, ma può ridurre le operazioni ripetitive, raccogliere in modo coerente le evidenze disponibili e presentare una prima valutazione verificabile.</w:t>
      </w:r>
    </w:p>
    <w:p w14:paraId="71857675" w14:textId="2FC98E92" w:rsidR="00065E1E" w:rsidRDefault="00713D55">
      <w:pPr>
        <w:pStyle w:val="Corpotesi"/>
      </w:pPr>
      <w:r>
        <w:t xml:space="preserve">Il tirocinio ha pertanto assunto come obiettivo sperimentale la progettazione di </w:t>
      </w:r>
      <w:proofErr w:type="spellStart"/>
      <w:r>
        <w:t>FishSTOP</w:t>
      </w:r>
      <w:proofErr w:type="spellEnd"/>
      <w:r>
        <w:t xml:space="preserve">, uno strumento locale destinato a supportare l'analisi preliminare delle e-mail sospette. L'ipotesi di lavoro è che l'automazione della raccolta e della correlazione degli indicatori tecnici possa ridurre il tempo impiegato nelle verifiche ricorrenti, mantenendo il controllo finale in capo al personale IT Security. Il </w:t>
      </w:r>
      <w:r>
        <w:lastRenderedPageBreak/>
        <w:t xml:space="preserve">beneficio atteso consiste nel liberare capacità operativa per le attività a maggiore </w:t>
      </w:r>
      <w:r w:rsidR="0029613B">
        <w:t>valore.</w:t>
      </w:r>
    </w:p>
    <w:p w14:paraId="281E5FAA" w14:textId="77777777" w:rsidR="00065E1E" w:rsidRDefault="00713D55">
      <w:pPr>
        <w:pStyle w:val="Titolo21"/>
        <w:numPr>
          <w:ilvl w:val="1"/>
          <w:numId w:val="1"/>
        </w:numPr>
      </w:pPr>
      <w:r>
        <w:t>Contesto aziendale</w:t>
      </w:r>
    </w:p>
    <w:p w14:paraId="3048CBA9" w14:textId="77777777" w:rsidR="00065E1E" w:rsidRDefault="00713D55">
      <w:pPr>
        <w:pStyle w:val="Corpotesi"/>
      </w:pPr>
      <w:proofErr w:type="spellStart"/>
      <w:r>
        <w:t>Cefla</w:t>
      </w:r>
      <w:proofErr w:type="spellEnd"/>
      <w:r>
        <w:t xml:space="preserve"> è un gruppo industriale </w:t>
      </w:r>
      <w:proofErr w:type="spellStart"/>
      <w:r>
        <w:t>multibusiness</w:t>
      </w:r>
      <w:proofErr w:type="spellEnd"/>
      <w:r>
        <w:t xml:space="preserve"> fondato a Imola nel 1932. Nel corso della propria storia l'organizzazione ha progressivamente ampliato il raggio d'azione, assumendo una dimensione internazionale e arrivando a impiegare circa 1.800</w:t>
      </w:r>
      <w:r w:rsidR="00FF5DDE">
        <w:t xml:space="preserve"> persone</w:t>
      </w:r>
      <w:r>
        <w:t>. Questa evoluzione ha determinato la convivenza di processi, tecnologie e requisiti operativi differenti, che richiedono un governo coordinato dei servizi informativi.</w:t>
      </w:r>
    </w:p>
    <w:p w14:paraId="73B9D022" w14:textId="77777777" w:rsidR="00065E1E" w:rsidRDefault="00713D55">
      <w:pPr>
        <w:pStyle w:val="Corpotesi"/>
      </w:pPr>
      <w:r>
        <w:t xml:space="preserve">L'attuale configurazione comprende tre Business Unit principali: Engineering, dedicata agli impianti tecnologici e ai sistemi per la produzione di energia; </w:t>
      </w:r>
      <w:proofErr w:type="spellStart"/>
      <w:r>
        <w:t>Finishing</w:t>
      </w:r>
      <w:proofErr w:type="spellEnd"/>
      <w:r>
        <w:t xml:space="preserve">, specializzata nelle macchine e negli impianti per la finitura delle superfici; e </w:t>
      </w:r>
      <w:proofErr w:type="spellStart"/>
      <w:r>
        <w:t>Medical</w:t>
      </w:r>
      <w:proofErr w:type="spellEnd"/>
      <w:r>
        <w:t xml:space="preserve"> </w:t>
      </w:r>
      <w:proofErr w:type="spellStart"/>
      <w:r>
        <w:t>Equipment</w:t>
      </w:r>
      <w:proofErr w:type="spellEnd"/>
      <w:r>
        <w:t>, attiva nelle tecnologie e apparecchiature per il settore odontoiatrico. A queste si affianca C-LED, società del Gruppo focalizzata sulle applicazioni elettroniche e sulle soluzioni LED (</w:t>
      </w:r>
      <w:proofErr w:type="spellStart"/>
      <w:r>
        <w:t>Cefla</w:t>
      </w:r>
      <w:proofErr w:type="spellEnd"/>
      <w:r>
        <w:t>, s.d.-b). La diversificazione delle attività rende necessario proteggere ambienti amministrativi, produttivi e di ricerca con esigenze tra loro differenti.</w:t>
      </w:r>
    </w:p>
    <w:p w14:paraId="3A729BF7" w14:textId="77777777" w:rsidR="00065E1E" w:rsidRDefault="00713D55">
      <w:pPr>
        <w:pStyle w:val="Corpotesi"/>
      </w:pPr>
      <w:r>
        <w:t xml:space="preserve">Il tirocinio si è svolto presso la sede Bicocca di Imola, all'interno dell'area IT </w:t>
      </w:r>
      <w:proofErr w:type="spellStart"/>
      <w:r>
        <w:t>Infrastructure</w:t>
      </w:r>
      <w:proofErr w:type="spellEnd"/>
      <w:r>
        <w:t xml:space="preserve"> &amp; Security. Da tale contesto vengono coordinate attività di gestione e protezione dei servizi informatici aziendali, con il supporto di personale locale o di fornitori nelle sedi geograficamente distribuite. Il modello osservato prevede inoltre la collaborazione con un SOC esterno per il monitoraggio continuativo e per una prima analisi delle telemetrie; gli eventi che richiedono conoscenza approfondita dell'ambiente o interventi sistemistici vengono successivamente gestiti dal team interno.</w:t>
      </w:r>
    </w:p>
    <w:p w14:paraId="59D6370F" w14:textId="77777777" w:rsidR="00065E1E" w:rsidRDefault="00713D55">
      <w:pPr>
        <w:pStyle w:val="Corpotesi"/>
      </w:pPr>
      <w:r>
        <w:t xml:space="preserve">L'ambiente utilizza strumenti </w:t>
      </w:r>
      <w:proofErr w:type="spellStart"/>
      <w:r>
        <w:t>enterprise</w:t>
      </w:r>
      <w:proofErr w:type="spellEnd"/>
      <w:r>
        <w:t xml:space="preserve"> per la protezione EDR/XDR degli endpoint, il patch management, la gestione centralizzata dei dispositivi e la governance delle identità. Nel periodo di tirocinio sono stati impiegati, tra gli altri, Cynet, </w:t>
      </w:r>
      <w:proofErr w:type="spellStart"/>
      <w:r>
        <w:t>Ivanti</w:t>
      </w:r>
      <w:proofErr w:type="spellEnd"/>
      <w:r>
        <w:t xml:space="preserve">, Microsoft </w:t>
      </w:r>
      <w:proofErr w:type="spellStart"/>
      <w:r>
        <w:t>Intune</w:t>
      </w:r>
      <w:proofErr w:type="spellEnd"/>
      <w:r>
        <w:t xml:space="preserve"> e Microsoft Entra ID</w:t>
      </w:r>
      <w:r w:rsidR="009F5F6D">
        <w:t>.</w:t>
      </w:r>
    </w:p>
    <w:p w14:paraId="0A0B1C9C" w14:textId="77777777" w:rsidR="00065E1E" w:rsidRDefault="00713D55">
      <w:pPr>
        <w:pStyle w:val="Titolo21"/>
        <w:numPr>
          <w:ilvl w:val="1"/>
          <w:numId w:val="1"/>
        </w:numPr>
      </w:pPr>
      <w:r>
        <w:t>Area IT Security e architettura di riferimento</w:t>
      </w:r>
    </w:p>
    <w:p w14:paraId="67553E33" w14:textId="77777777" w:rsidR="00065E1E" w:rsidRDefault="00713D55">
      <w:pPr>
        <w:pStyle w:val="Corpotesi"/>
      </w:pPr>
      <w:r>
        <w:t xml:space="preserve">L'area IT Security opera in raccordo con le funzioni infrastrutturali e con i servizi esterni di monitoraggio. Il perimetro comprende la protezione degli endpoint, la gestione delle identità e degli accessi, l'analisi degli eventi, il supporto </w:t>
      </w:r>
      <w:r>
        <w:lastRenderedPageBreak/>
        <w:t>alla risposta agli incidenti e il miglioramento progressivo della segmentazione di rete. Questa impostazione consente di affrontare la sicurezza come processo trasversale, collegato sia alla continuità operativa sia alla protezione delle informazioni aziendali.</w:t>
      </w:r>
    </w:p>
    <w:p w14:paraId="4C4006D7" w14:textId="77777777" w:rsidR="00065E1E" w:rsidRDefault="00713D55">
      <w:pPr>
        <w:pStyle w:val="Corpotesi"/>
      </w:pPr>
      <w:r>
        <w:t xml:space="preserve">Una parte del percorso ha riguardato la comprensione dell'architettura di rete e dei criteri di separazione logica del traffico. Le attività formative hanno incluso l'osservazione e il supporto alla configurazione di switch, VLAN, Virtual Domain e connessioni protette su apparati </w:t>
      </w:r>
      <w:proofErr w:type="spellStart"/>
      <w:r>
        <w:t>FortiGate</w:t>
      </w:r>
      <w:proofErr w:type="spellEnd"/>
      <w:r>
        <w:t xml:space="preserve">. </w:t>
      </w:r>
    </w:p>
    <w:p w14:paraId="4F53378D" w14:textId="77777777" w:rsidR="00065E1E" w:rsidRDefault="00713D55">
      <w:pPr>
        <w:pStyle w:val="Corpotesi"/>
      </w:pPr>
      <w:r>
        <w:t>Sul versante endpoint e identità, il tirocinio ha consentito di osservare l'applicazione di policy di accesso condizionale, la gestione centralizzata dei dispositivi, l'orchestrazione delle patch e l'analisi dei log amministrativi. Queste attività hanno evidenziato la relazione tra misure tecniche, procedure organizzative e requisiti di controllo, anche nel quadro del sistema di gestione della sicurezza delle informazioni adottato dall'azienda.</w:t>
      </w:r>
    </w:p>
    <w:p w14:paraId="46870712" w14:textId="77777777" w:rsidR="00065E1E" w:rsidRDefault="00713D55">
      <w:pPr>
        <w:pStyle w:val="Titolo21"/>
        <w:numPr>
          <w:ilvl w:val="1"/>
          <w:numId w:val="1"/>
        </w:numPr>
      </w:pPr>
      <w:r>
        <w:t>Perimetro e articolazione del tirocinio</w:t>
      </w:r>
    </w:p>
    <w:p w14:paraId="45271821" w14:textId="77777777" w:rsidR="00065E1E" w:rsidRDefault="00713D55">
      <w:pPr>
        <w:pStyle w:val="Corpotesi"/>
      </w:pPr>
      <w:r>
        <w:t xml:space="preserve">Il tirocinio curricolare, della durata complessiva di 500 ore, si è svolto tra aprile e luglio 2026 presso la sede Bicocca di Imola. Il ruolo ricoperto è stato quello di Assistente Cybersecurity </w:t>
      </w:r>
      <w:proofErr w:type="spellStart"/>
      <w:r>
        <w:t>Specialist</w:t>
      </w:r>
      <w:proofErr w:type="spellEnd"/>
      <w:r>
        <w:t xml:space="preserve">, sotto la supervisione di Andrea Zaffoni, IT </w:t>
      </w:r>
      <w:proofErr w:type="spellStart"/>
      <w:r>
        <w:t>Infrastructure</w:t>
      </w:r>
      <w:proofErr w:type="spellEnd"/>
      <w:r>
        <w:t xml:space="preserve"> &amp; Security Manager. L'inserimento nel gruppo di lavoro è avvenuto in modo progressivo, combinando affiancamento, studio degli strumenti e partecipazione alle attività operative.</w:t>
      </w:r>
    </w:p>
    <w:p w14:paraId="07D5749F" w14:textId="77777777" w:rsidR="00065E1E" w:rsidRDefault="00713D55">
      <w:pPr>
        <w:pStyle w:val="Corpotesi"/>
      </w:pPr>
      <w:r>
        <w:t xml:space="preserve">Le principali aree di coinvolgimento hanno riguardato il monitoraggio e la presa in carico delle segnalazioni, il supporto alle attività di </w:t>
      </w:r>
      <w:proofErr w:type="spellStart"/>
      <w:r>
        <w:t>incident</w:t>
      </w:r>
      <w:proofErr w:type="spellEnd"/>
      <w:r>
        <w:t xml:space="preserve"> </w:t>
      </w:r>
      <w:proofErr w:type="spellStart"/>
      <w:r>
        <w:t>response</w:t>
      </w:r>
      <w:proofErr w:type="spellEnd"/>
      <w:r>
        <w:t xml:space="preserve">, la gestione delle contromisure sugli endpoint e la collaborazione su interventi di rete e </w:t>
      </w:r>
      <w:proofErr w:type="spellStart"/>
      <w:r>
        <w:t>hardening</w:t>
      </w:r>
      <w:proofErr w:type="spellEnd"/>
      <w:r>
        <w:t>. In parallelo sono state approfondite le procedure con cui il SOC esterno scala gli eventi al team interno e le modalità di coordinamento con l'Help Desk nei casi che richiedono bonifica o reinstallazione dei sistemi.</w:t>
      </w:r>
    </w:p>
    <w:p w14:paraId="22E7A7F1" w14:textId="77777777" w:rsidR="00065E1E" w:rsidRDefault="00713D55">
      <w:pPr>
        <w:pStyle w:val="Corpotesi"/>
      </w:pPr>
      <w:r>
        <w:t xml:space="preserve">Tra le attività osservate, il triage delle e-mail di phishing si è rivelato particolarmente ripetitivo e oneroso. La necessità di raccogliere i messaggi in formato .eml, esaminare gli </w:t>
      </w:r>
      <w:proofErr w:type="spellStart"/>
      <w:r>
        <w:t>header</w:t>
      </w:r>
      <w:proofErr w:type="spellEnd"/>
      <w:r>
        <w:t>, verificare i risultati dei protocolli di autenticazione e intervenire sulle console di posta ha definito il problema operativo sul quale concentrare la parte sperimentale. Da questa esigenza è nata la proposta di FishSTOP.</w:t>
      </w:r>
    </w:p>
    <w:p w14:paraId="2C229A86" w14:textId="77777777" w:rsidR="00065E1E" w:rsidRDefault="00713D55">
      <w:r>
        <w:lastRenderedPageBreak/>
        <w:br w:type="page"/>
      </w:r>
    </w:p>
    <w:p w14:paraId="468ED594" w14:textId="77777777" w:rsidR="00065E1E" w:rsidRDefault="00713D55">
      <w:pPr>
        <w:pStyle w:val="Titolo11"/>
        <w:numPr>
          <w:ilvl w:val="0"/>
          <w:numId w:val="1"/>
        </w:numPr>
      </w:pPr>
      <w:r>
        <w:lastRenderedPageBreak/>
        <w:t>Parte sperimentale e risultati</w:t>
      </w:r>
    </w:p>
    <w:p w14:paraId="70A472DE" w14:textId="77777777" w:rsidR="00065E1E" w:rsidRDefault="00713D55">
      <w:pPr>
        <w:pStyle w:val="Titolo21"/>
        <w:numPr>
          <w:ilvl w:val="1"/>
          <w:numId w:val="1"/>
        </w:numPr>
      </w:pPr>
      <w:r>
        <w:t>Panoramica delle attività operative di cybersecurity</w:t>
      </w:r>
    </w:p>
    <w:p w14:paraId="6FD7A243" w14:textId="13A1A4F4" w:rsidR="00065E1E" w:rsidRDefault="00713D55">
      <w:pPr>
        <w:pStyle w:val="Corpotesi"/>
      </w:pPr>
      <w:r>
        <w:t>L'operatività quotidiana era organizzata attraverso un breve incontro di allineamento</w:t>
      </w:r>
      <w:r w:rsidR="004F5E8C">
        <w:t xml:space="preserve"> (</w:t>
      </w:r>
      <w:proofErr w:type="spellStart"/>
      <w:r w:rsidR="004F5E8C">
        <w:t>daily</w:t>
      </w:r>
      <w:proofErr w:type="spellEnd"/>
      <w:r w:rsidR="004F5E8C">
        <w:t xml:space="preserve"> stand up meeting)</w:t>
      </w:r>
      <w:r>
        <w:t>, durante il quale il team esaminava le attività completate, le criticità ancora aperte e le priorità della giornata. Questo momento consentiva di distribuire il carico di lavoro e di mantenere una visione condivisa degli eventi che potevano incidere sulla postura di sicurezza dell'organizzazione.</w:t>
      </w:r>
    </w:p>
    <w:p w14:paraId="3E78C8AB" w14:textId="77777777" w:rsidR="00065E1E" w:rsidRDefault="00713D55">
      <w:pPr>
        <w:pStyle w:val="Corpotesi"/>
      </w:pPr>
      <w:r>
        <w:t>Successivamente venivano analizzate le segnalazioni provenienti dai sistemi di sicurezza, dagli utenti e dal SOC esterno. La presa in carico di un ticket richiedeva spesso il contatto diretto con la persona coinvolta, la raccolta del contesto e la verifica delle evidenze disponibili. L'analisi tecnica era quindi accompagnata da una componente comunicativa essenziale per distinguere un evento benigno da una situazione che richiedeva contenimento o remediation.</w:t>
      </w:r>
    </w:p>
    <w:p w14:paraId="3AB72A5A" w14:textId="6295D7BA" w:rsidR="00065E1E" w:rsidRDefault="00713D55">
      <w:pPr>
        <w:pStyle w:val="Corpotesi"/>
      </w:pPr>
      <w:r>
        <w:t>In presenza di un endpoint potenzialmente compromesso, il flusso prevedeva l'utilizzo delle funzionalità EDR/XDR per limitare la comunicazione della macchina con la rete e impedire possibili movimenti laterali o tentativi di esfiltrazione. Quando la bonifica software non risultava sufficiente, il team collaborava con l'Help Desk per valutare la reinstallazione controllata del sistema</w:t>
      </w:r>
      <w:r w:rsidR="005B7184">
        <w:t xml:space="preserve"> dopo aver effettuato una scansione con software antivirus</w:t>
      </w:r>
      <w:r>
        <w:t>. Le decisioni venivano assunte dal personale responsabile sulla base delle evidenze e delle procedure aziendali.</w:t>
      </w:r>
    </w:p>
    <w:p w14:paraId="1FE09D8F" w14:textId="77777777" w:rsidR="00065E1E" w:rsidRDefault="00713D55">
      <w:pPr>
        <w:pStyle w:val="Corpotesi"/>
      </w:pPr>
      <w:r>
        <w:t xml:space="preserve">Nei periodi con un carico inferiore di ticket, l'attività si orientava verso azioni preventive: analisi dei flussi, revisione della segmentazione, supporto alla configurazione degli apparati e rafforzamento delle misure di </w:t>
      </w:r>
      <w:proofErr w:type="spellStart"/>
      <w:r>
        <w:t>hardening</w:t>
      </w:r>
      <w:proofErr w:type="spellEnd"/>
      <w:r>
        <w:t>. L'alternanza tra risposta reattiva e miglioramento proattivo ha reso evidente come il tempo assorbito dalle verifiche ripetitive possa incidere sulla capacità di sviluppare interventi strutturali.</w:t>
      </w:r>
    </w:p>
    <w:p w14:paraId="070928C8" w14:textId="77777777" w:rsidR="00065E1E" w:rsidRDefault="00713D55">
      <w:pPr>
        <w:pStyle w:val="Titolo21"/>
        <w:numPr>
          <w:ilvl w:val="1"/>
          <w:numId w:val="1"/>
        </w:numPr>
      </w:pPr>
      <w:r>
        <w:t>Migrazione a Microsoft 365 e criticità del controllo SPF</w:t>
      </w:r>
    </w:p>
    <w:p w14:paraId="056E2C1E" w14:textId="77777777" w:rsidR="00065E1E" w:rsidRDefault="00713D55">
      <w:pPr>
        <w:pStyle w:val="Corpotesi"/>
      </w:pPr>
      <w:r>
        <w:t>Nel periodo di tirocinio, la gestione della posta elettronica si trovava in una fase di transizione da Google Workspace a Microsoft 365. La coesistenza temporanea dei due ambienti richiedeva di riconoscere come legittime più sorgenti di invio e di mantenere operativi i flussi necessari alla continuità aziendale</w:t>
      </w:r>
      <w:r w:rsidR="0083212C">
        <w:t>.</w:t>
      </w:r>
    </w:p>
    <w:p w14:paraId="6E9F3BDC" w14:textId="77777777" w:rsidR="00065E1E" w:rsidRDefault="00713D55">
      <w:pPr>
        <w:pStyle w:val="Corpotesi"/>
      </w:pPr>
      <w:r>
        <w:lastRenderedPageBreak/>
        <w:t>Il Sender Policy Framework (SPF) è un meccanismo di autenticazione che consente al titolare di un dominio di pubblicare nel DNS, tramite un record TXT, le sorgenti autorizzate a inviare e-mail per quel dominio. Durante la verifica, il sistema ricevente valuta l'indirizzo del server mittente rispetto ai meccanismi definiti nel record. SPF rappresenta solo uno dei segnali di autenticazione e deve essere considerato insieme a DKIM e DMARC.</w:t>
      </w:r>
    </w:p>
    <w:p w14:paraId="6DC85344" w14:textId="77777777" w:rsidR="00065E1E" w:rsidRDefault="00713D55">
      <w:pPr>
        <w:pStyle w:val="Corpotesi"/>
      </w:pPr>
      <w:r>
        <w:t xml:space="preserve">La specifica RFC 7208 stabilisce un limite massimo di dieci termini che generano interrogazioni DNS durante una singola valutazione SPF. Nel conteggio rientrano, tra gli altri, i meccanismi include, a, mx, </w:t>
      </w:r>
      <w:proofErr w:type="spellStart"/>
      <w:r>
        <w:t>ptr</w:t>
      </w:r>
      <w:proofErr w:type="spellEnd"/>
      <w:r>
        <w:t xml:space="preserve"> ed </w:t>
      </w:r>
      <w:proofErr w:type="spellStart"/>
      <w:r>
        <w:t>exists</w:t>
      </w:r>
      <w:proofErr w:type="spellEnd"/>
      <w:r>
        <w:t xml:space="preserve"> e il modificatore </w:t>
      </w:r>
      <w:proofErr w:type="spellStart"/>
      <w:r>
        <w:t>redirect</w:t>
      </w:r>
      <w:proofErr w:type="spellEnd"/>
      <w:r>
        <w:t xml:space="preserve">. Se il limite viene superato, la valutazione deve restituire il risultato </w:t>
      </w:r>
      <w:proofErr w:type="spellStart"/>
      <w:r>
        <w:t>permerror</w:t>
      </w:r>
      <w:proofErr w:type="spellEnd"/>
      <w:r>
        <w:t xml:space="preserve"> (Kitterman, 2014). Anche la documentazione Microsoft riconduce il </w:t>
      </w:r>
      <w:proofErr w:type="spellStart"/>
      <w:r>
        <w:t>permerror</w:t>
      </w:r>
      <w:proofErr w:type="spellEnd"/>
      <w:r>
        <w:t xml:space="preserve"> al superamento del limite o alla pubblicazione di più record SPF per lo stesso dominio (Microsoft, 2026).</w:t>
      </w:r>
    </w:p>
    <w:p w14:paraId="392F4AB8" w14:textId="77777777" w:rsidR="00065E1E" w:rsidRDefault="00713D55">
      <w:pPr>
        <w:pStyle w:val="Corpotesi"/>
      </w:pPr>
      <w:r>
        <w:t>Nel caso osservato, la presenza contemporanea dei provider di posta, sommata alle altre sorgenti di invio autorizzate, aveva aumentato la complessità del record e prodotto criticità di validazione. Per evitare effetti sulla consegna delle comunicazioni legittime, la funzione SPF fu temporaneamente rimossa durante una fase della transizione. È importante precisare che l'assenza del record non equivale a dichiarare non autorizzati tutti gli indirizzi IP: la verifica restituisce normalmente il risultato none, cioè l'assenza di informazioni SPF. Ne deriva una riduzione del segnale disponibile per contrastare lo spoofing, mentre gli eventuali controlli DKIM, DMARC e le altre misure di sicurezza continuano a operare secondo la loro configurazione.</w:t>
      </w:r>
    </w:p>
    <w:p w14:paraId="665247CA" w14:textId="77777777" w:rsidR="00065E1E" w:rsidRDefault="00713D55">
      <w:pPr>
        <w:pStyle w:val="Titolo21"/>
        <w:numPr>
          <w:ilvl w:val="1"/>
          <w:numId w:val="1"/>
        </w:numPr>
      </w:pPr>
      <w:r>
        <w:t>Aumento delle segnalazioni e impatto sulle attività proattive</w:t>
      </w:r>
    </w:p>
    <w:p w14:paraId="7D98ED24" w14:textId="77777777" w:rsidR="00065E1E" w:rsidRDefault="00713D55">
      <w:pPr>
        <w:pStyle w:val="Corpotesi"/>
      </w:pPr>
      <w:r>
        <w:t>La fase di minore efficacia del controllo SPF coincise con un incremento delle segnalazioni relative a messaggi di phishing e spoofing</w:t>
      </w:r>
      <w:r w:rsidR="00AA33B7">
        <w:t>.</w:t>
      </w:r>
      <w:r>
        <w:t xml:space="preserve"> Le campagne sfruttavano soprattutto tentativi di impersonificazione di figure aziendali o funzioni amministrative.</w:t>
      </w:r>
    </w:p>
    <w:p w14:paraId="6ECE7955" w14:textId="77777777" w:rsidR="00065E1E" w:rsidRDefault="00713D55">
      <w:pPr>
        <w:pStyle w:val="Corpotesi"/>
      </w:pPr>
      <w:r>
        <w:t xml:space="preserve">Il flusso manuale prevedeva la presa in carico della segnalazione, il contatto con l'utente e l'acquisizione del messaggio in formato forense .eml. Seguivano l'esame degli </w:t>
      </w:r>
      <w:proofErr w:type="spellStart"/>
      <w:r>
        <w:t>header</w:t>
      </w:r>
      <w:proofErr w:type="spellEnd"/>
      <w:r>
        <w:t xml:space="preserve">, la ricostruzione del percorso del messaggio e la verifica dei risultati SPF, DKIM e DMARC. Quando gli indicatori confermavano la natura </w:t>
      </w:r>
      <w:r>
        <w:lastRenderedPageBreak/>
        <w:t>malevola, il messaggio veniva ricercato e rimosso attraverso le console disponibili nell'ambiente di posta.</w:t>
      </w:r>
    </w:p>
    <w:p w14:paraId="0211AA71" w14:textId="77777777" w:rsidR="00065E1E" w:rsidRDefault="00713D55">
      <w:pPr>
        <w:pStyle w:val="Corpotesi"/>
      </w:pPr>
      <w:r>
        <w:t>Nei casi in cui l'utente avesse interagito con collegamenti o allegati sospetti, l'analisi si estendeva all'endpoint. Il team poteva quindi utilizzare la piattaforma EDR/XDR per contenere temporaneamente il dispositivo, verificare la presenza di esecuzioni anomale e coordinare le successive attività di remediation. Ogni passaggio richiedeva la raccolta di informazioni distribuite tra strumenti diversi e la registrazione delle decisioni assunte.</w:t>
      </w:r>
    </w:p>
    <w:p w14:paraId="7AC46E90" w14:textId="77777777" w:rsidR="00065E1E" w:rsidRDefault="00713D55">
      <w:pPr>
        <w:pStyle w:val="Corpotesi"/>
      </w:pPr>
      <w:r>
        <w:t xml:space="preserve">L'aumento del numero di casi rese evidente il costo operativo del processo: una quota significativa del tempo veniva assorbita da controlli ripetitivi, riducendo lo spazio disponibile per </w:t>
      </w:r>
      <w:r w:rsidR="0003237B">
        <w:t>altre attività.</w:t>
      </w:r>
      <w:r>
        <w:t xml:space="preserve"> Questo vincolo ha fornito il requisito principale per </w:t>
      </w:r>
      <w:proofErr w:type="spellStart"/>
      <w:r>
        <w:t>FishSTOP</w:t>
      </w:r>
      <w:proofErr w:type="spellEnd"/>
      <w:r>
        <w:t>: automatizzare le verifiche preliminari e la correlazione delle evidenze, lasciando all'analista la validazione e la scelta delle azioni da intraprendere.</w:t>
      </w:r>
    </w:p>
    <w:p w14:paraId="5CD28F63" w14:textId="77777777" w:rsidR="00065E1E" w:rsidRDefault="00713D55">
      <w:pPr>
        <w:pStyle w:val="Titolo21"/>
        <w:numPr>
          <w:ilvl w:val="1"/>
          <w:numId w:val="1"/>
        </w:numPr>
      </w:pPr>
      <w:proofErr w:type="spellStart"/>
      <w:r>
        <w:t>FishSTOP</w:t>
      </w:r>
      <w:proofErr w:type="spellEnd"/>
      <w:r>
        <w:t>: progettazione, funzionamento e risultati</w:t>
      </w:r>
    </w:p>
    <w:p w14:paraId="14D3AA4D" w14:textId="77777777" w:rsidR="00065E1E" w:rsidRDefault="00713D55">
      <w:pPr>
        <w:pStyle w:val="Titolo31"/>
      </w:pPr>
      <w:r>
        <w:t>Finalità e requisiti del progetto</w:t>
      </w:r>
    </w:p>
    <w:p w14:paraId="1738FD94" w14:textId="77777777" w:rsidR="0032419E" w:rsidRDefault="00713D55">
      <w:pPr>
        <w:pStyle w:val="Corpotesi"/>
      </w:pPr>
      <w:proofErr w:type="spellStart"/>
      <w:r>
        <w:t>FishSTOP</w:t>
      </w:r>
      <w:proofErr w:type="spellEnd"/>
      <w:r>
        <w:t xml:space="preserve"> è stato sviluppato durante il tirocinio come strumento di supporto al triage delle e-mail sospette. Il punto di partenza è stato il flusso manuale osservato in azienda: acquisizione del messaggio in formato .eml, lettura degli </w:t>
      </w:r>
      <w:proofErr w:type="spellStart"/>
      <w:r>
        <w:t>header</w:t>
      </w:r>
      <w:proofErr w:type="spellEnd"/>
      <w:r>
        <w:t>, verifica dell'autenticazione del mittente, controllo di indirizzi IP, domini, collegamenti e allegati, quindi sintesi delle evidenze per decidere se archiviare il caso, approfondirlo o avviare il contenimento. Queste operazioni sono necessarie, ma la loro ripetizione su numerose segnalazioni può rallentare la presa in carico e sottrarre tempo alle attività preventive.</w:t>
      </w:r>
    </w:p>
    <w:p w14:paraId="0064D3B0" w14:textId="77777777" w:rsidR="0032419E" w:rsidRDefault="00713D55">
      <w:pPr>
        <w:pStyle w:val="Corpotesi"/>
      </w:pPr>
      <w:r>
        <w:t xml:space="preserve">Il progetto non è concepito come un filtro di posta né come un sistema autonomo di </w:t>
      </w:r>
      <w:proofErr w:type="spellStart"/>
      <w:r>
        <w:t>incident</w:t>
      </w:r>
      <w:proofErr w:type="spellEnd"/>
      <w:r>
        <w:t xml:space="preserve"> </w:t>
      </w:r>
      <w:proofErr w:type="spellStart"/>
      <w:r>
        <w:t>response</w:t>
      </w:r>
      <w:proofErr w:type="spellEnd"/>
      <w:r>
        <w:t xml:space="preserve">. La sua funzione è raccogliere in un'unica interfaccia le evidenze utili, automatizzare i controlli ripetitivi e rendere verificabile il ragionamento dell'analista. </w:t>
      </w:r>
      <w:r w:rsidRPr="0036598D">
        <w:rPr>
          <w:highlight w:val="yellow"/>
        </w:rPr>
        <w:t>I requisiti principali sono stati pertanto: lavorare direttamente sul file originale; conservare la separazione tra fatti tecnici e interpretazione; segnalare esplicitamente i casi incerti; evitare che un singolo indicatore debole determini il verdetto; proteggere il contenuto del messaggio; consentire all'operatore di ispezionare dati grezzi, risultati intermedi e limiti dell'analisi.</w:t>
      </w:r>
    </w:p>
    <w:p w14:paraId="3719ADE7" w14:textId="77777777" w:rsidR="0032419E" w:rsidRDefault="00713D55">
      <w:pPr>
        <w:pStyle w:val="Titolo31"/>
      </w:pPr>
      <w:r>
        <w:lastRenderedPageBreak/>
        <w:t>Architettura applicativa e flusso di analisi</w:t>
      </w:r>
    </w:p>
    <w:p w14:paraId="6F313BC7" w14:textId="134EC0CF" w:rsidR="0032419E" w:rsidRDefault="00713D55">
      <w:pPr>
        <w:pStyle w:val="Corpotesi"/>
      </w:pPr>
      <w:r>
        <w:t xml:space="preserve">L'applicazione è realizzata in Python e utilizza </w:t>
      </w:r>
      <w:proofErr w:type="spellStart"/>
      <w:r>
        <w:t>Streamlit</w:t>
      </w:r>
      <w:proofErr w:type="spellEnd"/>
      <w:r>
        <w:t xml:space="preserve"> per l'interfaccia web </w:t>
      </w:r>
      <w:r w:rsidR="009429AB">
        <w:t xml:space="preserve">o </w:t>
      </w:r>
      <w:r>
        <w:t xml:space="preserve">locale. La struttura è modulare: un parser a basso livello sanifica e apre i file .eml; </w:t>
      </w:r>
      <w:proofErr w:type="spellStart"/>
      <w:r>
        <w:t>EmlSOCAnalyzer</w:t>
      </w:r>
      <w:proofErr w:type="spellEnd"/>
      <w:r>
        <w:t xml:space="preserve"> coordina l'estrazione forense; moduli specializzati analizzano autenticazione, percorso del messaggio, link, allegati e reputazione; il classificatore </w:t>
      </w:r>
      <w:proofErr w:type="spellStart"/>
      <w:r>
        <w:t>DistilBERT</w:t>
      </w:r>
      <w:proofErr w:type="spellEnd"/>
      <w:r>
        <w:t xml:space="preserve"> valuta il contenuto testuale</w:t>
      </w:r>
      <w:r w:rsidR="009429AB">
        <w:t xml:space="preserve"> per quanto riguarda l’urgenza</w:t>
      </w:r>
      <w:r>
        <w:t xml:space="preserve">; Phi-4 mini estrae elementi semantici e produce una spiegazione contestuale. Librerie quali Transformers e </w:t>
      </w:r>
      <w:proofErr w:type="spellStart"/>
      <w:r>
        <w:t>PyTorch</w:t>
      </w:r>
      <w:proofErr w:type="spellEnd"/>
      <w:r>
        <w:t xml:space="preserve"> gestiscono il modello neurale, </w:t>
      </w:r>
      <w:proofErr w:type="spellStart"/>
      <w:r>
        <w:t>pandas</w:t>
      </w:r>
      <w:proofErr w:type="spellEnd"/>
      <w:r>
        <w:t xml:space="preserve"> e </w:t>
      </w:r>
      <w:proofErr w:type="spellStart"/>
      <w:r>
        <w:t>scikit-learn</w:t>
      </w:r>
      <w:proofErr w:type="spellEnd"/>
      <w:r>
        <w:t xml:space="preserve"> supportano dataset e valutazione, Beautiful </w:t>
      </w:r>
      <w:proofErr w:type="spellStart"/>
      <w:r>
        <w:t>Soup</w:t>
      </w:r>
      <w:proofErr w:type="spellEnd"/>
      <w:r>
        <w:t xml:space="preserve"> e </w:t>
      </w:r>
      <w:proofErr w:type="spellStart"/>
      <w:r>
        <w:t>lxml</w:t>
      </w:r>
      <w:proofErr w:type="spellEnd"/>
      <w:r>
        <w:t xml:space="preserve"> la pulizia dell'HTML, </w:t>
      </w:r>
      <w:proofErr w:type="spellStart"/>
      <w:r>
        <w:t>dnspython</w:t>
      </w:r>
      <w:proofErr w:type="spellEnd"/>
      <w:r>
        <w:t xml:space="preserve">, </w:t>
      </w:r>
      <w:proofErr w:type="spellStart"/>
      <w:r>
        <w:t>pyspf</w:t>
      </w:r>
      <w:proofErr w:type="spellEnd"/>
      <w:r>
        <w:t xml:space="preserve"> e </w:t>
      </w:r>
      <w:proofErr w:type="spellStart"/>
      <w:r>
        <w:t>dkimpy</w:t>
      </w:r>
      <w:proofErr w:type="spellEnd"/>
      <w:r>
        <w:t xml:space="preserve"> i controlli legati alla posta, mentre </w:t>
      </w:r>
      <w:proofErr w:type="spellStart"/>
      <w:r>
        <w:t>requests</w:t>
      </w:r>
      <w:proofErr w:type="spellEnd"/>
      <w:r>
        <w:t xml:space="preserve"> permette le interrogazioni ai servizi di reputazione</w:t>
      </w:r>
      <w:r w:rsidR="009429AB">
        <w:t xml:space="preserve"> online</w:t>
      </w:r>
      <w:r>
        <w:t>.</w:t>
      </w:r>
    </w:p>
    <w:p w14:paraId="4ECF26BF" w14:textId="77777777" w:rsidR="0032419E" w:rsidRDefault="00713D55">
      <w:pPr>
        <w:pStyle w:val="Corpotesi"/>
      </w:pPr>
      <w:r>
        <w:t xml:space="preserve">L'utente carica un file .eml e </w:t>
      </w:r>
      <w:proofErr w:type="spellStart"/>
      <w:r>
        <w:t>FishSTOP</w:t>
      </w:r>
      <w:proofErr w:type="spellEnd"/>
      <w:r>
        <w:t xml:space="preserve"> genera un report suddiviso in aree: quadro esecutivo, identità del mittente, autenticazione e </w:t>
      </w:r>
      <w:proofErr w:type="spellStart"/>
      <w:r>
        <w:t>routing</w:t>
      </w:r>
      <w:proofErr w:type="spellEnd"/>
      <w:r>
        <w:t xml:space="preserve">, intelligence sui collegamenti, allegati, analisi del corpo e dati grezzi. Questa separazione consente di partire da una sintesi e risalire alle evidenze. L'output comprende campi normalizzati, flag con livello di gravità, risultati delle fonti esterne, probabilità del classificatore, esito semantico e motivazioni. L'analista può quindi confrontare rapidamente il verdetto proposto con gli </w:t>
      </w:r>
      <w:proofErr w:type="spellStart"/>
      <w:r>
        <w:t>header</w:t>
      </w:r>
      <w:proofErr w:type="spellEnd"/>
      <w:r>
        <w:t xml:space="preserve"> e gli indicatori originari.</w:t>
      </w:r>
    </w:p>
    <w:p w14:paraId="7C0E4520" w14:textId="77777777" w:rsidR="0032419E" w:rsidRDefault="00713D55">
      <w:pPr>
        <w:pStyle w:val="Corpotesi"/>
      </w:pPr>
      <w:r>
        <w:t>La pipeline è stata progettata in modo tollerante agli errori. Un messaggio non perfettamente conforme, un URL malformato o l'assenza di una chiave API non devono interrompere l'intera analisi: quando possibile il dato viene riparato o ignorato in sicurezza, mentre il controllo non disponibile viene indicato come tale. Questo comportamento è essenziale in ambito SOC, perché proprio le e-mail malevole presentano frequentemente codifiche inconsuete, HTML degradato e intestazioni incomplete.</w:t>
      </w:r>
    </w:p>
    <w:p w14:paraId="4A7ED15D" w14:textId="77777777" w:rsidR="0032419E" w:rsidRDefault="00713D55">
      <w:pPr>
        <w:pStyle w:val="Titolo31"/>
      </w:pPr>
      <w:r>
        <w:t xml:space="preserve">Acquisizione, </w:t>
      </w:r>
      <w:proofErr w:type="spellStart"/>
      <w:r>
        <w:t>parsing</w:t>
      </w:r>
      <w:proofErr w:type="spellEnd"/>
      <w:r>
        <w:t xml:space="preserve"> e selezione del contenuto</w:t>
      </w:r>
    </w:p>
    <w:p w14:paraId="7E32B69F" w14:textId="77777777" w:rsidR="0032419E" w:rsidRDefault="00713D55">
      <w:pPr>
        <w:pStyle w:val="Corpotesi"/>
      </w:pPr>
      <w:r>
        <w:t xml:space="preserve">Il formato .eml conserva intestazioni, struttura MIME, corpo e allegati e permette quindi un'analisi più completa rispetto a uno screenshot o al semplice inoltro del testo. La prima fase sanifica i byte del file e utilizza il modulo </w:t>
      </w:r>
      <w:proofErr w:type="gramStart"/>
      <w:r>
        <w:t>email</w:t>
      </w:r>
      <w:proofErr w:type="gramEnd"/>
      <w:r>
        <w:t xml:space="preserve"> di Python per ricostruire il messaggio. Vengono estratti From, </w:t>
      </w:r>
      <w:proofErr w:type="spellStart"/>
      <w:r>
        <w:t>Reply</w:t>
      </w:r>
      <w:proofErr w:type="spellEnd"/>
      <w:r>
        <w:t xml:space="preserve">-To, Return-Path, destinatari, oggetto, data, Message-ID, </w:t>
      </w:r>
      <w:proofErr w:type="spellStart"/>
      <w:r>
        <w:t>header</w:t>
      </w:r>
      <w:proofErr w:type="spellEnd"/>
      <w:r>
        <w:t xml:space="preserve"> di autenticazione, catena </w:t>
      </w:r>
      <w:proofErr w:type="spellStart"/>
      <w:r>
        <w:t>Received</w:t>
      </w:r>
      <w:proofErr w:type="spellEnd"/>
      <w:r>
        <w:t>, parti text/</w:t>
      </w:r>
      <w:proofErr w:type="spellStart"/>
      <w:r>
        <w:t>plain</w:t>
      </w:r>
      <w:proofErr w:type="spellEnd"/>
      <w:r>
        <w:t xml:space="preserve"> e text/html e allegati. I valori sono normalizzati senza eliminare la possibilità di consultare le informazioni grezze.</w:t>
      </w:r>
    </w:p>
    <w:p w14:paraId="7A94E9CB" w14:textId="20D3F105" w:rsidR="0032419E" w:rsidRDefault="00FE76EE">
      <w:pPr>
        <w:pStyle w:val="Corpotesi"/>
      </w:pPr>
      <w:r>
        <w:lastRenderedPageBreak/>
        <w:t>L</w:t>
      </w:r>
      <w:r w:rsidR="00713D55">
        <w:t>'HTML visibile è ripulito dagli elementi non utili, mentre firme, code conversazionali e testo inoltrato sono gestiti in base al contesto del messaggio. Blocchi molto estesi di caratteri codificati o casuali, talvolta inseriti per avvelenare l'analisi testuale, vengono rimossi solo quando superano</w:t>
      </w:r>
      <w:r w:rsidR="009429AB">
        <w:t xml:space="preserve"> determinate</w:t>
      </w:r>
      <w:r w:rsidR="00713D55">
        <w:t xml:space="preserve"> soglie</w:t>
      </w:r>
    </w:p>
    <w:p w14:paraId="3DDA10A6" w14:textId="77777777" w:rsidR="0032419E" w:rsidRDefault="00713D55">
      <w:pPr>
        <w:pStyle w:val="Corpotesi"/>
      </w:pPr>
      <w:r>
        <w:t xml:space="preserve">Dalla catena </w:t>
      </w:r>
      <w:proofErr w:type="spellStart"/>
      <w:r>
        <w:t>Received</w:t>
      </w:r>
      <w:proofErr w:type="spellEnd"/>
      <w:r>
        <w:t xml:space="preserve"> viene ricostruito il percorso tra i server e, ove possibile, individuato l'indirizzo IP pubblico di origine. I risultati presenti in Authentication-</w:t>
      </w:r>
      <w:proofErr w:type="spellStart"/>
      <w:r>
        <w:t>Results</w:t>
      </w:r>
      <w:proofErr w:type="spellEnd"/>
      <w:r>
        <w:t>, ARC-Authentication-</w:t>
      </w:r>
      <w:proofErr w:type="spellStart"/>
      <w:r>
        <w:t>Results</w:t>
      </w:r>
      <w:proofErr w:type="spellEnd"/>
      <w:r>
        <w:t xml:space="preserve"> e </w:t>
      </w:r>
      <w:proofErr w:type="spellStart"/>
      <w:r>
        <w:t>Received</w:t>
      </w:r>
      <w:proofErr w:type="spellEnd"/>
      <w:r>
        <w:t>-SPF sono aggregati conservando l'esito più sfavorevole quando lo stesso protocollo compare più volte. SPF, DKIM e DMARC non sono interpretati come un interruttore binario: l'assenza di una firma o un fallimento di autenticazione rappresentano evidenze sull'identità, ma non dimostrano da soli l'intento malevolo del contenuto. La specifica DMARC chiarisce infatti che un esito pass valida soltanto l'uso autorizzato del dominio dell'autore e non esprime un giudizio sulla sicurezza o desiderabilità del messaggio; non copre inoltre domini visivamente simili, abusi del nome visualizzato o analisi del contenuto (Herr e Levine, 2026).</w:t>
      </w:r>
    </w:p>
    <w:p w14:paraId="71BD8C8A" w14:textId="77777777" w:rsidR="0032419E" w:rsidRDefault="00713D55">
      <w:pPr>
        <w:pStyle w:val="Titolo31"/>
      </w:pPr>
      <w:r>
        <w:t>Controlli su reputazione, collegamenti e allegati</w:t>
      </w:r>
    </w:p>
    <w:p w14:paraId="0FC57AFA" w14:textId="342698FD" w:rsidR="0032419E" w:rsidRDefault="00E07D28">
      <w:pPr>
        <w:pStyle w:val="Corpotesi"/>
      </w:pPr>
      <w:r>
        <w:t xml:space="preserve">In cybersecurity, la sola analisi di firme, campi statici e caratteristiche strutturali non è sufficiente, perché ogni controllo deterministico copre un insieme finito e noto di condizioni: una volta compreso il criterio adottato, l’attaccante può modificarne la rappresentazione senza cambiare l’obiettivo dell’attacco. È il caso, ad esempio, del contenuto del corpo incorporato, codificato o frammentato nell’HTML, che può sfuggire a un antispam limitato al testo immediatamente visibile se il messaggio non viene prima ricostruito e normalizzato. La verifica deve quindi affiancare ai segnali statici la reputazione, consultata su più fonti e valutata nel tempo, di mittente, dominio, indirizzo IP, URL e </w:t>
      </w:r>
      <w:proofErr w:type="spellStart"/>
      <w:r>
        <w:t>hash</w:t>
      </w:r>
      <w:proofErr w:type="spellEnd"/>
      <w:r>
        <w:t xml:space="preserve">, senza considerare un risultato sconosciuto come sinonimo di benignità. La correlazione di indicatori statici, reputazionali e comportamentali rende più difficile eludere l’analisi intervenendo su un singolo controllo e riduce falsi positivi e falsi negativi.  </w:t>
      </w:r>
      <w:r w:rsidR="00713D55">
        <w:t xml:space="preserve">Per il mittente, </w:t>
      </w:r>
      <w:proofErr w:type="spellStart"/>
      <w:r w:rsidR="00713D55">
        <w:t>FishSTOP</w:t>
      </w:r>
      <w:proofErr w:type="spellEnd"/>
      <w:r w:rsidR="00713D55">
        <w:t xml:space="preserve"> ricava dominio e IP e può interrogare </w:t>
      </w:r>
      <w:proofErr w:type="spellStart"/>
      <w:r w:rsidR="00713D55">
        <w:t>AbuseIPDB</w:t>
      </w:r>
      <w:proofErr w:type="spellEnd"/>
      <w:r w:rsidR="00713D55">
        <w:t xml:space="preserve"> e </w:t>
      </w:r>
      <w:proofErr w:type="spellStart"/>
      <w:r w:rsidR="00713D55">
        <w:t>VirusTotal</w:t>
      </w:r>
      <w:proofErr w:type="spellEnd"/>
      <w:r w:rsidR="00713D55">
        <w:t xml:space="preserve">. I controlli comprendono </w:t>
      </w:r>
      <w:proofErr w:type="spellStart"/>
      <w:r w:rsidR="00713D55">
        <w:t>typosquatting</w:t>
      </w:r>
      <w:proofErr w:type="spellEnd"/>
      <w:r w:rsidR="00713D55">
        <w:t xml:space="preserve">, omografi Unicode, </w:t>
      </w:r>
      <w:proofErr w:type="spellStart"/>
      <w:r w:rsidR="00713D55">
        <w:t>Punycode</w:t>
      </w:r>
      <w:proofErr w:type="spellEnd"/>
      <w:r w:rsidR="00713D55">
        <w:t xml:space="preserve"> e altre forme di </w:t>
      </w:r>
      <w:proofErr w:type="spellStart"/>
      <w:r w:rsidR="00713D55">
        <w:t>lookalike</w:t>
      </w:r>
      <w:proofErr w:type="spellEnd"/>
      <w:r w:rsidR="00713D55">
        <w:t xml:space="preserve">. </w:t>
      </w:r>
      <w:r w:rsidR="00CA0872">
        <w:t>L</w:t>
      </w:r>
      <w:r>
        <w:t xml:space="preserve">a letteratura conferma sia la concreta </w:t>
      </w:r>
      <w:proofErr w:type="spellStart"/>
      <w:r>
        <w:t>eludibilità</w:t>
      </w:r>
      <w:proofErr w:type="spellEnd"/>
      <w:r>
        <w:t xml:space="preserve"> delle regole di rilevamento note, sia la difficoltà di </w:t>
      </w:r>
      <w:proofErr w:type="spellStart"/>
      <w:r>
        <w:t>blacklist</w:t>
      </w:r>
      <w:proofErr w:type="spellEnd"/>
      <w:r>
        <w:t xml:space="preserve">, firme e regole tradizionali nel riconoscere </w:t>
      </w:r>
      <w:proofErr w:type="spellStart"/>
      <w:r>
        <w:t>spear</w:t>
      </w:r>
      <w:proofErr w:type="spellEnd"/>
      <w:r>
        <w:t xml:space="preserve">-phishing, attacchi zero-day e messaggi costruiti mediante </w:t>
      </w:r>
      <w:r>
        <w:lastRenderedPageBreak/>
        <w:t>infrastrutture legittime (</w:t>
      </w:r>
      <w:r w:rsidRPr="00CA0872">
        <w:rPr>
          <w:highlight w:val="yellow"/>
        </w:rPr>
        <w:t>Uetz et al., 2024; Kyaw et al., 2024</w:t>
      </w:r>
      <w:r>
        <w:t xml:space="preserve">). Nella terminologia di </w:t>
      </w:r>
      <w:proofErr w:type="spellStart"/>
      <w:proofErr w:type="gramStart"/>
      <w:r>
        <w:t>VirusTotal</w:t>
      </w:r>
      <w:proofErr w:type="spellEnd"/>
      <w:proofErr w:type="gramEnd"/>
      <w:r>
        <w:t xml:space="preserve">, in particolare, </w:t>
      </w:r>
      <w:proofErr w:type="spellStart"/>
      <w:r>
        <w:t>undetected</w:t>
      </w:r>
      <w:proofErr w:type="spellEnd"/>
      <w:r>
        <w:t xml:space="preserve"> indica che il motore non ha espresso un'opinione e deve essere distinto da </w:t>
      </w:r>
      <w:proofErr w:type="spellStart"/>
      <w:r>
        <w:t>harmless</w:t>
      </w:r>
      <w:proofErr w:type="spellEnd"/>
      <w:r>
        <w:t xml:space="preserve"> (</w:t>
      </w:r>
      <w:proofErr w:type="spellStart"/>
      <w:r>
        <w:t>VirusTotal</w:t>
      </w:r>
      <w:proofErr w:type="spellEnd"/>
      <w:r>
        <w:t>, s.d.-a).</w:t>
      </w:r>
    </w:p>
    <w:p w14:paraId="260B9194" w14:textId="77777777" w:rsidR="0032419E" w:rsidRDefault="00713D55">
      <w:pPr>
        <w:pStyle w:val="Corpotesi"/>
      </w:pPr>
      <w:r>
        <w:t xml:space="preserve">Gli allegati sono descritti tramite nome, estensione dichiarata, tipo MIME, firma reale del file e </w:t>
      </w:r>
      <w:proofErr w:type="spellStart"/>
      <w:r>
        <w:t>hash</w:t>
      </w:r>
      <w:proofErr w:type="spellEnd"/>
      <w:r>
        <w:t xml:space="preserve"> SHA-256. Le incongruenze tra estensione, MIME e </w:t>
      </w:r>
      <w:proofErr w:type="spellStart"/>
      <w:r>
        <w:t>magic</w:t>
      </w:r>
      <w:proofErr w:type="spellEnd"/>
      <w:r>
        <w:t xml:space="preserve"> bytes generano indicatori specifici; per i PDF vengono esaminate caratteristiche strutturali e funzionalità attive potenzialmente rischiose. Quando configurato, </w:t>
      </w:r>
      <w:proofErr w:type="spellStart"/>
      <w:proofErr w:type="gramStart"/>
      <w:r>
        <w:t>VirusTotal</w:t>
      </w:r>
      <w:proofErr w:type="spellEnd"/>
      <w:proofErr w:type="gramEnd"/>
      <w:r>
        <w:t xml:space="preserve"> viene consultato tramite </w:t>
      </w:r>
      <w:proofErr w:type="spellStart"/>
      <w:r>
        <w:t>hash</w:t>
      </w:r>
      <w:proofErr w:type="spellEnd"/>
      <w:r>
        <w:t xml:space="preserve">, senza caricare automaticamente il file. Tale scelta riduce l'esposizione di documenti aziendali e separa la verifica di reputazione dall'eventuale invio del contenuto a terzi. La ricerca tramite </w:t>
      </w:r>
      <w:proofErr w:type="spellStart"/>
      <w:r>
        <w:t>hash</w:t>
      </w:r>
      <w:proofErr w:type="spellEnd"/>
      <w:r>
        <w:t xml:space="preserve"> consente di recuperare l'ultimo rapporto disponibile per MD5, SHA-1 o SHA-256 senza che la consultazione richieda di sottoporre nuovamente il contenuto (</w:t>
      </w:r>
      <w:proofErr w:type="spellStart"/>
      <w:r>
        <w:t>VirusTotal</w:t>
      </w:r>
      <w:proofErr w:type="spellEnd"/>
      <w:r>
        <w:t>, s.d.-b).</w:t>
      </w:r>
    </w:p>
    <w:p w14:paraId="24DC9C8E" w14:textId="77777777" w:rsidR="0032419E" w:rsidRDefault="00713D55">
      <w:pPr>
        <w:pStyle w:val="Titolo31"/>
      </w:pPr>
      <w:r>
        <w:t>Analisi semantica e politica di decisione</w:t>
      </w:r>
    </w:p>
    <w:p w14:paraId="3E6EB97F" w14:textId="77777777" w:rsidR="0032419E" w:rsidRDefault="00713D55">
      <w:pPr>
        <w:pStyle w:val="Corpotesi"/>
      </w:pPr>
      <w:r>
        <w:t xml:space="preserve">Phi-4 mini non riceve il risultato di BERT come prova del verdetto. Il modello linguistico estrae invece fatti semantici dal testo visibile: tipo di azione richiesta, canale di risposta, presenza di urgenza, richiesta di credenziali o denaro e relazione tra l'urgenza e un'azione rischiosa. Prima dell'invio al modello vengono rimossi o sostituiti alcuni dati identificativi e il testo viene limitato alle parti utili. L'output atteso è strutturato e viene validato dall'applicazione; se non rispetta lo schema, </w:t>
      </w:r>
      <w:proofErr w:type="spellStart"/>
      <w:r>
        <w:t>FishSTOP</w:t>
      </w:r>
      <w:proofErr w:type="spellEnd"/>
      <w:r>
        <w:t xml:space="preserve"> mostra l'errore anziché accettare una risposta libera non controllata.</w:t>
      </w:r>
    </w:p>
    <w:p w14:paraId="38CF02AC" w14:textId="77777777" w:rsidR="0032419E" w:rsidRDefault="00713D55">
      <w:pPr>
        <w:pStyle w:val="Corpotesi"/>
      </w:pPr>
      <w:r>
        <w:t xml:space="preserve">La decisione contestuale combina tre assi indipendenti: rischio del contenuto, rischio dell'identità e rischio tecnico. Un URL rilevato come malevolo, un allegato con caratteristiche attive ad alto rischio o una richiesta chiaramente pericolosa possono giustificare l'esito phishing. Indicatori più deboli, come un dominio </w:t>
      </w:r>
      <w:proofErr w:type="spellStart"/>
      <w:r>
        <w:t>lookalike</w:t>
      </w:r>
      <w:proofErr w:type="spellEnd"/>
      <w:r>
        <w:t xml:space="preserve">, un URL diretto a IP o un problema di autenticazione, producono invece una richiesta di revisione se non sono corroborati. In particolare, i soli fallimenti SPF, DKIM o DMARC non trasformano automaticamente un messaggio in phishing. L'integrazione di indicatori eterogenei in un punteggio interpretabile è coerente con recenti architetture ibride che combinano controlli euristici e apprendimento automatico su </w:t>
      </w:r>
      <w:proofErr w:type="spellStart"/>
      <w:r>
        <w:t>header</w:t>
      </w:r>
      <w:proofErr w:type="spellEnd"/>
      <w:r>
        <w:t>, URL e contenuto HTML (Jadhav e Chandre, 2025).</w:t>
      </w:r>
    </w:p>
    <w:p w14:paraId="78A64989" w14:textId="77777777" w:rsidR="0032419E" w:rsidRDefault="00713D55">
      <w:pPr>
        <w:pStyle w:val="Corpotesi"/>
      </w:pPr>
      <w:r>
        <w:lastRenderedPageBreak/>
        <w:t xml:space="preserve">L'uso di </w:t>
      </w:r>
      <w:proofErr w:type="spellStart"/>
      <w:r>
        <w:t>DistilBERT</w:t>
      </w:r>
      <w:proofErr w:type="spellEnd"/>
      <w:r>
        <w:t xml:space="preserve"> e Phi-4 mini risponde a esigenze diverse. </w:t>
      </w:r>
      <w:proofErr w:type="spellStart"/>
      <w:r>
        <w:t>DistilBERT</w:t>
      </w:r>
      <w:proofErr w:type="spellEnd"/>
      <w:r>
        <w:t xml:space="preserve"> fornisce un segnale statistico rapido sul linguaggio dell'e-mail; Phi-4 ricostruisce il significato dell'azione richiesta e lo correla con gli indicatori tecnici; le verifiche deterministiche mostrano fatti riproducibili. La presenza di livelli separati riduce il rischio di affidare l'intera valutazione a un unico modello e mantiene il principio human-in-the-loop: l'operatore conserva la responsabilità della decisione e delle eventuali azioni sull'infrastruttura. Questa separazione dei ruoli e la supervisione dell'operatore sono coerenti con il NIST AI Risk Management Framework, che richiede di documentare limiti, uso degli output e modalità di controllo umano dei sistemi di intelligenza artificiale (NIST, 2023).</w:t>
      </w:r>
    </w:p>
    <w:p w14:paraId="1E6010CC" w14:textId="77777777" w:rsidR="00FD0ADC" w:rsidRDefault="00000000">
      <w:pPr>
        <w:pStyle w:val="Titolo31"/>
      </w:pPr>
      <w:r>
        <w:t>Ruolo di Phi-4 mini e passaggio degli indicatori</w:t>
      </w:r>
    </w:p>
    <w:p w14:paraId="667117AE" w14:textId="77777777" w:rsidR="00FD0ADC" w:rsidRDefault="00000000">
      <w:pPr>
        <w:pStyle w:val="Corpotesi"/>
      </w:pPr>
      <w:r>
        <w:t xml:space="preserve">Phi-4 mini svolge un compito diverso da </w:t>
      </w:r>
      <w:proofErr w:type="spellStart"/>
      <w:r>
        <w:t>DistilBERT</w:t>
      </w:r>
      <w:proofErr w:type="spellEnd"/>
      <w:r>
        <w:t xml:space="preserve">. </w:t>
      </w:r>
      <w:proofErr w:type="spellStart"/>
      <w:r>
        <w:t>FishSTOP</w:t>
      </w:r>
      <w:proofErr w:type="spellEnd"/>
      <w:r>
        <w:t xml:space="preserve"> utilizza la variante istruita Phi-4-mini-instruct, un modello generativo compatto da 3,8 miliardi di parametri, scelto perché combina capacità di seguire istruzioni, supporto multilingue - compreso l’italiano - e requisiti hardware compatibili con l’esecuzione locale (Microsoft, 2025). Il progetto non ne modifica i pesi e non esegue un ulteriore fine-tuning: il comportamento viene controllato mediante un system prompt, uno schema di output vincolato e una politica applicativa deterministica. Il </w:t>
      </w:r>
      <w:proofErr w:type="spellStart"/>
      <w:r>
        <w:t>backend</w:t>
      </w:r>
      <w:proofErr w:type="spellEnd"/>
      <w:r>
        <w:t xml:space="preserve"> può essere locale, tramite Ollama e il modello phi4-mini, oppure ospitato tramite GitHub Models con Phi-4-mini-instruct; l’applicazione indica quale modalità è attiva, così l’operatore può valutarne le implicazioni di riservatezza.</w:t>
      </w:r>
    </w:p>
    <w:p w14:paraId="1BA6698C" w14:textId="77777777" w:rsidR="00FD0ADC" w:rsidRDefault="00000000">
      <w:pPr>
        <w:pStyle w:val="Corpotesi"/>
      </w:pPr>
      <w:r>
        <w:t xml:space="preserve">Il prompt non contiene indiscriminatamente tutti i dati del report. </w:t>
      </w:r>
      <w:proofErr w:type="spellStart"/>
      <w:r>
        <w:t>FishSTOP</w:t>
      </w:r>
      <w:proofErr w:type="spellEnd"/>
      <w:r>
        <w:t xml:space="preserve"> seleziona l’oggetto, il corpo in testo semplice e, quando differente, il testo visibile ricostruito dall’HTML; rimuove i soli </w:t>
      </w:r>
      <w:proofErr w:type="spellStart"/>
      <w:r>
        <w:t>footer</w:t>
      </w:r>
      <w:proofErr w:type="spellEnd"/>
      <w:r>
        <w:t xml:space="preserve"> automatici dei client, limita la quantità di testo e racchiude il contenuto tra marcatori che lo dichiarano dato non attendibile, per ridurre il rischio di prompt injection. Prima dell’invio sostituisce con segnaposto indirizzi e-mail, URL, IP, numeri di telefono, IBAN, possibili numeri di conto o carta e alcuni riferimenti personali. Come contesto tecnico vengono passati il riepilogo SPF, DKIM e DMARC, le anomalie di identità, i tipi di collegamento senza gli URL originali, i soli esiti </w:t>
      </w:r>
      <w:proofErr w:type="spellStart"/>
      <w:proofErr w:type="gramStart"/>
      <w:r>
        <w:t>VirusTotal</w:t>
      </w:r>
      <w:proofErr w:type="spellEnd"/>
      <w:proofErr w:type="gramEnd"/>
      <w:r>
        <w:t xml:space="preserve"> </w:t>
      </w:r>
      <w:proofErr w:type="spellStart"/>
      <w:r>
        <w:t>malicious</w:t>
      </w:r>
      <w:proofErr w:type="spellEnd"/>
      <w:r>
        <w:t xml:space="preserve"> o </w:t>
      </w:r>
      <w:proofErr w:type="spellStart"/>
      <w:r>
        <w:t>suspicious</w:t>
      </w:r>
      <w:proofErr w:type="spellEnd"/>
      <w:r>
        <w:t xml:space="preserve">, le anomalie degli allegati e dei PDF e le flag HIGH o MEDIUM non già riassunte. Gli esiti assenti, sconosciuti o non trovati non sono presentati come prove, mentre </w:t>
      </w:r>
      <w:r>
        <w:lastRenderedPageBreak/>
        <w:t xml:space="preserve">il risultato </w:t>
      </w:r>
      <w:proofErr w:type="spellStart"/>
      <w:r>
        <w:t>DistilBERT</w:t>
      </w:r>
      <w:proofErr w:type="spellEnd"/>
      <w:r>
        <w:t xml:space="preserve"> resta visibile nell’interfaccia ma non viene fornito a Phi-4 come evidenza del verdetto. Il trattamento dell'e-mail come dato non attendibile risponde al rischio di prompt injection, definito dal NIST come lo sfruttamento della concatenazione tra input non fidato e istruzioni costruite da una parte dotata di maggiore fiducia (Vassilev et al., 2025).</w:t>
      </w:r>
    </w:p>
    <w:p w14:paraId="5A2BD296" w14:textId="77777777" w:rsidR="00FD0ADC" w:rsidRDefault="00000000">
      <w:pPr>
        <w:pStyle w:val="Corpotesi"/>
      </w:pPr>
      <w:r>
        <w:t xml:space="preserve">Phi-4 restituisce esclusivamente un oggetto JSON con campi controllati: azione richiesta e relativo canale, richiesta di apertura di link o allegati, credenziali, informazioni sensibili, pagamenti, verifica dell’account, premi, modifiche alle impostazioni o aggiramento delle procedure, oltre a urgenza, impersonificazione, rischio del contenuto, confidenza e sintesi. L’applicazione converte e valida enumerazioni, valori booleani e intervalli numerici, corregge eventuali contraddizioni confrontando l’estrazione con link e struttura reale del messaggio e rifiuta risposte non conformi. Solo dopo questa fase una regola deterministica combina tre assi indipendenti - contenuto, identità e rischio tecnico - per produrre </w:t>
      </w:r>
      <w:proofErr w:type="spellStart"/>
      <w:r>
        <w:t>legitimate</w:t>
      </w:r>
      <w:proofErr w:type="spellEnd"/>
      <w:r>
        <w:t>, review o phishing. Phi-4 è quindi un estrattore semantico e un generatore di spiegazioni, non l’autorità decisionale: flag deboli isolate, come urgenza o autenticazione fallita, non possono da sole produrre un verdetto di phishing.</w:t>
      </w:r>
    </w:p>
    <w:p w14:paraId="5E3A9D35" w14:textId="77777777" w:rsidR="0032419E" w:rsidRDefault="00713D55">
      <w:pPr>
        <w:pStyle w:val="Titolo31"/>
      </w:pPr>
      <w:r>
        <w:t xml:space="preserve">Scelta di BERT e adozione di </w:t>
      </w:r>
      <w:proofErr w:type="spellStart"/>
      <w:r>
        <w:t>DistilBERT</w:t>
      </w:r>
      <w:proofErr w:type="spellEnd"/>
    </w:p>
    <w:p w14:paraId="09ADD67F" w14:textId="77777777" w:rsidR="0032419E" w:rsidRDefault="00713D55">
      <w:pPr>
        <w:pStyle w:val="Corpotesi"/>
      </w:pPr>
      <w:r>
        <w:t xml:space="preserve">BERT è un modello Transformer </w:t>
      </w:r>
      <w:proofErr w:type="spellStart"/>
      <w:r>
        <w:t>pre</w:t>
      </w:r>
      <w:proofErr w:type="spellEnd"/>
      <w:r>
        <w:t xml:space="preserve">-addestrato capace di costruire rappresentazioni contestuali bidirezionali, cioè considerando contemporaneamente le parole che precedono e seguono un termine (Devlin et al., 2019). Per </w:t>
      </w:r>
      <w:proofErr w:type="spellStart"/>
      <w:r>
        <w:t>FishSTOP</w:t>
      </w:r>
      <w:proofErr w:type="spellEnd"/>
      <w:r>
        <w:t xml:space="preserve"> è stata adottata la variante </w:t>
      </w:r>
      <w:proofErr w:type="spellStart"/>
      <w:r>
        <w:t>distilbert</w:t>
      </w:r>
      <w:proofErr w:type="spellEnd"/>
      <w:r>
        <w:t>-base-</w:t>
      </w:r>
      <w:proofErr w:type="spellStart"/>
      <w:r>
        <w:t>uncased</w:t>
      </w:r>
      <w:proofErr w:type="spellEnd"/>
      <w:r>
        <w:t xml:space="preserve">. </w:t>
      </w:r>
      <w:proofErr w:type="spellStart"/>
      <w:r>
        <w:t>DistilBERT</w:t>
      </w:r>
      <w:proofErr w:type="spellEnd"/>
      <w:r>
        <w:t xml:space="preserve"> deriva da BERT tramite knowledge </w:t>
      </w:r>
      <w:proofErr w:type="spellStart"/>
      <w:r>
        <w:t>distillation</w:t>
      </w:r>
      <w:proofErr w:type="spellEnd"/>
      <w:r>
        <w:t xml:space="preserve"> e riduce dimensioni e costo computazionale mantenendo gran parte delle capacità linguistiche del modello originario (Sanh et al., 2019). Questa caratteristica è coerente con l'obiettivo di ottenere inferenze rapide e utilizzabili anche su hardware non specializzato. Nel dominio specifico del phishing, confronti recenti riportano prestazioni generalmente superiori dei modelli Transformer, inclusi BERT e </w:t>
      </w:r>
      <w:proofErr w:type="spellStart"/>
      <w:r>
        <w:t>DistilBERT</w:t>
      </w:r>
      <w:proofErr w:type="spellEnd"/>
      <w:r>
        <w:t>, rispetto a diversi classificatori tradizionali; le revisioni della letteratura evidenziano al tempo stesso costi computazionali, limiti di input e necessità di integrare il testo con altre evidenze (Meléndez et al., 2024; Kyaw et al., 2024).</w:t>
      </w:r>
    </w:p>
    <w:p w14:paraId="6D0A6A40" w14:textId="77777777" w:rsidR="0032419E" w:rsidRDefault="00713D55">
      <w:pPr>
        <w:pStyle w:val="Corpotesi"/>
      </w:pPr>
      <w:r>
        <w:t xml:space="preserve">Il modello di base non è stato addestrato da zero. È stato eseguito un fine-tuning supervisionato per una classificazione binaria: etichetta 0, LEGITIMATE; etichetta </w:t>
      </w:r>
      <w:r>
        <w:lastRenderedPageBreak/>
        <w:t xml:space="preserve">1, MALICIOUS, comprendente phishing, </w:t>
      </w:r>
      <w:proofErr w:type="spellStart"/>
      <w:r>
        <w:t>scam</w:t>
      </w:r>
      <w:proofErr w:type="spellEnd"/>
      <w:r>
        <w:t xml:space="preserve"> e spam. La classe positiva è volutamente più ampia del solo phishing, perché il testo può manifestare segnali di frode o posta indesiderata senza fornire da solo la prova tecnica di una campagna di phishing. Per questa ragione il risultato del classificatore è denominato segnale di contenuto e non verdetto finale.</w:t>
      </w:r>
    </w:p>
    <w:p w14:paraId="439B0838" w14:textId="77777777" w:rsidR="00FD0ADC" w:rsidRDefault="00000000">
      <w:pPr>
        <w:pStyle w:val="Corpotesi"/>
      </w:pPr>
      <w:r>
        <w:t xml:space="preserve">Nel flusso operativo, oggetto e corpo normalizzato vengono tokenizzati con lo stesso </w:t>
      </w:r>
      <w:proofErr w:type="spellStart"/>
      <w:r>
        <w:t>tokenizer</w:t>
      </w:r>
      <w:proofErr w:type="spellEnd"/>
      <w:r>
        <w:t xml:space="preserve"> del checkpoint e trasformati in identificativi di token e maschere di attenzione. </w:t>
      </w:r>
      <w:proofErr w:type="spellStart"/>
      <w:r>
        <w:t>DistilBERT</w:t>
      </w:r>
      <w:proofErr w:type="spellEnd"/>
      <w:r>
        <w:t xml:space="preserve"> elabora tali sequenze e una testa di classificazione produce due </w:t>
      </w:r>
      <w:proofErr w:type="spellStart"/>
      <w:r>
        <w:t>logit</w:t>
      </w:r>
      <w:proofErr w:type="spellEnd"/>
      <w:r>
        <w:t xml:space="preserve">, uno per LEGITIMATE e uno per MALICIOUS; dopo </w:t>
      </w:r>
      <w:proofErr w:type="spellStart"/>
      <w:r>
        <w:t>softmax</w:t>
      </w:r>
      <w:proofErr w:type="spellEnd"/>
      <w:r>
        <w:t xml:space="preserve"> e, quando disponibile, calibrazione, </w:t>
      </w:r>
      <w:proofErr w:type="spellStart"/>
      <w:r>
        <w:t>FishSTOP</w:t>
      </w:r>
      <w:proofErr w:type="spellEnd"/>
      <w:r>
        <w:t xml:space="preserve"> mostra il segnale e l’eventuale fascia </w:t>
      </w:r>
      <w:proofErr w:type="spellStart"/>
      <w:r>
        <w:t>uncertain</w:t>
      </w:r>
      <w:proofErr w:type="spellEnd"/>
      <w:r>
        <w:t xml:space="preserve">. La scelta di un modello discriminativo è intenzionale: rispetto a un modello generativo fornisce una classificazione rapida e ripetibile, mentre la distillazione permette di conservare le rappresentazioni contestuali di BERT con minore occupazione di memoria e latenza. </w:t>
      </w:r>
      <w:proofErr w:type="spellStart"/>
      <w:r>
        <w:t>DistilBERT</w:t>
      </w:r>
      <w:proofErr w:type="spellEnd"/>
      <w:r>
        <w:t xml:space="preserve"> non interpreta </w:t>
      </w:r>
      <w:proofErr w:type="spellStart"/>
      <w:r>
        <w:t>header</w:t>
      </w:r>
      <w:proofErr w:type="spellEnd"/>
      <w:r>
        <w:t>, reputazione o allegati e non genera la spiegazione finale; misura esclusivamente quanto il linguaggio del messaggio assomigli ai contenuti appresi.</w:t>
      </w:r>
    </w:p>
    <w:p w14:paraId="2D9726A2" w14:textId="77777777" w:rsidR="0032419E" w:rsidRDefault="00713D55">
      <w:pPr>
        <w:pStyle w:val="Titolo31"/>
      </w:pPr>
      <w:r>
        <w:t>Costruzione e composizione del dataset</w:t>
      </w:r>
    </w:p>
    <w:p w14:paraId="1AB1E9F9" w14:textId="77777777" w:rsidR="0032419E" w:rsidRDefault="00713D55">
      <w:pPr>
        <w:pStyle w:val="Corpotesi"/>
      </w:pPr>
      <w:r>
        <w:t xml:space="preserve">Il dataset definitivo contiene 14.016 e-mail, bilanciate in 7.008 legittime e 7.008 malevole. I campioni legittimi provengono dal corpus Enron e dalle raccolte </w:t>
      </w:r>
      <w:proofErr w:type="spellStart"/>
      <w:r>
        <w:t>easy_ham</w:t>
      </w:r>
      <w:proofErr w:type="spellEnd"/>
      <w:r>
        <w:t xml:space="preserve"> e </w:t>
      </w:r>
      <w:proofErr w:type="spellStart"/>
      <w:r>
        <w:t>hard_ham</w:t>
      </w:r>
      <w:proofErr w:type="spellEnd"/>
      <w:r>
        <w:t xml:space="preserve"> di </w:t>
      </w:r>
      <w:proofErr w:type="spellStart"/>
      <w:r>
        <w:t>SpamAssassin</w:t>
      </w:r>
      <w:proofErr w:type="spellEnd"/>
      <w:r>
        <w:t xml:space="preserve">; quelli malevoli provengono da Phishing Pot e dai corpus Nazario relativi agli anni 2022-2025. Sono stati aggiunti 240 esempi sintetici moderni esclusivamente al training set, pari a circa il 2% del training, per rappresentare formulazioni recenti senza lasciare che il contenuto generato domini i dati reali. Le fonti </w:t>
      </w:r>
      <w:proofErr w:type="spellStart"/>
      <w:r>
        <w:t>Kaggle</w:t>
      </w:r>
      <w:proofErr w:type="spellEnd"/>
      <w:r>
        <w:t xml:space="preserve"> e Ubuntu presenti tra le opzioni storiche del progetto sono state escluse dalla versione finale per ridurre sovrapposizioni, incertezza sulla provenienza e sbilanciamenti.</w:t>
      </w:r>
    </w:p>
    <w:p w14:paraId="3669B61F" w14:textId="77777777" w:rsidR="00FD0ADC" w:rsidRDefault="00000000">
      <w:pPr>
        <w:pStyle w:val="Corpotesi"/>
      </w:pPr>
      <w:r>
        <w:t xml:space="preserve">Le raccolte svolgono ruoli differenti. Enron contiene corrispondenza aziendale reale e fornisce esempi di comunicazioni operative legittime; </w:t>
      </w:r>
      <w:proofErr w:type="spellStart"/>
      <w:r>
        <w:t>easy_ham</w:t>
      </w:r>
      <w:proofErr w:type="spellEnd"/>
      <w:r>
        <w:t xml:space="preserve"> di </w:t>
      </w:r>
      <w:proofErr w:type="spellStart"/>
      <w:r>
        <w:t>SpamAssassin</w:t>
      </w:r>
      <w:proofErr w:type="spellEnd"/>
      <w:r>
        <w:t xml:space="preserve"> raccoglie messaggi legittimi facilmente distinguibili, mentre </w:t>
      </w:r>
      <w:proofErr w:type="spellStart"/>
      <w:r>
        <w:t>hard_ham</w:t>
      </w:r>
      <w:proofErr w:type="spellEnd"/>
      <w:r>
        <w:t xml:space="preserve"> include casi più ambigui, come newsletter e comunicazioni promozionali lecite, utili per misurare i falsi positivi. Phishing Pot fornisce messaggi di phishing reali usati nel training principale; le raccolte Nazario 2022-2025 contengono campagne malevole suddivise per anno e permettono di mantenere validazione e </w:t>
      </w:r>
      <w:r>
        <w:lastRenderedPageBreak/>
        <w:t xml:space="preserve">test temporalmente più recenti. I 240 esempi sintetici, in italiano e inglese e presenti soltanto nel training, coprono scenari moderni quali consenso </w:t>
      </w:r>
      <w:proofErr w:type="spellStart"/>
      <w:r>
        <w:t>OAuth</w:t>
      </w:r>
      <w:proofErr w:type="spellEnd"/>
      <w:r>
        <w:t xml:space="preserve">, </w:t>
      </w:r>
      <w:proofErr w:type="spellStart"/>
      <w:r>
        <w:t>AiTM</w:t>
      </w:r>
      <w:proofErr w:type="spellEnd"/>
      <w:r>
        <w:t xml:space="preserve">/MFA, device code, BEC e richieste di pagamento, modifica delle coordinate stipendiali, QR code, archivi protetti, condivisioni cloud, firma elettronica, recruiting, richiamate dell’assistenza e </w:t>
      </w:r>
      <w:proofErr w:type="spellStart"/>
      <w:r>
        <w:t>thread</w:t>
      </w:r>
      <w:proofErr w:type="spellEnd"/>
      <w:r>
        <w:t xml:space="preserve"> </w:t>
      </w:r>
      <w:proofErr w:type="spellStart"/>
      <w:r>
        <w:t>hijacking</w:t>
      </w:r>
      <w:proofErr w:type="spellEnd"/>
      <w:r>
        <w:t xml:space="preserve">. La loro quota limitata evita che stile e artefatti del testo generato sostituiscano la varietà dei messaggi reali. Gli scenari sintetici sono inoltre riconducibili alle categorie operative documentate da MITRE ATT&amp;CK per la tecnica T1566, tra cui </w:t>
      </w:r>
      <w:proofErr w:type="spellStart"/>
      <w:r>
        <w:t>spear</w:t>
      </w:r>
      <w:proofErr w:type="spellEnd"/>
      <w:r>
        <w:t xml:space="preserve">-phishing mediante allegati o collegamenti, spoofing e </w:t>
      </w:r>
      <w:proofErr w:type="spellStart"/>
      <w:r>
        <w:t>thread</w:t>
      </w:r>
      <w:proofErr w:type="spellEnd"/>
      <w:r>
        <w:t xml:space="preserve"> </w:t>
      </w:r>
      <w:proofErr w:type="spellStart"/>
      <w:r>
        <w:t>hijacking</w:t>
      </w:r>
      <w:proofErr w:type="spellEnd"/>
      <w:r>
        <w:t xml:space="preserve"> (MITRE, 2026).</w:t>
      </w:r>
    </w:p>
    <w:p w14:paraId="107C93BD" w14:textId="77777777" w:rsidR="0032419E" w:rsidRDefault="00713D55">
      <w:pPr>
        <w:pStyle w:val="Corpotesi"/>
      </w:pPr>
      <w:r>
        <w:t xml:space="preserve">La distribuzione finale è la seguente: 12.044 messaggi per il training, 482 per la validazione e 1.490 per il test. Ogni split è perfettamente bilanciato tra le due classi. Nel training sono presenti 5.902 messaggi Enron, 5.902 campioni Phishing Pot e 240 sintetici; la validazione contiene 241 hard </w:t>
      </w:r>
      <w:proofErr w:type="spellStart"/>
      <w:r>
        <w:t>ham</w:t>
      </w:r>
      <w:proofErr w:type="spellEnd"/>
      <w:r>
        <w:t xml:space="preserve"> di </w:t>
      </w:r>
      <w:proofErr w:type="spellStart"/>
      <w:r>
        <w:t>SpamAssassin</w:t>
      </w:r>
      <w:proofErr w:type="spellEnd"/>
      <w:r>
        <w:t xml:space="preserve"> e 241 e-mail Nazario 2022-2023; il test contiene 745 easy </w:t>
      </w:r>
      <w:proofErr w:type="spellStart"/>
      <w:r>
        <w:t>ham</w:t>
      </w:r>
      <w:proofErr w:type="spellEnd"/>
      <w:r>
        <w:t xml:space="preserve"> e 745 e-mail Nazario 2024-2025. La scelta rende test e validazione temporalmente e documentalmente distinti dalle principali fonti di training.</w:t>
      </w:r>
    </w:p>
    <w:p w14:paraId="163C7049" w14:textId="77777777" w:rsidR="0032419E" w:rsidRDefault="00713D55">
      <w:pPr>
        <w:pStyle w:val="Corpotesi"/>
      </w:pPr>
      <w:r>
        <w:t xml:space="preserve">La suddivisione è stata effettuata per sorgente, non tramite assegnazione casuale di singoli messaggi. Questo source </w:t>
      </w:r>
      <w:proofErr w:type="spellStart"/>
      <w:r>
        <w:t>holdout</w:t>
      </w:r>
      <w:proofErr w:type="spellEnd"/>
      <w:r>
        <w:t xml:space="preserve"> verifica meglio la capacità di generalizzare a raccolte differenti e impedisce che peculiarità di una fonte siano presenti contemporaneamente nel training e nel test. </w:t>
      </w:r>
      <w:proofErr w:type="gramStart"/>
      <w:r>
        <w:t>Inoltre</w:t>
      </w:r>
      <w:proofErr w:type="gramEnd"/>
      <w:r>
        <w:t xml:space="preserve"> i campioni della stessa campagna o quasi duplicati vengono raggruppati usando rappresentazioni TF-IDF a caratteri di lunghezza 4-5 e una soglia di similarità coseno pari a 0,83. Hash del testo e identificativi di campagna bloccano duplicati esatti, conflitti di etichetta e contaminazioni tra gli split. Questa cautela è supportata da studi che mostrano come l'identità del corpus e artefatti quali date, </w:t>
      </w:r>
      <w:proofErr w:type="spellStart"/>
      <w:r>
        <w:t>header</w:t>
      </w:r>
      <w:proofErr w:type="spellEnd"/>
      <w:r>
        <w:t xml:space="preserve"> e domini possano essere appresi come scorciatoie predittive, mentre split spaziali o temporali non realistici possono gonfiare le metriche dei classificatori di sicurezza (Bhuiyan e Bhuiyan, 2026; Pendlebury et al., 2019).</w:t>
      </w:r>
    </w:p>
    <w:p w14:paraId="27AC63F5" w14:textId="77777777" w:rsidR="0032419E" w:rsidRDefault="00713D55">
      <w:pPr>
        <w:pStyle w:val="Corpotesi"/>
      </w:pPr>
      <w:r>
        <w:t xml:space="preserve">Prima dell'inclusione, i messaggi vengono analizzati e normalizzati, eliminando record vuoti, troppo brevi o eccessivamente lunghi. Sono ammessi testi tra 40 e 200.000 caratteri; il dataset finale non contiene duplicati esatti, conflitti di etichetta o record non validi secondo i controlli del builder. Per garantire la riproducibilità, il file CSV, il </w:t>
      </w:r>
      <w:proofErr w:type="spellStart"/>
      <w:r>
        <w:t>manifest</w:t>
      </w:r>
      <w:proofErr w:type="spellEnd"/>
      <w:r>
        <w:t xml:space="preserve"> e le fonti scaricate sono identificati tramite SHA-256; il </w:t>
      </w:r>
      <w:r>
        <w:lastRenderedPageBreak/>
        <w:t xml:space="preserve">dataset usato dal training ha </w:t>
      </w:r>
      <w:proofErr w:type="spellStart"/>
      <w:r>
        <w:t>hash</w:t>
      </w:r>
      <w:proofErr w:type="spellEnd"/>
      <w:r>
        <w:t xml:space="preserve"> 916ec9eca5bb6a91ee074829cf60718a3e81aabef88441fdd9e3c5dd8cdc98ed.</w:t>
      </w:r>
    </w:p>
    <w:p w14:paraId="1B8373C4" w14:textId="77777777" w:rsidR="0032419E" w:rsidRDefault="00713D55">
      <w:pPr>
        <w:pStyle w:val="Titolo31"/>
      </w:pPr>
      <w:proofErr w:type="spellStart"/>
      <w:r>
        <w:t>Preprocessing</w:t>
      </w:r>
      <w:proofErr w:type="spellEnd"/>
      <w:r>
        <w:t xml:space="preserve"> e gestione delle e-mail lunghe</w:t>
      </w:r>
    </w:p>
    <w:p w14:paraId="1CFCDDCD" w14:textId="77777777" w:rsidR="0032419E" w:rsidRDefault="00713D55">
      <w:pPr>
        <w:pStyle w:val="Corpotesi"/>
      </w:pPr>
      <w:r>
        <w:t xml:space="preserve">Training e applicazione condividono la stessa funzione di </w:t>
      </w:r>
      <w:proofErr w:type="spellStart"/>
      <w:r>
        <w:t>preprocessing</w:t>
      </w:r>
      <w:proofErr w:type="spellEnd"/>
      <w:r>
        <w:t>, così da evitare divergenze tra ciò che il modello apprende e ciò che riceve in produzione. Oggetto e corpo selezionato vengono concatenati; il testo è normalizzato in Unicode NFKC, ripulito dai caratteri di controllo, convertito in minuscolo e compattato negli spazi. Se sono presenti tag HTML, viene conservato il testo visibile. Questa procedura riduce variazioni puramente formali senza eliminare le parole che descrivono la richiesta contenuta nel messaggio.</w:t>
      </w:r>
    </w:p>
    <w:p w14:paraId="2BD5D2C5" w14:textId="77777777" w:rsidR="0032419E" w:rsidRDefault="00713D55">
      <w:pPr>
        <w:pStyle w:val="Corpotesi"/>
      </w:pPr>
      <w:proofErr w:type="spellStart"/>
      <w:r>
        <w:t>DistilBERT</w:t>
      </w:r>
      <w:proofErr w:type="spellEnd"/>
      <w:r>
        <w:t xml:space="preserve"> accetta al massimo 512 token per sequenza. Troncare sempre oltre tale limite avrebbe potuto perdere la parte malevola posta in fondo a un'e-mail; per questo </w:t>
      </w:r>
      <w:proofErr w:type="spellStart"/>
      <w:r>
        <w:t>FishSTOP</w:t>
      </w:r>
      <w:proofErr w:type="spellEnd"/>
      <w:r>
        <w:t xml:space="preserve"> divide i testi lunghi in finestre sovrapposte da 512 token con stride 128. Vengono considerate al massimo otto finestre distribuite lungo l'intero messaggio. Durante l'addestramento ogni e-mail mantiene peso complessivo pari a uno, indipendentemente dal numero di finestre generate; in inferenza viene selezionata la finestra con il maggiore margine a favore della classe malevola. In questo modo un messaggio lungo non pesa più di uno breve, ma un segmento rischioso non viene diluito dalla parte restante. Il limite di 512 token e il rischio di perdere porzioni rilevanti dei messaggi lunghi sono riportati anche nella letteratura sui sistemi di phishing basati su BERT (Kyaw et al., 2024).</w:t>
      </w:r>
    </w:p>
    <w:p w14:paraId="4503AC7A" w14:textId="77777777" w:rsidR="0032419E" w:rsidRDefault="00713D55">
      <w:pPr>
        <w:pStyle w:val="Titolo31"/>
      </w:pPr>
      <w:r>
        <w:t>Fine-tuning, selezione del modello e calibrazione</w:t>
      </w:r>
    </w:p>
    <w:p w14:paraId="38FCA727" w14:textId="77777777" w:rsidR="0032419E" w:rsidRDefault="00713D55">
      <w:pPr>
        <w:pStyle w:val="Corpotesi"/>
      </w:pPr>
      <w:r>
        <w:t xml:space="preserve">La pipeline riproducibile contenuta in src/train.py esegue cinque epoche di fine-tuning con ottimizzatore </w:t>
      </w:r>
      <w:proofErr w:type="spellStart"/>
      <w:r>
        <w:t>AdamW</w:t>
      </w:r>
      <w:proofErr w:type="spellEnd"/>
      <w:r>
        <w:t xml:space="preserve">, learning rate 2×10⁻⁵, weight </w:t>
      </w:r>
      <w:proofErr w:type="spellStart"/>
      <w:r>
        <w:t>decay</w:t>
      </w:r>
      <w:proofErr w:type="spellEnd"/>
      <w:r>
        <w:t xml:space="preserve"> 0,01 e semi casuali fissati a 42. Il batch effettivo è mantenuto vicino a 16 campioni mediante </w:t>
      </w:r>
      <w:proofErr w:type="spellStart"/>
      <w:r>
        <w:t>gradient</w:t>
      </w:r>
      <w:proofErr w:type="spellEnd"/>
      <w:r>
        <w:t xml:space="preserve"> </w:t>
      </w:r>
      <w:proofErr w:type="spellStart"/>
      <w:r>
        <w:t>accumulation</w:t>
      </w:r>
      <w:proofErr w:type="spellEnd"/>
      <w:r>
        <w:t>: 16 su GPU CUDA, 8 con accumulo 2 su Apple MPS oppure 4 con accumulo 4 su CPU. Validazione e salvataggio avvengono al termine di ogni epoca; vengono conservati al massimo due checkpoint e viene ricaricato quello con il miglior F1 calcolato a livello di e-mail, non di singola finestra.</w:t>
      </w:r>
    </w:p>
    <w:p w14:paraId="4FA54D0C" w14:textId="77777777" w:rsidR="00FD0ADC" w:rsidRDefault="00000000">
      <w:pPr>
        <w:pStyle w:val="Corpotesi"/>
      </w:pPr>
      <w:r>
        <w:t xml:space="preserve">Operativamente, il fine-tuning parte dai </w:t>
      </w:r>
      <w:proofErr w:type="spellStart"/>
      <w:r>
        <w:t>pesi</w:t>
      </w:r>
      <w:proofErr w:type="spellEnd"/>
      <w:r>
        <w:t xml:space="preserve"> linguistici </w:t>
      </w:r>
      <w:proofErr w:type="spellStart"/>
      <w:r>
        <w:t>pre</w:t>
      </w:r>
      <w:proofErr w:type="spellEnd"/>
      <w:r>
        <w:t>-addestrati e aggiorna il modello sul compito binario mediante cross-</w:t>
      </w:r>
      <w:proofErr w:type="spellStart"/>
      <w:r>
        <w:t>entropy</w:t>
      </w:r>
      <w:proofErr w:type="spellEnd"/>
      <w:r>
        <w:t xml:space="preserve"> e </w:t>
      </w:r>
      <w:proofErr w:type="spellStart"/>
      <w:r>
        <w:t>retropropagazione</w:t>
      </w:r>
      <w:proofErr w:type="spellEnd"/>
      <w:r>
        <w:t xml:space="preserve">. Ogni finestra conserva l’etichetta dell’e-mail di origine, ma la </w:t>
      </w:r>
      <w:proofErr w:type="spellStart"/>
      <w:r>
        <w:t>loss</w:t>
      </w:r>
      <w:proofErr w:type="spellEnd"/>
      <w:r>
        <w:t xml:space="preserve"> viene pesata affinché la somma dei contributi delle finestre dello stesso </w:t>
      </w:r>
      <w:r>
        <w:lastRenderedPageBreak/>
        <w:t xml:space="preserve">messaggio sia pari a uno: in questo modo le e-mail lunghe non dominano l’ottimizzazione. </w:t>
      </w:r>
      <w:proofErr w:type="spellStart"/>
      <w:r>
        <w:t>AdamW</w:t>
      </w:r>
      <w:proofErr w:type="spellEnd"/>
      <w:r>
        <w:t xml:space="preserve"> aggiorna i parametri sui mini-batch e la </w:t>
      </w:r>
      <w:proofErr w:type="spellStart"/>
      <w:r>
        <w:t>gradient</w:t>
      </w:r>
      <w:proofErr w:type="spellEnd"/>
      <w:r>
        <w:t xml:space="preserve"> </w:t>
      </w:r>
      <w:proofErr w:type="spellStart"/>
      <w:r>
        <w:t>accumulation</w:t>
      </w:r>
      <w:proofErr w:type="spellEnd"/>
      <w:r>
        <w:t xml:space="preserve"> mantiene comparabile il batch effettivo tra CUDA, MPS e CPU. Al termine di ogni epoca la validazione aggrega le finestre a livello di e-mail, calcola le metriche e seleziona il checkpoint con F1 migliore; </w:t>
      </w:r>
      <w:proofErr w:type="gramStart"/>
      <w:r>
        <w:t>il temperature</w:t>
      </w:r>
      <w:proofErr w:type="gramEnd"/>
      <w:r>
        <w:t xml:space="preserve"> scaling e la soglia vengono stimati solo dopo l’addestramento sui dati di validazione. Il test rimane separato e viene consultato una sola volta, così non influenza né i pesi né la scelta del modello.</w:t>
      </w:r>
    </w:p>
    <w:p w14:paraId="1389A2F3" w14:textId="77777777" w:rsidR="0032419E" w:rsidRDefault="00713D55">
      <w:pPr>
        <w:pStyle w:val="Corpotesi"/>
      </w:pPr>
      <w:r>
        <w:t xml:space="preserve">Al termine del fine-tuning, i </w:t>
      </w:r>
      <w:proofErr w:type="spellStart"/>
      <w:r>
        <w:t>logit</w:t>
      </w:r>
      <w:proofErr w:type="spellEnd"/>
      <w:r>
        <w:t xml:space="preserve"> della validazione vengono usati per </w:t>
      </w:r>
      <w:proofErr w:type="gramStart"/>
      <w:r>
        <w:t>il temperature</w:t>
      </w:r>
      <w:proofErr w:type="gramEnd"/>
      <w:r>
        <w:t xml:space="preserve"> scaling, tecnica di calibrazione che riduce l'eccessiva sicurezza tipica delle reti neurali (Guo et al., 2017). La pipeline sceglie poi la soglia che massimizza l'F1 e costruisce una banda simmetrica di incertezza con obiettivo di accuratezza selettiva del 95% e copertura minima dell'80%. I casi vicini alla soglia vengono quindi classificati come </w:t>
      </w:r>
      <w:proofErr w:type="spellStart"/>
      <w:r>
        <w:t>uncertain</w:t>
      </w:r>
      <w:proofErr w:type="spellEnd"/>
      <w:r>
        <w:t xml:space="preserve">, scelta preferibile a forzare una decisione quando il segnale testuale è ambiguo. La scelta di astenersi sui casi a bassa affidabilità richiama la </w:t>
      </w:r>
      <w:proofErr w:type="spellStart"/>
      <w:r>
        <w:t>selective</w:t>
      </w:r>
      <w:proofErr w:type="spellEnd"/>
      <w:r>
        <w:t xml:space="preserve"> </w:t>
      </w:r>
      <w:proofErr w:type="spellStart"/>
      <w:r>
        <w:t>classification</w:t>
      </w:r>
      <w:proofErr w:type="spellEnd"/>
      <w:r>
        <w:t xml:space="preserve">, nella quale la riduzione della copertura viene scambiata con un minor rischio sulle decisioni effettivamente emesse (Geifman </w:t>
      </w:r>
      <w:proofErr w:type="gramStart"/>
      <w:r>
        <w:t>e</w:t>
      </w:r>
      <w:proofErr w:type="gramEnd"/>
      <w:r>
        <w:t xml:space="preserve"> El-Yaniv, 2017).</w:t>
      </w:r>
    </w:p>
    <w:p w14:paraId="223CF2BC" w14:textId="77777777" w:rsidR="0032419E" w:rsidRDefault="00713D55">
      <w:pPr>
        <w:pStyle w:val="Corpotesi"/>
      </w:pPr>
      <w:r>
        <w:t xml:space="preserve">Il test set viene valutato una sola volta dopo la selezione e la calibrazione, producendo accuratezza, precisione, recall, F1, matrice di confusione, copertura selettiva e accuratezza sui soli casi decisi. Questi dati dovrebbero essere salvati insieme a modello, </w:t>
      </w:r>
      <w:proofErr w:type="spellStart"/>
      <w:r>
        <w:t>tokenizer</w:t>
      </w:r>
      <w:proofErr w:type="spellEnd"/>
      <w:r>
        <w:t xml:space="preserve">, </w:t>
      </w:r>
      <w:proofErr w:type="spellStart"/>
      <w:proofErr w:type="gramStart"/>
      <w:r>
        <w:t>calibration.json</w:t>
      </w:r>
      <w:proofErr w:type="spellEnd"/>
      <w:proofErr w:type="gramEnd"/>
      <w:r>
        <w:t xml:space="preserve"> e </w:t>
      </w:r>
      <w:proofErr w:type="spellStart"/>
      <w:r>
        <w:t>training_meta.json</w:t>
      </w:r>
      <w:proofErr w:type="spellEnd"/>
      <w:r>
        <w:t xml:space="preserve">. Nel repository analizzato non è presente il file dei risultati della sessione finale e il modello pubblicato su </w:t>
      </w:r>
      <w:proofErr w:type="spellStart"/>
      <w:r>
        <w:t>Hugging</w:t>
      </w:r>
      <w:proofErr w:type="spellEnd"/>
      <w:r>
        <w:t xml:space="preserve"> Face non espone attualmente </w:t>
      </w:r>
      <w:proofErr w:type="spellStart"/>
      <w:proofErr w:type="gramStart"/>
      <w:r>
        <w:t>calibration.json</w:t>
      </w:r>
      <w:proofErr w:type="spellEnd"/>
      <w:proofErr w:type="gramEnd"/>
      <w:r>
        <w:t xml:space="preserve">; non è quindi corretto riportare nella tesi metriche di test non verificabili. Il </w:t>
      </w:r>
      <w:proofErr w:type="spellStart"/>
      <w:r>
        <w:t>runtime</w:t>
      </w:r>
      <w:proofErr w:type="spellEnd"/>
      <w:r>
        <w:t xml:space="preserve"> usa temporaneamente i valori di </w:t>
      </w:r>
      <w:proofErr w:type="spellStart"/>
      <w:r>
        <w:t>fallback</w:t>
      </w:r>
      <w:proofErr w:type="spellEnd"/>
      <w:r>
        <w:t xml:space="preserve">: temperatura 1, soglia 0,50 e fascia incerta tra 0,35 e 0,65. In questa condizione il valore mostrato è confidenza </w:t>
      </w:r>
      <w:proofErr w:type="spellStart"/>
      <w:r>
        <w:t>softmax</w:t>
      </w:r>
      <w:proofErr w:type="spellEnd"/>
      <w:r>
        <w:t xml:space="preserve"> non calibrata, non probabilità reale di phishing.</w:t>
      </w:r>
    </w:p>
    <w:p w14:paraId="1738E174" w14:textId="77777777" w:rsidR="0032419E" w:rsidRDefault="00713D55">
      <w:pPr>
        <w:pStyle w:val="Titolo31"/>
      </w:pPr>
      <w:r>
        <w:t>Distribuzione, riservatezza e gestione dei segreti</w:t>
      </w:r>
    </w:p>
    <w:p w14:paraId="7C2DD9BB" w14:textId="77777777" w:rsidR="0032419E" w:rsidRDefault="00713D55">
      <w:pPr>
        <w:pStyle w:val="Corpotesi"/>
      </w:pPr>
      <w:r>
        <w:t xml:space="preserve">Il modello operativo è pubblicato nel repository </w:t>
      </w:r>
      <w:proofErr w:type="spellStart"/>
      <w:r>
        <w:t>Hugging</w:t>
      </w:r>
      <w:proofErr w:type="spellEnd"/>
      <w:r>
        <w:t xml:space="preserve"> Face </w:t>
      </w:r>
      <w:proofErr w:type="spellStart"/>
      <w:r>
        <w:t>eugenioderodev</w:t>
      </w:r>
      <w:proofErr w:type="spellEnd"/>
      <w:r>
        <w:t>/</w:t>
      </w:r>
      <w:proofErr w:type="spellStart"/>
      <w:r>
        <w:t>fishstop-bert</w:t>
      </w:r>
      <w:proofErr w:type="spellEnd"/>
      <w:r>
        <w:t xml:space="preserve">; l'applicazione può fissarne una revisione specifica per rendere ripetibile il caricamento. Le chiavi per </w:t>
      </w:r>
      <w:proofErr w:type="spellStart"/>
      <w:r>
        <w:t>VirusTotal</w:t>
      </w:r>
      <w:proofErr w:type="spellEnd"/>
      <w:r>
        <w:t xml:space="preserve">, </w:t>
      </w:r>
      <w:proofErr w:type="spellStart"/>
      <w:r>
        <w:t>AbuseIPDB</w:t>
      </w:r>
      <w:proofErr w:type="spellEnd"/>
      <w:r>
        <w:t xml:space="preserve"> ed eventuali </w:t>
      </w:r>
      <w:proofErr w:type="spellStart"/>
      <w:r>
        <w:t>backend</w:t>
      </w:r>
      <w:proofErr w:type="spellEnd"/>
      <w:r>
        <w:t xml:space="preserve"> ospitati sono lette da variabili d'ambiente, </w:t>
      </w:r>
      <w:proofErr w:type="gramStart"/>
      <w:r>
        <w:t>file .</w:t>
      </w:r>
      <w:proofErr w:type="spellStart"/>
      <w:r>
        <w:t>env</w:t>
      </w:r>
      <w:proofErr w:type="spellEnd"/>
      <w:proofErr w:type="gramEnd"/>
      <w:r>
        <w:t xml:space="preserve"> locale o </w:t>
      </w:r>
      <w:proofErr w:type="spellStart"/>
      <w:r>
        <w:lastRenderedPageBreak/>
        <w:t>Streamlit</w:t>
      </w:r>
      <w:proofErr w:type="spellEnd"/>
      <w:r>
        <w:t xml:space="preserve"> secrets e non sono memorizzate nel codice. Se una credenziale manca, il controllo corrispondente viene saltato in modo esplicito.</w:t>
      </w:r>
    </w:p>
    <w:p w14:paraId="0606DCCA" w14:textId="77777777" w:rsidR="0032419E" w:rsidRDefault="00713D55">
      <w:pPr>
        <w:pStyle w:val="Corpotesi"/>
      </w:pPr>
      <w:r>
        <w:t xml:space="preserve">Il file .eml e il </w:t>
      </w:r>
      <w:proofErr w:type="spellStart"/>
      <w:r>
        <w:t>parsing</w:t>
      </w:r>
      <w:proofErr w:type="spellEnd"/>
      <w:r>
        <w:t xml:space="preserve"> rimangono locali. Alle fonti di reputazione vengono inviati solo gli indicatori necessari, quali IP, dominio, URL o </w:t>
      </w:r>
      <w:proofErr w:type="spellStart"/>
      <w:r>
        <w:t>hash</w:t>
      </w:r>
      <w:proofErr w:type="spellEnd"/>
      <w:r>
        <w:t xml:space="preserve">; gli allegati non sono caricati automaticamente. Per l'analisi linguistica, l'uso di un modello locale tramite Ollama limita ulteriormente la circolazione dei dati; scegliendo invece un </w:t>
      </w:r>
      <w:proofErr w:type="spellStart"/>
      <w:r>
        <w:t>backend</w:t>
      </w:r>
      <w:proofErr w:type="spellEnd"/>
      <w:r>
        <w:t xml:space="preserve"> ospitato, una parte anonimizzata del contenuto deve essere trasmessa al servizio remoto. </w:t>
      </w:r>
      <w:proofErr w:type="spellStart"/>
      <w:r>
        <w:t>FishSTOP</w:t>
      </w:r>
      <w:proofErr w:type="spellEnd"/>
      <w:r>
        <w:t xml:space="preserve"> rende visibile il </w:t>
      </w:r>
      <w:proofErr w:type="spellStart"/>
      <w:r>
        <w:t>backend</w:t>
      </w:r>
      <w:proofErr w:type="spellEnd"/>
      <w:r>
        <w:t xml:space="preserve"> attivo, così l'operatore può scegliere la modalità coerente con le policy aziendali e con la sensibilità del messaggio.</w:t>
      </w:r>
    </w:p>
    <w:p w14:paraId="5050DC9E" w14:textId="77777777" w:rsidR="0032419E" w:rsidRDefault="00713D55">
      <w:pPr>
        <w:pStyle w:val="Titolo31"/>
      </w:pPr>
      <w:r>
        <w:t>Verifica sperimentale e limiti dei risultati</w:t>
      </w:r>
    </w:p>
    <w:p w14:paraId="492C6BD2" w14:textId="77777777" w:rsidR="0032419E" w:rsidRDefault="00713D55">
      <w:pPr>
        <w:pStyle w:val="Corpotesi"/>
      </w:pPr>
      <w:r>
        <w:t xml:space="preserve">I test automatici eseguiti sul codice corrente hanno verificato la normalizzazione del testo, la calibrazione, la selezione del corpo, il </w:t>
      </w:r>
      <w:proofErr w:type="spellStart"/>
      <w:r>
        <w:t>parsing</w:t>
      </w:r>
      <w:proofErr w:type="spellEnd"/>
      <w:r>
        <w:t xml:space="preserve"> MIME, l'aggregazione degli esiti di autenticazione e la politica di rischio: 32 test mirati sono stati completati senza errori. Una prova batch separata ha inoltre processato 8.614 file .eml appartenenti a un corpus atteso interamente phishing. </w:t>
      </w:r>
      <w:proofErr w:type="spellStart"/>
      <w:r>
        <w:t>Parsing</w:t>
      </w:r>
      <w:proofErr w:type="spellEnd"/>
      <w:r>
        <w:t xml:space="preserve"> e inferenza sono riusciti per tutti i file; 8.594 messaggi sono stati classificati come phishing, 14 come legittimi e 6 come incerti. La capacità di rilevazione osservata su tale corpus è quindi 99,7678%, con 0,2322% di casi non riconosciuti come phishing.</w:t>
      </w:r>
    </w:p>
    <w:p w14:paraId="483129A3" w14:textId="77777777" w:rsidR="0032419E" w:rsidRDefault="00713D55">
      <w:pPr>
        <w:pStyle w:val="Corpotesi"/>
      </w:pPr>
      <w:r>
        <w:t xml:space="preserve">Questa percentuale non rappresenta l'accuratezza generale del sistema. Poiché il corpus esterno contiene una sola classe attesa, consente di stimare una recall operativa sul campione ma non precisione, specificità o tasso di falsi positivi. </w:t>
      </w:r>
      <w:r w:rsidR="00154159">
        <w:t>Inoltre,</w:t>
      </w:r>
      <w:r>
        <w:t xml:space="preserve"> la distribuzione delle confidenze è fortemente polarizzata e il modello pubblicato è privo dell'artefatto di calibrazione; il risultato è utile come controllo di robustezza del </w:t>
      </w:r>
      <w:proofErr w:type="spellStart"/>
      <w:r>
        <w:t>parsing</w:t>
      </w:r>
      <w:proofErr w:type="spellEnd"/>
      <w:r>
        <w:t xml:space="preserve"> e di sensibilità verso phishing simili alla raccolta, ma non sostituisce un benchmark bilanciato, recente, multilingue e indipendente. La distinzione è metodologicamente rilevante perché risultati elevati su un singolo corpus non garantiscono robustezza al trasferimento tra sorgenti o al cambiamento della prevalenza operativa (Bhuiyan e Bhuiyan, 2026).</w:t>
      </w:r>
    </w:p>
    <w:p w14:paraId="21171D98" w14:textId="77777777" w:rsidR="0032419E" w:rsidRDefault="00713D55">
      <w:pPr>
        <w:pStyle w:val="Corpotesi"/>
      </w:pPr>
      <w:r>
        <w:t xml:space="preserve">L'analisi del repository non contiene ancora una misurazione comparativa completa dei tempi del flusso manuale e di quello assistito. Di conseguenza non è possibile quantificare in modo rigoroso la riduzione del Mean Time to </w:t>
      </w:r>
      <w:proofErr w:type="spellStart"/>
      <w:r>
        <w:t>Respond</w:t>
      </w:r>
      <w:proofErr w:type="spellEnd"/>
      <w:r>
        <w:t xml:space="preserve">. Il </w:t>
      </w:r>
      <w:r>
        <w:lastRenderedPageBreak/>
        <w:t xml:space="preserve">beneficio osservabile è funzionale: </w:t>
      </w:r>
      <w:proofErr w:type="spellStart"/>
      <w:r>
        <w:t>FishSTOP</w:t>
      </w:r>
      <w:proofErr w:type="spellEnd"/>
      <w:r>
        <w:t xml:space="preserve"> riunisce in una sola procedura controlli che altrimenti richiedono strumenti distinti e rende più uniforme la raccolta delle evidenze. Per dimostrare l'impatto sul processo saranno necessari un protocollo con casi omogenei, cronometraggio prima/dopo, più analisti, registrazione degli errori e valutazione della qualità delle decisioni.</w:t>
      </w:r>
    </w:p>
    <w:p w14:paraId="0ED71FB9" w14:textId="77777777" w:rsidR="00FD0ADC" w:rsidRDefault="00000000">
      <w:pPr>
        <w:pStyle w:val="Titolo31"/>
      </w:pPr>
      <w:r>
        <w:t>Caso operativo: analisi di un'e-mail con allegato PDF sospetto</w:t>
      </w:r>
    </w:p>
    <w:p w14:paraId="6DE8A4F7" w14:textId="77777777" w:rsidR="00FD0ADC" w:rsidRDefault="00000000">
      <w:pPr>
        <w:pStyle w:val="Corpotesi"/>
      </w:pPr>
      <w:r>
        <w:t xml:space="preserve">Come riscontro operativo è stato riesaminato con </w:t>
      </w:r>
      <w:proofErr w:type="spellStart"/>
      <w:r>
        <w:t>FishSTOP</w:t>
      </w:r>
      <w:proofErr w:type="spellEnd"/>
      <w:r>
        <w:t xml:space="preserve"> il messaggio in formato .eml denominato «Attached New FILE NO 2600029 _ from Hirsch and Son confirmation.eml», datato 17 giugno 2026. Il file ha dimensione pari a 591.004 byte, visualizzata dall'applicazione come 577,2 KB, contiene tre allegati ed è identificato </w:t>
      </w:r>
      <w:proofErr w:type="spellStart"/>
      <w:r>
        <w:t>dall'hash</w:t>
      </w:r>
      <w:proofErr w:type="spellEnd"/>
      <w:r>
        <w:t xml:space="preserve"> SHA-256 A3570890620244F800FFAEF28C21FB956BD36C8BA04285E2D9494920CC9294D8. Il report completo è stato prodotto in meno di 30 secondi secondo una rilevazione manuale dell'uso reale; il valore descrive quindi il tempo osservato in questo caso e non un benchmark strumentato o ripetuto. Il </w:t>
      </w:r>
      <w:proofErr w:type="spellStart"/>
      <w:r>
        <w:t>parsing</w:t>
      </w:r>
      <w:proofErr w:type="spellEnd"/>
      <w:r>
        <w:t xml:space="preserve"> è avvenuto localmente e soltanto gli indicatori previsti dalla configurazione potevano essere inviati ai servizi di reputazione.</w:t>
      </w:r>
    </w:p>
    <w:p w14:paraId="110D90BE" w14:textId="77777777" w:rsidR="00FD0ADC" w:rsidRDefault="00000000">
      <w:pPr>
        <w:pStyle w:val="Corpotesi"/>
      </w:pPr>
      <w:proofErr w:type="spellStart"/>
      <w:r>
        <w:t>FishSTOP</w:t>
      </w:r>
      <w:proofErr w:type="spellEnd"/>
      <w:r>
        <w:t xml:space="preserve"> ha assegnato al messaggio il livello High risk, riportando cinque segnali critici e due segnali di revisione, nessun collegamento direttamente esposto nel corpo e tre allegati. Nel riepilogo aggregato dei controlli di autenticazione risultavano SPF PASS, DKIM NONE e DMARC NONE. L'evidenza principale proveniva tuttavia dal file «HIRSCH AND SON Pdf.pdf»: l'analisi interna del PDF ha individuato nove azioni URI esterne, due riferimenti a una pagina pubblica costruita con Google Sites, un URL di </w:t>
      </w:r>
      <w:proofErr w:type="spellStart"/>
      <w:r>
        <w:t>redirect</w:t>
      </w:r>
      <w:proofErr w:type="spellEnd"/>
      <w:r>
        <w:t xml:space="preserve"> annidato e nascosto, un </w:t>
      </w:r>
      <w:proofErr w:type="spellStart"/>
      <w:r>
        <w:t>redirect</w:t>
      </w:r>
      <w:proofErr w:type="spellEnd"/>
      <w:r>
        <w:t xml:space="preserve"> con parametri di tracciamento, due form interattivi, uno stream compresso di oggetti o cross-</w:t>
      </w:r>
      <w:proofErr w:type="spellStart"/>
      <w:r>
        <w:t>reference</w:t>
      </w:r>
      <w:proofErr w:type="spellEnd"/>
      <w:r>
        <w:t xml:space="preserve"> e sette nomi PDF offuscati. Tra le evidenze estratte compariva inoltre la catena </w:t>
      </w:r>
      <w:proofErr w:type="spellStart"/>
      <w:r>
        <w:t>stat.chatify.dev</w:t>
      </w:r>
      <w:proofErr w:type="spellEnd"/>
      <w:r>
        <w:t xml:space="preserve"> verso sites.google.com. Un secondo allegato, denominato «image.png», era dichiarato come image/jpeg e riconosciuto dai </w:t>
      </w:r>
      <w:proofErr w:type="spellStart"/>
      <w:r>
        <w:t>magic</w:t>
      </w:r>
      <w:proofErr w:type="spellEnd"/>
      <w:r>
        <w:t xml:space="preserve"> bytes come JPEG, evidenziando l'incoerenza tra nome, tipo MIME e formato reale.</w:t>
      </w:r>
    </w:p>
    <w:p w14:paraId="507689FC" w14:textId="77777777" w:rsidR="00FD0ADC" w:rsidRDefault="00000000">
      <w:pPr>
        <w:pStyle w:val="Corpotesi"/>
      </w:pPr>
      <w:r>
        <w:t xml:space="preserve">L'analisi semantica di Phi-4 mini ha sintetizzato il caso segnalando che oggetto e corpo invitavano il destinatario ad aprire un allegato e che tale richiesta era corroborata dalle funzionalità attive ad alto rischio rilevate nel PDF. Il valore operativo del risultato non è consistito soltanto nel verdetto sintetico, ma nella </w:t>
      </w:r>
      <w:r>
        <w:lastRenderedPageBreak/>
        <w:t xml:space="preserve">capacità di rendere immediatamente visibili elementi che non comparivano come normali link nel corpo dell'e-mail: destinazioni incorporate negli oggetti PDF, </w:t>
      </w:r>
      <w:proofErr w:type="spellStart"/>
      <w:r>
        <w:t>redirect</w:t>
      </w:r>
      <w:proofErr w:type="spellEnd"/>
      <w:r>
        <w:t>, form interattivi, offuscamento e incongruenze di formato. Il team IT ha potuto ottenere in un'unica vista le informazioni su mittente, autenticazione, allegati, comportamento interno del PDF e spiegazione contestuale, evitando l'apertura manuale del documento e riducendo i passaggi tra strumenti distinti.</w:t>
      </w:r>
    </w:p>
    <w:p w14:paraId="6E9874E4" w14:textId="77777777" w:rsidR="00FD0ADC" w:rsidRDefault="00000000">
      <w:pPr>
        <w:pStyle w:val="Corpotesi"/>
      </w:pPr>
      <w:r>
        <w:t xml:space="preserve">Il caso mostra quindi un successo concreto della pipeline come supporto al triage: in meno di 30 secondi l'analista disponeva di evidenze sufficienti per attribuire priorità elevata alla segnalazione, mantenere l'allegato in condizioni controllate e motivare l'eventuale approfondimento o escalation. Non dimostra da solo l'accuratezza generale di </w:t>
      </w:r>
      <w:proofErr w:type="spellStart"/>
      <w:r>
        <w:t>FishSTOP</w:t>
      </w:r>
      <w:proofErr w:type="spellEnd"/>
      <w:r>
        <w:t xml:space="preserve"> né quantifica stabilmente la riduzione del Mean Time to </w:t>
      </w:r>
      <w:proofErr w:type="spellStart"/>
      <w:r>
        <w:t>Respond</w:t>
      </w:r>
      <w:proofErr w:type="spellEnd"/>
      <w:r>
        <w:t>, ma documenta il vantaggio funzionale rispetto a un esame limitato al corpo del messaggio o alle sole estensioni degli allegati.</w:t>
      </w:r>
    </w:p>
    <w:p w14:paraId="69C941B1" w14:textId="77777777" w:rsidR="0032419E" w:rsidRDefault="00713D55">
      <w:pPr>
        <w:pStyle w:val="Corpotesi"/>
      </w:pPr>
      <w:r>
        <w:t xml:space="preserve">Ulteriori limiti riguardano la lingua del modello base, prevalentemente inglese; l'evoluzione delle campagne; il cambiamento nel tempo delle fonti di reputazione; la possibile presenza di </w:t>
      </w:r>
      <w:proofErr w:type="spellStart"/>
      <w:r>
        <w:t>bias</w:t>
      </w:r>
      <w:proofErr w:type="spellEnd"/>
      <w:r>
        <w:t xml:space="preserve"> nei corpus pubblici; la classe MALICIOUS che comprende anche spam e </w:t>
      </w:r>
      <w:proofErr w:type="spellStart"/>
      <w:r>
        <w:t>scam</w:t>
      </w:r>
      <w:proofErr w:type="spellEnd"/>
      <w:r>
        <w:t xml:space="preserve">; e il rischio di </w:t>
      </w:r>
      <w:proofErr w:type="spellStart"/>
      <w:r>
        <w:t>sovraconfidenza</w:t>
      </w:r>
      <w:proofErr w:type="spellEnd"/>
      <w:r>
        <w:t xml:space="preserve"> dei modelli neurali. Gli sviluppi prioritari sono quindi pubblicare modello e calibrazione generati dallo stesso dataset, conservare le metriche del test, ampliare la valutazione a messaggi legittimi aziendali anonimizzati e lingue diverse, introdurre monitoraggio del data drift e svolgere prove periodiche con casi recenti. Il risultato di </w:t>
      </w:r>
      <w:proofErr w:type="spellStart"/>
      <w:r>
        <w:t>FishSTOP</w:t>
      </w:r>
      <w:proofErr w:type="spellEnd"/>
      <w:r>
        <w:t xml:space="preserve"> deve continuare a essere interpretato come supporto alla decisione dell'analista e non come autorizzazione automatica a rimuovere messaggi o isolare dispositivi.</w:t>
      </w:r>
    </w:p>
    <w:p w14:paraId="68EA0EAC" w14:textId="77777777" w:rsidR="00065E1E" w:rsidRPr="00146E3C" w:rsidRDefault="00713D55">
      <w:pPr>
        <w:rPr>
          <w:lang w:val="it-IT"/>
        </w:rPr>
      </w:pPr>
      <w:r w:rsidRPr="00146E3C">
        <w:rPr>
          <w:lang w:val="it-IT"/>
        </w:rPr>
        <w:br w:type="page"/>
      </w:r>
    </w:p>
    <w:p w14:paraId="7641C17C" w14:textId="77777777" w:rsidR="00065E1E" w:rsidRDefault="00713D55">
      <w:pPr>
        <w:pStyle w:val="Titolo11"/>
        <w:numPr>
          <w:ilvl w:val="0"/>
          <w:numId w:val="1"/>
        </w:numPr>
      </w:pPr>
      <w:r>
        <w:lastRenderedPageBreak/>
        <w:t>Competenze utilizzate</w:t>
      </w:r>
    </w:p>
    <w:p w14:paraId="53A8AC8E" w14:textId="77777777" w:rsidR="00065E1E" w:rsidRDefault="00713D55">
      <w:pPr>
        <w:pStyle w:val="Titolo21"/>
        <w:numPr>
          <w:ilvl w:val="1"/>
          <w:numId w:val="1"/>
        </w:numPr>
      </w:pPr>
      <w:r>
        <w:t>Conoscenze teoriche e tecniche applicate</w:t>
      </w:r>
    </w:p>
    <w:p w14:paraId="08F09CD4" w14:textId="77777777" w:rsidR="0032419E" w:rsidRDefault="00713D55">
      <w:pPr>
        <w:pStyle w:val="Corpotesi"/>
      </w:pPr>
      <w:r>
        <w:t xml:space="preserve">Le conoscenze utilizzate nel tirocinio possono essere ricondotte a quattro nuclei principali: sicurezza delle reti e dei protocolli e-mail; </w:t>
      </w:r>
      <w:proofErr w:type="spellStart"/>
      <w:r>
        <w:t>threat</w:t>
      </w:r>
      <w:proofErr w:type="spellEnd"/>
      <w:r>
        <w:t xml:space="preserve"> intelligence e analisi forense degli </w:t>
      </w:r>
      <w:proofErr w:type="spellStart"/>
      <w:r>
        <w:t>header</w:t>
      </w:r>
      <w:proofErr w:type="spellEnd"/>
      <w:r>
        <w:t>; machine learning applicato alla cybersecurity, con particolare riferimento al Natural Language Processing e alla classificazione del testo; principi di secure coding, tra cui gestione dei segreti, separazione dei moduli e validazione degli input. Questi ambiti non sono rimasti separati: durante il triage di una e-mail sospetta è stato necessario combinarli per passare dal dato tecnico a una valutazione motivata e verificabile.</w:t>
      </w:r>
    </w:p>
    <w:p w14:paraId="11BD314F" w14:textId="77777777" w:rsidR="0032419E" w:rsidRDefault="00713D55">
      <w:pPr>
        <w:pStyle w:val="Corpotesi"/>
      </w:pPr>
      <w:r>
        <w:t xml:space="preserve">Sicurezza delle reti e protocolli e-mail. Le conoscenze acquisite in Network Security and Administration e Fundamentals of Security and Cryptography sono state applicate alla comprensione del percorso dei messaggi e dei meccanismi di autenticazione. La lettura della catena </w:t>
      </w:r>
      <w:proofErr w:type="spellStart"/>
      <w:r>
        <w:t>Received</w:t>
      </w:r>
      <w:proofErr w:type="spellEnd"/>
      <w:r>
        <w:t xml:space="preserve"> richiede di interpretare </w:t>
      </w:r>
      <w:proofErr w:type="spellStart"/>
      <w:r>
        <w:t>host</w:t>
      </w:r>
      <w:proofErr w:type="spellEnd"/>
      <w:r>
        <w:t xml:space="preserve">, indirizzi IP, </w:t>
      </w:r>
      <w:proofErr w:type="spellStart"/>
      <w:r>
        <w:t>timestamp</w:t>
      </w:r>
      <w:proofErr w:type="spellEnd"/>
      <w:r>
        <w:t xml:space="preserve"> e passaggi tra server; DNS e </w:t>
      </w:r>
      <w:proofErr w:type="spellStart"/>
      <w:r>
        <w:t>routing</w:t>
      </w:r>
      <w:proofErr w:type="spellEnd"/>
      <w:r>
        <w:t xml:space="preserve"> permettono di contestualizzare la provenienza. SPF indica le sorgenti autorizzate dal dominio, DKIM verifica una firma associata al messaggio e DMARC mette in relazione gli esiti di autenticazione con il dominio visibile del mittente. Anche ARC, Return-Path e </w:t>
      </w:r>
      <w:proofErr w:type="spellStart"/>
      <w:r>
        <w:t>Reply</w:t>
      </w:r>
      <w:proofErr w:type="spellEnd"/>
      <w:r>
        <w:t xml:space="preserve">-To forniscono evidenze utili. </w:t>
      </w:r>
    </w:p>
    <w:p w14:paraId="22195155" w14:textId="77777777" w:rsidR="0032419E" w:rsidRDefault="00713D55">
      <w:pPr>
        <w:pStyle w:val="Corpotesi"/>
      </w:pPr>
      <w:r>
        <w:t xml:space="preserve">Le stesse competenze di rete sono state utilizzate nelle attività infrastrutturali su VLAN, VDOM, rotte statiche, switch, firewall </w:t>
      </w:r>
      <w:proofErr w:type="spellStart"/>
      <w:r>
        <w:t>FortiGate</w:t>
      </w:r>
      <w:proofErr w:type="spellEnd"/>
      <w:r>
        <w:t xml:space="preserve"> e segmentazione degli ambienti. Questa base ha facilitato l'interpretazione degli indirizzi e dei domini estratti dalle e-mail</w:t>
      </w:r>
      <w:r w:rsidR="008768E9">
        <w:t>.</w:t>
      </w:r>
      <w:r>
        <w:t xml:space="preserve"> Comprendere dove si trova un endpoint, quali servizi può raggiungere e quali controlli lo proteggono è infatti necessario per stimare il rischio e scegliere azioni di contenimento proporzionate.</w:t>
      </w:r>
    </w:p>
    <w:p w14:paraId="4051F51B" w14:textId="77777777" w:rsidR="0032419E" w:rsidRDefault="00713D55">
      <w:pPr>
        <w:pStyle w:val="Corpotesi"/>
      </w:pPr>
      <w:r>
        <w:t xml:space="preserve">Threat Intelligence e analisi forense degli </w:t>
      </w:r>
      <w:proofErr w:type="spellStart"/>
      <w:r>
        <w:t>header</w:t>
      </w:r>
      <w:proofErr w:type="spellEnd"/>
      <w:r>
        <w:t xml:space="preserve">. Nel triage sono stati confrontati gli indicatori presenti nel messaggio con fonti di reputazione relative a IP, domini, URL e </w:t>
      </w:r>
      <w:proofErr w:type="spellStart"/>
      <w:r>
        <w:t>hash</w:t>
      </w:r>
      <w:proofErr w:type="spellEnd"/>
      <w:r>
        <w:t xml:space="preserve">. La </w:t>
      </w:r>
      <w:proofErr w:type="spellStart"/>
      <w:r>
        <w:t>threat</w:t>
      </w:r>
      <w:proofErr w:type="spellEnd"/>
      <w:r>
        <w:t xml:space="preserve"> intelligence è stata utilizzata come informazione di supporto, tenendo conto che un indicatore sconosciuto non è necessariamente benigno e che la reputazione può cambiare nel tempo. L'approccio forense ha richiesto di lavorare sul file .eml, preservare gli </w:t>
      </w:r>
      <w:proofErr w:type="spellStart"/>
      <w:r>
        <w:t>header</w:t>
      </w:r>
      <w:proofErr w:type="spellEnd"/>
      <w:r>
        <w:t xml:space="preserve">, distinguere la destinazione reale dal testo visibile di un link, ricostruire la catena di trasporto e documentare le evidenze. </w:t>
      </w:r>
      <w:proofErr w:type="spellStart"/>
      <w:r>
        <w:t>FishSTOP</w:t>
      </w:r>
      <w:proofErr w:type="spellEnd"/>
      <w:r>
        <w:t xml:space="preserve"> formalizza questo metodo mostrando insieme dati grezzi, </w:t>
      </w:r>
      <w:r>
        <w:lastRenderedPageBreak/>
        <w:t>risultati normalizzati e fonti esterne, così che l'analista possa verificare come è stata prodotta la sintesi.</w:t>
      </w:r>
    </w:p>
    <w:p w14:paraId="2334F4BC" w14:textId="77777777" w:rsidR="0032419E" w:rsidRDefault="00713D55">
      <w:pPr>
        <w:pStyle w:val="Corpotesi"/>
      </w:pPr>
      <w:r>
        <w:t xml:space="preserve">Machine Learning applicato alla cybersecurity: NLP e classificazione del testo. Le conoscenze di analisi dei dati e apprendimento automatico sono state applicate al fine-tuning di </w:t>
      </w:r>
      <w:proofErr w:type="spellStart"/>
      <w:r>
        <w:t>DistilBERT</w:t>
      </w:r>
      <w:proofErr w:type="spellEnd"/>
      <w:r>
        <w:t xml:space="preserve"> per distinguere contenuti legittimi e malevoli. Il lavoro ha incluso costruzione e bilanciamento del dataset, rimozione dei duplicati, separazione delle fonti tra training, validazione e test, normalizzazione del testo e gestione delle e-mail più lunghe del limite del modello mediante finestre sovrapposte. L'attività ha mostrato che una metrica elevata non è sufficiente: devono essere valutati generalizzazione, qualità delle etichette, data leakage, calibrazione e comportamento sui casi incerti. Il classificatore viene pertanto utilizzato come segnale sul contenuto e non come verdetto autonomo.</w:t>
      </w:r>
    </w:p>
    <w:p w14:paraId="419DA7AA" w14:textId="77777777" w:rsidR="0032419E" w:rsidRDefault="00713D55">
      <w:pPr>
        <w:pStyle w:val="Corpotesi"/>
      </w:pPr>
      <w:r>
        <w:t xml:space="preserve">Gestione dei segreti, separazione dei moduli e validazione degli input. </w:t>
      </w:r>
      <w:r w:rsidRPr="000361F0">
        <w:rPr>
          <w:lang w:val="en-US"/>
        </w:rPr>
        <w:t xml:space="preserve">Security Engineering 1 - Secure Coding e Security Engineering 2 - Web Application Security and Testing </w:t>
      </w:r>
      <w:proofErr w:type="spellStart"/>
      <w:r w:rsidRPr="000361F0">
        <w:rPr>
          <w:lang w:val="en-US"/>
        </w:rPr>
        <w:t>hanno</w:t>
      </w:r>
      <w:proofErr w:type="spellEnd"/>
      <w:r w:rsidRPr="000361F0">
        <w:rPr>
          <w:lang w:val="en-US"/>
        </w:rPr>
        <w:t xml:space="preserve"> </w:t>
      </w:r>
      <w:proofErr w:type="spellStart"/>
      <w:r w:rsidRPr="000361F0">
        <w:rPr>
          <w:lang w:val="en-US"/>
        </w:rPr>
        <w:t>guidato</w:t>
      </w:r>
      <w:proofErr w:type="spellEnd"/>
      <w:r w:rsidRPr="000361F0">
        <w:rPr>
          <w:lang w:val="en-US"/>
        </w:rPr>
        <w:t xml:space="preserve"> la </w:t>
      </w:r>
      <w:proofErr w:type="spellStart"/>
      <w:r w:rsidRPr="000361F0">
        <w:rPr>
          <w:lang w:val="en-US"/>
        </w:rPr>
        <w:t>progettazione</w:t>
      </w:r>
      <w:proofErr w:type="spellEnd"/>
      <w:r w:rsidRPr="000361F0">
        <w:rPr>
          <w:lang w:val="en-US"/>
        </w:rPr>
        <w:t xml:space="preserve"> di </w:t>
      </w:r>
      <w:proofErr w:type="spellStart"/>
      <w:r w:rsidRPr="000361F0">
        <w:rPr>
          <w:lang w:val="en-US"/>
        </w:rPr>
        <w:t>FishSTOP</w:t>
      </w:r>
      <w:proofErr w:type="spellEnd"/>
      <w:r w:rsidRPr="000361F0">
        <w:rPr>
          <w:lang w:val="en-US"/>
        </w:rPr>
        <w:t xml:space="preserve">. </w:t>
      </w:r>
      <w:r>
        <w:t xml:space="preserve">Le chiavi per i servizi esterni sono caricate da variabili d'ambiente o archivi dedicati e non sono inserite nel codice. Parser, controlli di autenticazione, reputazione, analisi degli allegati, classificatore e componente semantica sono separati, così un errore o una modifica in un modulo non deve compromettere l'intera applicazione. File .eml, HTML, URL, </w:t>
      </w:r>
      <w:proofErr w:type="spellStart"/>
      <w:r>
        <w:t>header</w:t>
      </w:r>
      <w:proofErr w:type="spellEnd"/>
      <w:r>
        <w:t xml:space="preserve"> e output dei modelli sono considerati input non affidabili: vengono normalizzati, sottoposti a controlli di formato e gestiti con errori espliciti. Gli allegati non sono caricati automaticamente verso servizi pubblici e le azioni operative rimangono soggette alla decisione dell'analista.</w:t>
      </w:r>
    </w:p>
    <w:p w14:paraId="5835F6A7" w14:textId="77777777" w:rsidR="0032419E" w:rsidRDefault="00713D55">
      <w:pPr>
        <w:pStyle w:val="Corpotesi"/>
      </w:pPr>
      <w:r>
        <w:t xml:space="preserve">Computer Security and Administration ha completato queste conoscenze con i principi di </w:t>
      </w:r>
      <w:proofErr w:type="spellStart"/>
      <w:r>
        <w:t>hardening</w:t>
      </w:r>
      <w:proofErr w:type="spellEnd"/>
      <w:r>
        <w:t xml:space="preserve">, patch management, gestione delle identità e protezione degli endpoint applicati tramite Cynet, </w:t>
      </w:r>
      <w:proofErr w:type="spellStart"/>
      <w:r>
        <w:t>Ivanti</w:t>
      </w:r>
      <w:proofErr w:type="spellEnd"/>
      <w:r>
        <w:t xml:space="preserve">, </w:t>
      </w:r>
      <w:proofErr w:type="spellStart"/>
      <w:r>
        <w:t>Intune</w:t>
      </w:r>
      <w:proofErr w:type="spellEnd"/>
      <w:r>
        <w:t xml:space="preserve">, Microsoft 365 e Google Workspace. Security Engineering 3 - Mobile Security and Testing ha fornito soprattutto un metodo trasferibile per delimitare la superficie d'attacco e i confini di fiducia; non viene invece presentato come esperienza diretta di mobile </w:t>
      </w:r>
      <w:proofErr w:type="spellStart"/>
      <w:r>
        <w:t>penetration</w:t>
      </w:r>
      <w:proofErr w:type="spellEnd"/>
      <w:r>
        <w:t xml:space="preserve"> testing. L'integrazione tra questi insegnamenti ha reso possibile affrontare il problema non soltanto come classificazione di un messaggio, ma come evento inserito in un'infrastruttura aziendale.</w:t>
      </w:r>
    </w:p>
    <w:p w14:paraId="294452F7" w14:textId="77777777" w:rsidR="00065E1E" w:rsidRDefault="00713D55">
      <w:pPr>
        <w:pStyle w:val="Titolo21"/>
        <w:numPr>
          <w:ilvl w:val="1"/>
          <w:numId w:val="1"/>
        </w:numPr>
      </w:pPr>
      <w:r>
        <w:lastRenderedPageBreak/>
        <w:t>Insegnamento del Master con maggiore impatto: motivazione della scelta</w:t>
      </w:r>
    </w:p>
    <w:p w14:paraId="3D2F8F98" w14:textId="77777777" w:rsidR="0032419E" w:rsidRDefault="00713D55">
      <w:pPr>
        <w:pStyle w:val="Corpotesi"/>
      </w:pPr>
      <w:r>
        <w:t xml:space="preserve">L'insegnamento del Master che ha avuto il maggiore impatto è stato Security Monitoring - Information </w:t>
      </w:r>
      <w:proofErr w:type="spellStart"/>
      <w:r>
        <w:t>Correlation</w:t>
      </w:r>
      <w:proofErr w:type="spellEnd"/>
      <w:r>
        <w:t>. La scelta deriva dalla corrispondenza diretta tra il contenuto del corso e il problema affrontato durante il tirocinio: una segnalazione di sicurezza non può essere valutata attraverso un solo indicatore, ma richiede di unire evidenze provenienti da posta elettronica, rete, endpoint, identità, reputazione e comportamento dell'utente. La correlazione consente di attribuire il giusto peso ai segnali, ridurre il rumore e riconoscere quando anomalie deboli diventano significative perché presenti insieme.</w:t>
      </w:r>
    </w:p>
    <w:p w14:paraId="64A48718" w14:textId="77777777" w:rsidR="0032419E" w:rsidRDefault="00713D55">
      <w:pPr>
        <w:pStyle w:val="Corpotesi"/>
      </w:pPr>
      <w:r>
        <w:t xml:space="preserve">Nell'attività operativa questo principio è stato applicato durante l'analisi di phishing, potenziali malware e alert Cynet. Un fallimento di autenticazione, un dominio sospetto o una rilevazione dell'EDR/XDR non determinavano automaticamente la decisione. Era necessario verificare il contesto, cercare indicatori indipendenti, ricostruire le azioni eseguite e stabilire se il caso potesse essere chiuso, richiedesse revisione o dovesse essere </w:t>
      </w:r>
      <w:proofErr w:type="spellStart"/>
      <w:r>
        <w:t>escalato</w:t>
      </w:r>
      <w:proofErr w:type="spellEnd"/>
      <w:r>
        <w:t xml:space="preserve">. Lo stesso metodo è risultato utile nella gestione delle </w:t>
      </w:r>
      <w:proofErr w:type="spellStart"/>
      <w:r>
        <w:t>allowlist</w:t>
      </w:r>
      <w:proofErr w:type="spellEnd"/>
      <w:r>
        <w:t>, perché la riduzione dei falsi positivi doveva essere bilanciata con il rischio di nascondere eventi futuri.</w:t>
      </w:r>
    </w:p>
    <w:p w14:paraId="16DF8B7F" w14:textId="77777777" w:rsidR="0032419E" w:rsidRDefault="00713D55">
      <w:pPr>
        <w:pStyle w:val="Corpotesi"/>
      </w:pPr>
      <w:r>
        <w:t xml:space="preserve">Security Monitoring - Information </w:t>
      </w:r>
      <w:proofErr w:type="spellStart"/>
      <w:r>
        <w:t>Correlation</w:t>
      </w:r>
      <w:proofErr w:type="spellEnd"/>
      <w:r>
        <w:t xml:space="preserve"> ha influenzato in modo particolare l'architettura di </w:t>
      </w:r>
      <w:proofErr w:type="spellStart"/>
      <w:r>
        <w:t>FishSTOP</w:t>
      </w:r>
      <w:proofErr w:type="spellEnd"/>
      <w:r>
        <w:t xml:space="preserve">. L'applicazione mantiene distinti gli assi di identità, contenuto e rischio tecnico e combina risultati SPF, DKIM e DMARC, percorso del messaggio, reputazione, link, allegati, </w:t>
      </w:r>
      <w:proofErr w:type="spellStart"/>
      <w:r>
        <w:t>DistilBERT</w:t>
      </w:r>
      <w:proofErr w:type="spellEnd"/>
      <w:r>
        <w:t xml:space="preserve"> e analisi semantica. Nessun indicatore debole è sufficiente da solo per produrre un verdetto di phishing; quando le evidenze non sono corroborate, il sistema richiede una revisione umana. La motivazione della scelta risiede quindi anche nella capacità del corso di trasformare un concetto teorico in una regola progettuale concreta e verificabile.</w:t>
      </w:r>
    </w:p>
    <w:p w14:paraId="18F75092" w14:textId="77777777" w:rsidR="0032419E" w:rsidRDefault="00713D55">
      <w:pPr>
        <w:pStyle w:val="Corpotesi"/>
      </w:pPr>
      <w:r>
        <w:t xml:space="preserve">Gli altri insegnamenti hanno fornito contributi complementari indispensabili. Network Security and Administration ha supportato l'interpretazione di IP, DNS e </w:t>
      </w:r>
      <w:proofErr w:type="spellStart"/>
      <w:r>
        <w:t>routing</w:t>
      </w:r>
      <w:proofErr w:type="spellEnd"/>
      <w:r>
        <w:t xml:space="preserve">; </w:t>
      </w:r>
      <w:proofErr w:type="spellStart"/>
      <w:r>
        <w:t>Incident</w:t>
      </w:r>
      <w:proofErr w:type="spellEnd"/>
      <w:r>
        <w:t xml:space="preserve"> </w:t>
      </w:r>
      <w:proofErr w:type="spellStart"/>
      <w:r>
        <w:t>Response</w:t>
      </w:r>
      <w:proofErr w:type="spellEnd"/>
      <w:r>
        <w:t xml:space="preserve"> la collocazione del triage nel ciclo di contenimento e remediation; Malware Analysis and </w:t>
      </w:r>
      <w:proofErr w:type="spellStart"/>
      <w:r>
        <w:t>Detection</w:t>
      </w:r>
      <w:proofErr w:type="spellEnd"/>
      <w:r>
        <w:t xml:space="preserve"> l'analisi degli endpoint; Secure Coding e Web Application Security la realizzazione affidabile dell'applicazione; Information </w:t>
      </w:r>
      <w:proofErr w:type="spellStart"/>
      <w:r>
        <w:t>Correlation</w:t>
      </w:r>
      <w:proofErr w:type="spellEnd"/>
      <w:r>
        <w:t xml:space="preserve"> è stato scelto come insegnamento di maggiore impatto perché ha costituito il punto di raccordo tra tutte queste </w:t>
      </w:r>
      <w:r w:rsidRPr="000D7B2C">
        <w:t>conoscenze</w:t>
      </w:r>
      <w:r>
        <w:t xml:space="preserve"> e le ha rese applicabili a un processo operativo unitario.</w:t>
      </w:r>
    </w:p>
    <w:p w14:paraId="62DAA4D0" w14:textId="77777777" w:rsidR="00065E1E" w:rsidRDefault="00713D55">
      <w:pPr>
        <w:pStyle w:val="Titolo21"/>
        <w:numPr>
          <w:ilvl w:val="1"/>
          <w:numId w:val="1"/>
        </w:numPr>
      </w:pPr>
      <w:r>
        <w:lastRenderedPageBreak/>
        <w:t>Integrazione tra formazione e pratica</w:t>
      </w:r>
    </w:p>
    <w:p w14:paraId="78F1AD1B" w14:textId="77777777" w:rsidR="00065E1E" w:rsidRDefault="00713D55">
      <w:pPr>
        <w:pStyle w:val="Corpotesi"/>
      </w:pPr>
      <w:r>
        <w:t>Il passaggio dalla formazione alla pratica ha evidenziato che i concetti studiati separatamente nei corsi diventano, nel contesto aziendale, parti di un unico processo. L'analisi di una e-mail sospetta richiede contemporaneamente conoscenze di protocolli di rete, amministrazione dei sistemi, crittografia, monitoraggio, gestione dell'incidente e comunicazione con l'utente. La teoria ha fornito un linguaggio comune per descrivere i problemi; il tirocinio ha mostrato come applicarlo in presenza di informazioni incomplete, priorità concorrenti e vincoli di continuità operativa.</w:t>
      </w:r>
    </w:p>
    <w:p w14:paraId="6A8AD413" w14:textId="77777777" w:rsidR="0032419E" w:rsidRDefault="00713D55">
      <w:pPr>
        <w:pStyle w:val="Corpotesi"/>
      </w:pPr>
      <w:r>
        <w:t xml:space="preserve">Un esempio significativo riguarda l'autenticazione della posta durante la migrazione a Microsoft 365. Lo studio dei protocolli ha permesso di comprendere il significato di SPF e dei relativi limiti DNS; l'esperienza sul campo ha mostrato però che la configurazione deve tenere conto di più provider, applicazioni autorizzate, esigenze di consegna e fasi transitorie. Analogamente, un fallimento SPF o l'assenza di DKIM non possono essere interpretati fuori dal contesto. Questa consapevolezza è stata trasferita nella politica di </w:t>
      </w:r>
      <w:proofErr w:type="spellStart"/>
      <w:r>
        <w:t>FishSTOP</w:t>
      </w:r>
      <w:proofErr w:type="spellEnd"/>
      <w:r>
        <w:t>, che non assegna un verdetto malevolo sulla base dei soli controlli di autenticazione.</w:t>
      </w:r>
    </w:p>
    <w:p w14:paraId="6AF6D310" w14:textId="77777777" w:rsidR="0032419E" w:rsidRDefault="00713D55">
      <w:pPr>
        <w:pStyle w:val="Corpotesi"/>
      </w:pPr>
      <w:r>
        <w:t xml:space="preserve">Lo sviluppo del progetto ha costituito il punto di incontro tra Secure Coding, Web Application Security Information </w:t>
      </w:r>
      <w:proofErr w:type="spellStart"/>
      <w:r>
        <w:t>Correlation</w:t>
      </w:r>
      <w:proofErr w:type="spellEnd"/>
      <w:r>
        <w:t xml:space="preserve">. I file vengono trattati come input ostili, i segreti sono separati dal codice, le chiamate esterne sono limitate agli indicatori necessari e i risultati possono essere ricondotti ai dati originari. La classificazione basata su </w:t>
      </w:r>
      <w:proofErr w:type="spellStart"/>
      <w:r>
        <w:t>DistilBERT</w:t>
      </w:r>
      <w:proofErr w:type="spellEnd"/>
      <w:r>
        <w:t xml:space="preserve"> non viene usata come decisione autonoma: è affiancata da controlli deterministici e da una valutazione semantica. Questa architettura riflette un principio appreso nel percorso formativo e confermato dall'esperienza: in sicurezza è preferibile costruire difese a più livelli e rendere verificabili le decisioni.</w:t>
      </w:r>
    </w:p>
    <w:p w14:paraId="1A0BF7D0" w14:textId="77777777" w:rsidR="0032419E" w:rsidRDefault="00713D55">
      <w:pPr>
        <w:pStyle w:val="Corpotesi"/>
      </w:pPr>
      <w:r>
        <w:t xml:space="preserve">Il tirocinio ha infine permesso di trasformare conoscenze prevalentemente didattiche in competenze operative. Oltre alla dimensione tecnica, sono diventati centrali la prioritizzazione dei ticket, il confronto con il tutor e con i colleghi, la raccolta del contesto dall'utente e la documentazione delle attività. L'integrazione tra Master e azienda non è consistita quindi nella semplice applicazione di singoli strumenti, ma nella capacità di collegare principi, evidenze e procedure per formulare valutazioni motivate. </w:t>
      </w:r>
      <w:proofErr w:type="spellStart"/>
      <w:r>
        <w:t>FishSTOP</w:t>
      </w:r>
      <w:proofErr w:type="spellEnd"/>
      <w:r>
        <w:t xml:space="preserve"> rappresenta il risultato più concreto di </w:t>
      </w:r>
      <w:r>
        <w:lastRenderedPageBreak/>
        <w:t>questo passaggio, perché formalizza in un flusso ripetibile le conoscenze acquisite e le adatta alle esigenze osservate durante il tirocinio.</w:t>
      </w:r>
    </w:p>
    <w:p w14:paraId="582EA8B9" w14:textId="77777777" w:rsidR="00065E1E" w:rsidRPr="00146E3C" w:rsidRDefault="00713D55">
      <w:pPr>
        <w:rPr>
          <w:lang w:val="it-IT"/>
        </w:rPr>
      </w:pPr>
      <w:r w:rsidRPr="00146E3C">
        <w:rPr>
          <w:lang w:val="it-IT"/>
        </w:rPr>
        <w:br w:type="page"/>
      </w:r>
    </w:p>
    <w:p w14:paraId="110BA9F6" w14:textId="77777777" w:rsidR="00065E1E" w:rsidRDefault="00713D55">
      <w:pPr>
        <w:pStyle w:val="Titolo11"/>
        <w:numPr>
          <w:ilvl w:val="0"/>
          <w:numId w:val="1"/>
        </w:numPr>
      </w:pPr>
      <w:r>
        <w:lastRenderedPageBreak/>
        <w:t>Competenze sviluppate</w:t>
      </w:r>
    </w:p>
    <w:p w14:paraId="0783F34D" w14:textId="77777777" w:rsidR="00065E1E" w:rsidRDefault="00713D55">
      <w:pPr>
        <w:pStyle w:val="Titolo21"/>
        <w:numPr>
          <w:ilvl w:val="1"/>
          <w:numId w:val="1"/>
        </w:numPr>
      </w:pPr>
      <w:r>
        <w:t>Competenze tecniche e sperimentali</w:t>
      </w:r>
    </w:p>
    <w:p w14:paraId="6C197589" w14:textId="77777777" w:rsidR="00065E1E" w:rsidRDefault="00713D55">
      <w:pPr>
        <w:pStyle w:val="Corpotesi"/>
      </w:pPr>
      <w:r>
        <w:t xml:space="preserve">Le attività registrate durante il tirocinio mostrano innanzitutto lo sviluppo di competenze nell'analisi e nella gestione di infrastrutture di rete </w:t>
      </w:r>
      <w:proofErr w:type="spellStart"/>
      <w:r>
        <w:t>enterprise</w:t>
      </w:r>
      <w:proofErr w:type="spellEnd"/>
      <w:r>
        <w:t xml:space="preserve">. Il percorso è iniziato con l'osservazione dei rack e dell'architettura aziendale ed è proseguito con configurazioni e verifiche su VLAN, VDOM, rotte statiche, access point, switch e core switch. Particolare attenzione è stata dedicata alla segmentazione del traffico tra domini virtuali su firewall </w:t>
      </w:r>
      <w:proofErr w:type="spellStart"/>
      <w:r>
        <w:t>FortiGate</w:t>
      </w:r>
      <w:proofErr w:type="spellEnd"/>
      <w:r>
        <w:t xml:space="preserve">, alle reti dei reparti di Ricerca e Sviluppo e collaudo, alla gestione di indirizzi IP e porte di servizio e all'architettura di VPN per ambienti di prova. Queste esperienze hanno permesso di passare dalla comprensione teorica della segmentazione alla lettura concreta delle dipendenze tra apparati, servizi </w:t>
      </w:r>
      <w:proofErr w:type="gramStart"/>
      <w:r>
        <w:t>e Business</w:t>
      </w:r>
      <w:proofErr w:type="gramEnd"/>
      <w:r>
        <w:t xml:space="preserve"> Unit, sviluppando la capacità di rappresentare l'infrastruttura mediante schemi e di valutare l'impatto operativo di una modifica.</w:t>
      </w:r>
    </w:p>
    <w:p w14:paraId="27BEFB30" w14:textId="77777777" w:rsidR="0032419E" w:rsidRDefault="00713D55">
      <w:pPr>
        <w:pStyle w:val="Corpotesi"/>
      </w:pPr>
      <w:r>
        <w:t xml:space="preserve">Una seconda area riguarda l'amministrazione sicura di sistemi, identità e servizi cloud. La formazione e le attività su Microsoft 365, Windows Active Directory, </w:t>
      </w:r>
      <w:proofErr w:type="spellStart"/>
      <w:r>
        <w:t>Privileged</w:t>
      </w:r>
      <w:proofErr w:type="spellEnd"/>
      <w:r>
        <w:t xml:space="preserve"> Access Management, Microsoft Entra ID, </w:t>
      </w:r>
      <w:proofErr w:type="spellStart"/>
      <w:r>
        <w:t>Intune</w:t>
      </w:r>
      <w:proofErr w:type="spellEnd"/>
      <w:r>
        <w:t xml:space="preserve"> e Google Workspace hanno consentito di comprendere come autorizzazioni, policy e identità incidano sulla postura di sicurezza. Tra le attività svolte figurano l'analisi dell'accesso remoto tramite TeamViewer, l'applicazione del </w:t>
      </w:r>
      <w:proofErr w:type="spellStart"/>
      <w:r>
        <w:t>Conditional</w:t>
      </w:r>
      <w:proofErr w:type="spellEnd"/>
      <w:r>
        <w:t xml:space="preserve"> Access, la gestione delle autorizzazioni delle applicazioni, l'esame dei log amministrativi mensili e delle policy antiphishing. La consultazione di Digital Security Desk, Ermes, </w:t>
      </w:r>
      <w:proofErr w:type="spellStart"/>
      <w:r>
        <w:t>SecurityScorecard</w:t>
      </w:r>
      <w:proofErr w:type="spellEnd"/>
      <w:r>
        <w:t xml:space="preserve"> e </w:t>
      </w:r>
      <w:proofErr w:type="spellStart"/>
      <w:r>
        <w:t>Proofpoint</w:t>
      </w:r>
      <w:proofErr w:type="spellEnd"/>
      <w:r>
        <w:t xml:space="preserve"> </w:t>
      </w:r>
      <w:proofErr w:type="spellStart"/>
      <w:r>
        <w:t>ZenGuide</w:t>
      </w:r>
      <w:proofErr w:type="spellEnd"/>
      <w:r>
        <w:t xml:space="preserve"> ha inoltre ampliato la conoscenza dell'ecosistema di strumenti impiegato per visibilità, protezione e sensibilizzazione. L'esperienza ha rafforzato la capacità di valutare un accesso non solo in termini di funzionalità, ma anche di principio del minimo privilegio, autenticazione, tracciabilità e compatibilità con le esigenze operative.</w:t>
      </w:r>
    </w:p>
    <w:p w14:paraId="64B721FF" w14:textId="77777777" w:rsidR="0032419E" w:rsidRDefault="00713D55">
      <w:pPr>
        <w:pStyle w:val="Corpotesi"/>
      </w:pPr>
      <w:r>
        <w:t xml:space="preserve">Il tirocinio ha inoltre sviluppato competenze nel monitoraggio e nella protezione degli endpoint. L'uso di Cynet ha incluso configurazione dell'account, consultazione degli alert, monitoraggio dei dispositivi, gestione di </w:t>
      </w:r>
      <w:proofErr w:type="spellStart"/>
      <w:r>
        <w:t>allowlist</w:t>
      </w:r>
      <w:proofErr w:type="spellEnd"/>
      <w:r>
        <w:t xml:space="preserve"> e </w:t>
      </w:r>
      <w:proofErr w:type="spellStart"/>
      <w:r>
        <w:t>whitelist</w:t>
      </w:r>
      <w:proofErr w:type="spellEnd"/>
      <w:r>
        <w:t xml:space="preserve">, investigazione di blocchi o terminazioni eseguite dalla piattaforma e analisi di macchine segnalate. </w:t>
      </w:r>
      <w:proofErr w:type="spellStart"/>
      <w:r>
        <w:t>Ivanti</w:t>
      </w:r>
      <w:proofErr w:type="spellEnd"/>
      <w:r>
        <w:t xml:space="preserve"> e </w:t>
      </w:r>
      <w:proofErr w:type="spellStart"/>
      <w:r>
        <w:t>Intune</w:t>
      </w:r>
      <w:proofErr w:type="spellEnd"/>
      <w:r>
        <w:t xml:space="preserve"> hanno completato la visione relativa a </w:t>
      </w:r>
      <w:proofErr w:type="spellStart"/>
      <w:r>
        <w:t>patching</w:t>
      </w:r>
      <w:proofErr w:type="spellEnd"/>
      <w:r>
        <w:t xml:space="preserve">, gestione centralizzata e applicazione delle policy, mentre l'utilizzo di </w:t>
      </w:r>
      <w:r>
        <w:lastRenderedPageBreak/>
        <w:t xml:space="preserve">Cynet su </w:t>
      </w:r>
      <w:proofErr w:type="spellStart"/>
      <w:r>
        <w:t>macOS</w:t>
      </w:r>
      <w:proofErr w:type="spellEnd"/>
      <w:r>
        <w:t xml:space="preserve"> ha mostrato l'esigenza di adattare il controllo a sistemi differenti. Le attività di endpoint </w:t>
      </w:r>
      <w:proofErr w:type="spellStart"/>
      <w:r>
        <w:t>hardening</w:t>
      </w:r>
      <w:proofErr w:type="spellEnd"/>
      <w:r>
        <w:t xml:space="preserve"> e remediation hanno permesso di comprendere come passare dall'indicatore rilevato alla verifica del contesto, fino alla definizione di una contromisura proporzionata.</w:t>
      </w:r>
    </w:p>
    <w:p w14:paraId="60A0315D" w14:textId="77777777" w:rsidR="0032419E" w:rsidRDefault="00713D55">
      <w:pPr>
        <w:pStyle w:val="Corpotesi"/>
      </w:pPr>
      <w:r>
        <w:t xml:space="preserve">L'area più ricorrente è stata il triage di phishing e potenziali infezioni malware. Sono state svolte analisi di messaggi sospetti, remediation di singole e-mail e campagne, investigazioni su possibili malware, un caso relativo a un potenziale malware nel BIOS e un approfondimento ransomware. Il flusso richiedeva di raccogliere il file .eml, esaminare mittente, </w:t>
      </w:r>
      <w:proofErr w:type="spellStart"/>
      <w:r>
        <w:t>header</w:t>
      </w:r>
      <w:proofErr w:type="spellEnd"/>
      <w:r>
        <w:t>, autenticazione, URL e allegati, correlare gli indicatori e valutare l'eventuale interazione dell'utente. Quando necessario, l'indagine veniva estesa all'endpoint tramite l'EDR/XDR. La ripetizione di questi casi ha sviluppato rapidità nel riconoscimento degli indicatori, ma soprattutto prudenza nella distinzione tra anomalia, falso positivo e compromissione confermata.</w:t>
      </w:r>
    </w:p>
    <w:p w14:paraId="7C92B50B" w14:textId="77777777" w:rsidR="0032419E" w:rsidRDefault="00713D55">
      <w:pPr>
        <w:pStyle w:val="Corpotesi"/>
      </w:pPr>
      <w:r>
        <w:t xml:space="preserve">La dimensione sperimentale è emersa nella capacità di trasformare l'esperienza operativa in procedure e strumenti. La redazione del manuale sul phishing e del manuale Cynet, la documentazione del ticketing SOC, i report sugli accessi e i grafici dell'infrastruttura hanno richiesto di formalizzare attività che inizialmente erano apprese per affiancamento. Lo stesso processo ha condotto allo sviluppo di </w:t>
      </w:r>
      <w:proofErr w:type="spellStart"/>
      <w:r>
        <w:t>FishSTOP</w:t>
      </w:r>
      <w:proofErr w:type="spellEnd"/>
      <w:r>
        <w:t>: i controlli ripetitivi osservati nel triage sono stati scomposti in moduli, automatizzati e verificati mediante test. Sono state così consolidate competenze di raccolta dei requisiti, progettazione sicura, trattamento di input non affidabili, valutazione di modelli di machine learning e documentazione dei limiti del risultato.</w:t>
      </w:r>
    </w:p>
    <w:p w14:paraId="2338554B" w14:textId="77777777" w:rsidR="00065E1E" w:rsidRDefault="00713D55">
      <w:pPr>
        <w:pStyle w:val="Titolo21"/>
        <w:numPr>
          <w:ilvl w:val="1"/>
          <w:numId w:val="1"/>
        </w:numPr>
      </w:pPr>
      <w:r>
        <w:t>Competenze comunicative e relazionali</w:t>
      </w:r>
    </w:p>
    <w:p w14:paraId="432CE01C" w14:textId="77777777" w:rsidR="00065E1E" w:rsidRDefault="00713D55">
      <w:pPr>
        <w:pStyle w:val="Corpotesi"/>
      </w:pPr>
      <w:r>
        <w:t xml:space="preserve">Il lavoro quotidiano ha richiesto un'integrazione progressiva nel gruppo IT </w:t>
      </w:r>
      <w:proofErr w:type="spellStart"/>
      <w:r>
        <w:t>Infrastructure</w:t>
      </w:r>
      <w:proofErr w:type="spellEnd"/>
      <w:r>
        <w:t xml:space="preserve"> &amp; Security. Gli stand-up meeting hanno insegnato a sintetizzare lo stato delle attività, segnalare gli elementi bloccanti e concordare le priorità. I meeting con il SOC esterno hanno mostrato la necessità di usare un linguaggio condiviso per trasferire alert, evidenze e richieste di approfondimento senza perdere il contesto. Il confronto con il tutor e con i colleghi ha inoltre favorito un approccio basato sulla verifica: prima di modificare una configurazione, inserire un'</w:t>
      </w:r>
      <w:proofErr w:type="spellStart"/>
      <w:r>
        <w:t>allowlist</w:t>
      </w:r>
      <w:proofErr w:type="spellEnd"/>
      <w:r>
        <w:t xml:space="preserve"> </w:t>
      </w:r>
      <w:r>
        <w:lastRenderedPageBreak/>
        <w:t>o chiudere un ticket, era necessario ricostruire la motivazione tecnica e l'impatto della decisione.</w:t>
      </w:r>
    </w:p>
    <w:p w14:paraId="2B9E5F0D" w14:textId="77777777" w:rsidR="0032419E" w:rsidRDefault="00713D55">
      <w:pPr>
        <w:pStyle w:val="Corpotesi"/>
      </w:pPr>
      <w:r>
        <w:t xml:space="preserve">La gestione dei ticket e delle segnalazioni di phishing ha sviluppato la capacità di comunicare con interlocutori non specialistici. Per ricostruire un evento era spesso necessario chiedere all'utente come fosse stato ricevuto il messaggio, se fossero stati aperti link o allegati e quali azioni fossero state eseguite. Le domande dovevano essere chiare e non accusatorie, perché la qualità delle informazioni dipende anche dalla disponibilità della persona coinvolta. Le attività di phishing </w:t>
      </w:r>
      <w:proofErr w:type="spellStart"/>
      <w:r>
        <w:t>education</w:t>
      </w:r>
      <w:proofErr w:type="spellEnd"/>
      <w:r>
        <w:t xml:space="preserve"> hanno rafforzato la capacità di tradurre indicatori tecnici in istruzioni comprensibili, concentrandosi sui comportamenti di verifica e segnalazione invece che sulla sola terminologia di sicurezza.</w:t>
      </w:r>
    </w:p>
    <w:p w14:paraId="75B13722" w14:textId="77777777" w:rsidR="0032419E" w:rsidRDefault="00713D55">
      <w:pPr>
        <w:pStyle w:val="Corpotesi"/>
      </w:pPr>
      <w:r>
        <w:t xml:space="preserve">La produzione di manuali, report, schemi di rete e documentazione dei flussi ha migliorato la comunicazione scritta. Un documento operativo deve essere sufficientemente preciso da permettere a un'altra persona di ripetere la procedura, ma non deve esporre informazioni sensibili o diventare rapidamente obsoleto. La documentazione sul ticketing SOC e le procedure per il phishing hanno richiesto di ordinare le fasi, distinguere responsabilità e punti di escalation e rendere espliciti i criteri di verifica. Anche la tesi e la documentazione di </w:t>
      </w:r>
      <w:proofErr w:type="spellStart"/>
      <w:r>
        <w:t>FishSTOP</w:t>
      </w:r>
      <w:proofErr w:type="spellEnd"/>
      <w:r>
        <w:t xml:space="preserve"> beneficiano di questa competenza, perché separano i risultati osservati dalle ipotesi e dichiarano le limitazioni delle prove effettuate.</w:t>
      </w:r>
    </w:p>
    <w:p w14:paraId="2A9D0325" w14:textId="77777777" w:rsidR="0032419E" w:rsidRDefault="00713D55">
      <w:pPr>
        <w:pStyle w:val="Corpotesi"/>
      </w:pPr>
      <w:r>
        <w:t>Nel corso dei mesi è cresciuta anche l'autonomia organizzativa. L'alternanza tra analisi di alert, attività infrastrutturali, configurazioni, formazione e documentazione ha richiesto di gestire il tempo e di adattarsi alle urgenze senza perdere le attività programmate. L'autonomia non ha significato operare senza confronto, ma riconoscere quando un caso poteva essere approfondito in modo indipendente e quando fosse necessario coinvolgere il tutor, il SOC, l'Help Desk o il responsabile dell'infrastruttura. Questa capacità di escalation costituisce una competenza relazionale essenziale in cybersecurity, dove una decisione tempestiva deve rimanere proporzionata alle evidenze e alle responsabilità assegnate.</w:t>
      </w:r>
    </w:p>
    <w:p w14:paraId="648E7C94" w14:textId="77777777" w:rsidR="00065E1E" w:rsidRDefault="00713D55">
      <w:pPr>
        <w:pStyle w:val="Titolo21"/>
        <w:numPr>
          <w:ilvl w:val="1"/>
          <w:numId w:val="1"/>
        </w:numPr>
      </w:pPr>
      <w:r>
        <w:t>Trasferibilità delle competenze</w:t>
      </w:r>
    </w:p>
    <w:p w14:paraId="494E274F" w14:textId="77777777" w:rsidR="00065E1E" w:rsidRDefault="00713D55">
      <w:pPr>
        <w:pStyle w:val="Corpotesi"/>
      </w:pPr>
      <w:r>
        <w:t xml:space="preserve">Le competenze sviluppate sono </w:t>
      </w:r>
      <w:proofErr w:type="gramStart"/>
      <w:r>
        <w:t>trasferibili in primo luogo</w:t>
      </w:r>
      <w:proofErr w:type="gramEnd"/>
      <w:r>
        <w:t xml:space="preserve"> a ruoli di SOC </w:t>
      </w:r>
      <w:proofErr w:type="spellStart"/>
      <w:r>
        <w:t>analyst</w:t>
      </w:r>
      <w:proofErr w:type="spellEnd"/>
      <w:r>
        <w:t xml:space="preserve">, </w:t>
      </w:r>
      <w:proofErr w:type="spellStart"/>
      <w:r>
        <w:t>incident</w:t>
      </w:r>
      <w:proofErr w:type="spellEnd"/>
      <w:r>
        <w:t xml:space="preserve"> responder e blue team </w:t>
      </w:r>
      <w:proofErr w:type="spellStart"/>
      <w:r>
        <w:t>specialist</w:t>
      </w:r>
      <w:proofErr w:type="spellEnd"/>
      <w:r>
        <w:t xml:space="preserve">. Il metodo applicato a phishing, malware e alert endpoint può essere esteso ad altre tipologie di incidente: </w:t>
      </w:r>
      <w:r>
        <w:lastRenderedPageBreak/>
        <w:t>acquisizione delle evidenze, definizione della priorità, correlazione tra fonti, contenimento proporzionato, documentazione e chiusura. La familiarità con un EDR/XDR specifico non limita tale trasferibilità, perché il valore principale risiede nella capacità di interpretare telemetrie, verificare un'ipotesi e distinguere il comportamento benigno da quello potenzialmente malevolo.</w:t>
      </w:r>
    </w:p>
    <w:p w14:paraId="5646F0F7" w14:textId="77777777" w:rsidR="0032419E" w:rsidRDefault="00713D55">
      <w:pPr>
        <w:pStyle w:val="Corpotesi"/>
      </w:pPr>
      <w:r>
        <w:t xml:space="preserve">Le attività su </w:t>
      </w:r>
      <w:proofErr w:type="spellStart"/>
      <w:r>
        <w:t>FortiGate</w:t>
      </w:r>
      <w:proofErr w:type="spellEnd"/>
      <w:r>
        <w:t xml:space="preserve">, VLAN, VDOM, </w:t>
      </w:r>
      <w:proofErr w:type="spellStart"/>
      <w:r>
        <w:t>routing</w:t>
      </w:r>
      <w:proofErr w:type="spellEnd"/>
      <w:r>
        <w:t xml:space="preserve">, switch, access point e VPN costituiscono una base applicabile a contesti di network security e amministrazione infrastrutturale. La comprensione dei confini tra reti, delle regole di comunicazione e delle dipendenze tra servizi può essere utilizzata nella segmentazione di ambienti IT e OT, nei progetti di </w:t>
      </w:r>
      <w:proofErr w:type="spellStart"/>
      <w:r>
        <w:t>hardening</w:t>
      </w:r>
      <w:proofErr w:type="spellEnd"/>
      <w:r>
        <w:t xml:space="preserve"> e nelle verifiche successive a un incidente. Analogamente, le esperienze con Microsoft 365, Active Directory, PAM, </w:t>
      </w:r>
      <w:proofErr w:type="spellStart"/>
      <w:r>
        <w:t>Intune</w:t>
      </w:r>
      <w:proofErr w:type="spellEnd"/>
      <w:r>
        <w:t xml:space="preserve"> e Google Workspace sono trasferibili alla sicurezza delle identità e degli endpoint in organizzazioni che utilizzano piattaforme cloud e modelli ibridi.</w:t>
      </w:r>
    </w:p>
    <w:p w14:paraId="7A9729D0" w14:textId="77777777" w:rsidR="0032419E" w:rsidRDefault="00713D55">
      <w:pPr>
        <w:pStyle w:val="Corpotesi"/>
      </w:pPr>
      <w:r>
        <w:t xml:space="preserve">La conoscenza dei flussi di ticketing, della collaborazione con un SOC esterno, delle attività di phishing </w:t>
      </w:r>
      <w:proofErr w:type="spellStart"/>
      <w:r>
        <w:t>education</w:t>
      </w:r>
      <w:proofErr w:type="spellEnd"/>
      <w:r>
        <w:t xml:space="preserve"> e dei riferimenti alla ISO/IEC 27001 è utilizzabile anche in ambiti di governance e security </w:t>
      </w:r>
      <w:proofErr w:type="spellStart"/>
      <w:r>
        <w:t>operations</w:t>
      </w:r>
      <w:proofErr w:type="spellEnd"/>
      <w:r>
        <w:t xml:space="preserve"> management. Queste esperienze hanno mostrato che una misura tecnica produce valore solo se è accompagnata da responsabilità chiare, procedure aggiornate, evidenze verificabili e comunicazione efficace. La capacità di redigere manuali e report può quindi supportare audit, formazione, gestione dei fornitori e miglioramento continuo dei processi di sicurezza.</w:t>
      </w:r>
    </w:p>
    <w:p w14:paraId="142C1AF5" w14:textId="77777777" w:rsidR="0032419E" w:rsidRDefault="00713D55">
      <w:pPr>
        <w:pStyle w:val="Corpotesi"/>
      </w:pPr>
      <w:r>
        <w:t xml:space="preserve">Infine, lo sviluppo di </w:t>
      </w:r>
      <w:proofErr w:type="spellStart"/>
      <w:r>
        <w:t>FishSTOP</w:t>
      </w:r>
      <w:proofErr w:type="spellEnd"/>
      <w:r>
        <w:t xml:space="preserve"> rende trasferibili le competenze verso la security engineering e l'automazione dei processi SOC. Il progetto ha richiesto di integrare parser, controlli deterministici, fonti di </w:t>
      </w:r>
      <w:proofErr w:type="spellStart"/>
      <w:r>
        <w:t>threat</w:t>
      </w:r>
      <w:proofErr w:type="spellEnd"/>
      <w:r>
        <w:t xml:space="preserve"> intelligence, modelli linguistici e interfaccia utente mantenendo attenzione a privacy e riproducibilità. Lo stesso approccio può essere applicato ad altri strumenti di triage e arricchimento degli alert. La competenza acquisita non consiste soltanto nell'uso di una particolare tecnologia, ma nella capacità di osservare un processo operativo, individuare le attività ripetitive, formalizzarne i requisiti e costruire un supporto automatizzato che mantenga l'analista al centro della decisione.</w:t>
      </w:r>
    </w:p>
    <w:p w14:paraId="7B12EF5C" w14:textId="77777777" w:rsidR="00065E1E" w:rsidRPr="00146E3C" w:rsidRDefault="00713D55">
      <w:pPr>
        <w:rPr>
          <w:lang w:val="it-IT"/>
        </w:rPr>
      </w:pPr>
      <w:r w:rsidRPr="00146E3C">
        <w:rPr>
          <w:lang w:val="it-IT"/>
        </w:rPr>
        <w:br w:type="page"/>
      </w:r>
    </w:p>
    <w:p w14:paraId="20758BC5" w14:textId="77777777" w:rsidR="00065E1E" w:rsidRDefault="00713D55">
      <w:pPr>
        <w:pStyle w:val="Titolo11"/>
        <w:numPr>
          <w:ilvl w:val="0"/>
          <w:numId w:val="1"/>
        </w:numPr>
      </w:pPr>
      <w:r>
        <w:lastRenderedPageBreak/>
        <w:t>Riflessioni conclusive</w:t>
      </w:r>
    </w:p>
    <w:p w14:paraId="587FB50B" w14:textId="77777777" w:rsidR="00065E1E" w:rsidRDefault="00713D55">
      <w:pPr>
        <w:pStyle w:val="Titolo21"/>
        <w:numPr>
          <w:ilvl w:val="1"/>
          <w:numId w:val="1"/>
        </w:numPr>
      </w:pPr>
      <w:r>
        <w:t>Valutazione degli obiettivi</w:t>
      </w:r>
    </w:p>
    <w:p w14:paraId="365154D8" w14:textId="77777777" w:rsidR="00065E1E" w:rsidRDefault="00713D55">
      <w:pPr>
        <w:pStyle w:val="Corpotesi"/>
      </w:pPr>
      <w:r>
        <w:t xml:space="preserve">Il progetto formativo collocava il tirocinio nell'area Information Technology, con particolare riferimento all'Information Security. Gli obiettivi comprendevano il monitoraggio di log e alert, l'analisi preliminare dei segnali di minaccia, l'apprendimento dei flussi di escalation, il supporto al contenimento e alla gestione delle Business </w:t>
      </w:r>
      <w:proofErr w:type="gramStart"/>
      <w:r>
        <w:t>Email</w:t>
      </w:r>
      <w:proofErr w:type="gramEnd"/>
      <w:r>
        <w:t xml:space="preserve"> Compromise, l'analisi forense, la definizione delle azioni correttive e la documentazione di policy e procedure. A questi si aggiungevano obiettivi più avanzati relativi all'</w:t>
      </w:r>
      <w:proofErr w:type="spellStart"/>
      <w:r>
        <w:t>early</w:t>
      </w:r>
      <w:proofErr w:type="spellEnd"/>
      <w:r>
        <w:t xml:space="preserve"> warning, alle fonti Clear, Deep e Dark Web, alla tutela delle figure apicali, alla formalizzazione di regole di correlazione e </w:t>
      </w:r>
      <w:proofErr w:type="spellStart"/>
      <w:r>
        <w:t>playbook</w:t>
      </w:r>
      <w:proofErr w:type="spellEnd"/>
      <w:r>
        <w:t xml:space="preserve"> e al monitoraggio di KPI e SLA. La valutazione finale deve pertanto considerare sia l'ampiezza del programma sia le attività effettivamente documentate nel periodo.</w:t>
      </w:r>
    </w:p>
    <w:p w14:paraId="6930A0E2" w14:textId="77777777" w:rsidR="0032419E" w:rsidRDefault="00713D55">
      <w:pPr>
        <w:pStyle w:val="Corpotesi"/>
      </w:pPr>
      <w:r>
        <w:t xml:space="preserve">Gli obiettivi relativi al monitoraggio e al triage sono stati raggiunti in misura significativa. L'utilizzo di Cynet per consultare alert, monitorare endpoint, gestire </w:t>
      </w:r>
      <w:proofErr w:type="spellStart"/>
      <w:r>
        <w:t>allowlist</w:t>
      </w:r>
      <w:proofErr w:type="spellEnd"/>
      <w:r>
        <w:t xml:space="preserve"> e investigare dispositivi segnalati ha permesso di acquisire familiarità con il ciclo di vita di una segnalazione. Le analisi di phishing, potenziale malware e ransomware hanno richiesto di distinguere eventi benigni, falsi positivi e situazioni da approfondire. Gli stand-up meeting, il ticketing e il confronto con il SOC esterno hanno reso concreto il modello Follow the Sun e il relativo flusso di escalation: le informazioni dovevano essere raccolte, sintetizzate e trasferite al livello competente, mantenendo tracciabilità e priorità.</w:t>
      </w:r>
    </w:p>
    <w:p w14:paraId="0998E3B5" w14:textId="77777777" w:rsidR="0032419E" w:rsidRDefault="00713D55">
      <w:pPr>
        <w:pStyle w:val="Corpotesi"/>
      </w:pPr>
      <w:r>
        <w:t>Anche gli obiettivi di contenimento, gestione delle BEC e supporto forense trovano riscontro nelle attività svolte. Le numerose operazioni di analisi e remediation di e-mail, comprese campagne di phishing, hanno consentito di ricostruire mittente, percorso, autenticazione, link e allegati e di valutare le azioni dell'utente. Quando il caso lo richiedeva, l'indagine si estendeva all'endpoint attraverso l'EDR/XDR, fino all'</w:t>
      </w:r>
      <w:proofErr w:type="spellStart"/>
      <w:r>
        <w:t>hardening</w:t>
      </w:r>
      <w:proofErr w:type="spellEnd"/>
      <w:r>
        <w:t xml:space="preserve"> o alla remediation. La conservazione del file .eml, l'esame degli </w:t>
      </w:r>
      <w:proofErr w:type="spellStart"/>
      <w:r>
        <w:t>header</w:t>
      </w:r>
      <w:proofErr w:type="spellEnd"/>
      <w:r>
        <w:t xml:space="preserve"> e l'uso di </w:t>
      </w:r>
      <w:proofErr w:type="spellStart"/>
      <w:r>
        <w:t>hash</w:t>
      </w:r>
      <w:proofErr w:type="spellEnd"/>
      <w:r>
        <w:t xml:space="preserve"> per gli allegati hanno applicato principi forensi alla ricostruzione della catena d'attacco. Le attività su manuali, procedure e documentazione del ticketing SOC hanno inoltre contribuito alla standardizzazione del processo.</w:t>
      </w:r>
    </w:p>
    <w:p w14:paraId="496455EB" w14:textId="77777777" w:rsidR="0032419E" w:rsidRDefault="00713D55">
      <w:pPr>
        <w:pStyle w:val="Corpotesi"/>
      </w:pPr>
      <w:r>
        <w:lastRenderedPageBreak/>
        <w:t xml:space="preserve">Gli obiettivi riguardanti monitoraggio proattivo di fonti Clear, Deep e Dark Web, individuazione di leak, minacce rivolte a figure apicali e misurazione sistematica di KPI e SLA risultano meno rappresentati nelle attività registrate. Il tirocinio ha permesso di comprenderne il ruolo nel servizio di sicurezza e di osservare strumenti dedicati alla postura e alla sensibilizzazione, ma non fornisce elementi sufficienti per considerarli pienamente sviluppati sul piano operativo. Analoga cautela riguarda la definizione formale delle regole di ingaggio e dei </w:t>
      </w:r>
      <w:proofErr w:type="spellStart"/>
      <w:r>
        <w:t>playbook</w:t>
      </w:r>
      <w:proofErr w:type="spellEnd"/>
      <w:r>
        <w:t>: la documentazione e la correlazione degli indicatori sono state affrontate, mentre la governance completa di tali artefatti è rimasta responsabilità del personale aziendale e del SOC.</w:t>
      </w:r>
    </w:p>
    <w:p w14:paraId="2940F6EF" w14:textId="77777777" w:rsidR="0032419E" w:rsidRDefault="00713D55">
      <w:pPr>
        <w:pStyle w:val="Corpotesi"/>
      </w:pPr>
      <w:r>
        <w:t xml:space="preserve">Nel complesso, gli obiettivi fondamentali sono stati raggiunti e in alcuni aspetti ampliati. Oltre all'affiancamento operativo, il tirocinio ha prodotto </w:t>
      </w:r>
      <w:proofErr w:type="spellStart"/>
      <w:r>
        <w:t>FishSTOP</w:t>
      </w:r>
      <w:proofErr w:type="spellEnd"/>
      <w:r>
        <w:t xml:space="preserve">, nato dall'osservazione del costo del triage manuale. Il progetto ha trasformato procedure ricorrenti in una pipeline che raccoglie evidenze tecniche, reputazionali e testuali, lasciando la decisione finale all'analista. </w:t>
      </w:r>
      <w:proofErr w:type="spellStart"/>
      <w:r>
        <w:t>FishSTOP</w:t>
      </w:r>
      <w:proofErr w:type="spellEnd"/>
      <w:r>
        <w:t xml:space="preserve"> non sostituisce gli obiettivi indicati nel progetto formativo, ma ne rappresenta una sintesi sperimentale: monitoraggio, correlazione, documentazione e supporto alla risposta sono stati tradotti in uno strumento ripetibile. Resta da dimostrare quantitativamente il beneficio sui tempi e sulla qualità delle decisioni mediante una sperimentazione operativa controllata.</w:t>
      </w:r>
    </w:p>
    <w:p w14:paraId="3C4DEB24" w14:textId="77777777" w:rsidR="00065E1E" w:rsidRDefault="00713D55">
      <w:pPr>
        <w:pStyle w:val="Titolo21"/>
        <w:numPr>
          <w:ilvl w:val="1"/>
          <w:numId w:val="1"/>
        </w:numPr>
      </w:pPr>
      <w:r>
        <w:t>Apprendimenti e criticità</w:t>
      </w:r>
    </w:p>
    <w:p w14:paraId="1442A663" w14:textId="77777777" w:rsidR="00065E1E" w:rsidRDefault="00713D55">
      <w:pPr>
        <w:pStyle w:val="Corpotesi"/>
      </w:pPr>
      <w:r>
        <w:t xml:space="preserve">L'apprendimento principale riguarda la natura multidisciplinare della sicurezza operativa. Un alert non può essere interpretato senza conoscere il sistema che lo ha generato, il comportamento dell'utente, la topologia di rete e le procedure dell'organizzazione. Durante il tirocinio, le conoscenze di rete, sistemi, identità, crittografia e </w:t>
      </w:r>
      <w:proofErr w:type="spellStart"/>
      <w:r>
        <w:t>incident</w:t>
      </w:r>
      <w:proofErr w:type="spellEnd"/>
      <w:r>
        <w:t xml:space="preserve"> </w:t>
      </w:r>
      <w:proofErr w:type="spellStart"/>
      <w:r>
        <w:t>response</w:t>
      </w:r>
      <w:proofErr w:type="spellEnd"/>
      <w:r>
        <w:t xml:space="preserve"> sono confluite nello stesso processo decisionale. È emersa inoltre l'importanza della gradualità: osservazione e formazione iniziali sono state seguite da attività affiancate e, successivamente, da approfondimenti svolti con maggiore autonomia ma sempre soggetti a verifica.</w:t>
      </w:r>
    </w:p>
    <w:p w14:paraId="5BF5E36D" w14:textId="77777777" w:rsidR="0032419E" w:rsidRDefault="00713D55">
      <w:pPr>
        <w:pStyle w:val="Corpotesi"/>
      </w:pPr>
      <w:r>
        <w:t xml:space="preserve">Una criticità significativa è stata la frammentazione delle informazioni. Per analizzare un'e-mail o un endpoint era spesso necessario consultare più strumenti, verificare dati in formati differenti e ricostruire manualmente una sequenza coerente. La fase di migrazione della posta verso Microsoft 365 ha aggiunto </w:t>
      </w:r>
      <w:r>
        <w:lastRenderedPageBreak/>
        <w:t xml:space="preserve">complessità, perché l'autenticazione doveva tenere conto della coesistenza di provider e sorgenti di invio. L'aumento delle segnalazioni ha reso visibile il rapporto tra volume degli alert e capacità del team: quando i controlli ripetitivi assorbono troppo tempo, diminuisce lo spazio disponibile per </w:t>
      </w:r>
      <w:proofErr w:type="spellStart"/>
      <w:r>
        <w:t>hardening</w:t>
      </w:r>
      <w:proofErr w:type="spellEnd"/>
      <w:r>
        <w:t xml:space="preserve">, segmentazione ed </w:t>
      </w:r>
      <w:proofErr w:type="spellStart"/>
      <w:r>
        <w:t>early</w:t>
      </w:r>
      <w:proofErr w:type="spellEnd"/>
      <w:r>
        <w:t xml:space="preserve"> warning.</w:t>
      </w:r>
    </w:p>
    <w:p w14:paraId="0322C709" w14:textId="77777777" w:rsidR="0032419E" w:rsidRDefault="00713D55">
      <w:pPr>
        <w:pStyle w:val="Corpotesi"/>
      </w:pPr>
      <w:r>
        <w:t xml:space="preserve">Un secondo elemento critico è il rischio di decisioni eccessivamente automatiche. Un fallimento SPF, l'assenza di DKIM, un alert EDR o un dominio sconosciuto non dimostrano da soli la compromissione. La gestione delle </w:t>
      </w:r>
      <w:proofErr w:type="spellStart"/>
      <w:r>
        <w:t>allowlist</w:t>
      </w:r>
      <w:proofErr w:type="spellEnd"/>
      <w:r>
        <w:t xml:space="preserve"> ha mostrato il problema opposto: una regola troppo ampia può ridurre il rumore, ma anche nascondere eventi futuri. Per affrontare questi casi è stato necessario documentare la motivazione delle eccezioni, verificare identità e contesto e ricercare conferme indipendenti. La qualità del triage dipende quindi dalla capacità di correlare segnali e di mantenere una categoria di revisione per le situazioni non conclusive.</w:t>
      </w:r>
    </w:p>
    <w:p w14:paraId="683A501A" w14:textId="77777777" w:rsidR="0032419E" w:rsidRDefault="00713D55">
      <w:pPr>
        <w:pStyle w:val="Corpotesi"/>
      </w:pPr>
      <w:r>
        <w:t xml:space="preserve">Lo sviluppo di </w:t>
      </w:r>
      <w:proofErr w:type="spellStart"/>
      <w:r>
        <w:t>FishSTOP</w:t>
      </w:r>
      <w:proofErr w:type="spellEnd"/>
      <w:r>
        <w:t xml:space="preserve"> ha introdotto criticità specifiche. I file .eml possono essere malformati, contenere codifiche inconsuete, URL costruiti per confondere il parser, HTML ridondante e allegati non coerenti con l'estensione. Il classificatore </w:t>
      </w:r>
      <w:proofErr w:type="spellStart"/>
      <w:r>
        <w:t>DistilBERT</w:t>
      </w:r>
      <w:proofErr w:type="spellEnd"/>
      <w:r>
        <w:t xml:space="preserve"> dipende dalla qualità e dalla rappresentatività del dataset; la classe malevola comprende phishing, </w:t>
      </w:r>
      <w:proofErr w:type="spellStart"/>
      <w:r>
        <w:t>scam</w:t>
      </w:r>
      <w:proofErr w:type="spellEnd"/>
      <w:r>
        <w:t xml:space="preserve"> e spam e il modello base è prevalentemente inglese. Inoltre, il checkpoint pubblicato non include ancora il file di calibrazione, per cui la confidenza </w:t>
      </w:r>
      <w:proofErr w:type="spellStart"/>
      <w:r>
        <w:t>softmax</w:t>
      </w:r>
      <w:proofErr w:type="spellEnd"/>
      <w:r>
        <w:t xml:space="preserve"> non deve essere interpretata come probabilità reale. Le fonti di reputazione possono essere incomplete o cambiare nel tempo e i </w:t>
      </w:r>
      <w:proofErr w:type="spellStart"/>
      <w:r>
        <w:t>backend</w:t>
      </w:r>
      <w:proofErr w:type="spellEnd"/>
      <w:r>
        <w:t xml:space="preserve"> ospitati introducono considerazioni di riservatezza.</w:t>
      </w:r>
    </w:p>
    <w:p w14:paraId="201FD941" w14:textId="77777777" w:rsidR="0032419E" w:rsidRDefault="00713D55">
      <w:pPr>
        <w:pStyle w:val="Corpotesi"/>
      </w:pPr>
      <w:r>
        <w:t xml:space="preserve">Le criticità sono state affrontate attraverso modularità, validazione degli input, gestione esplicita degli errori e test automatici. Il </w:t>
      </w:r>
      <w:proofErr w:type="spellStart"/>
      <w:r>
        <w:t>parsing</w:t>
      </w:r>
      <w:proofErr w:type="spellEnd"/>
      <w:r>
        <w:t xml:space="preserve"> è stato reso tollerante ai dati degradati; i controlli tecnici, il classificatore e l'analisi semantica sono mantenuti separati; l'assenza di una fonte viene mostrata invece di essere convertita in un risultato benigno. La scelta human-in-the-loop impedisce allo strumento di eseguire autonomamente rimozioni o contenimenti. Rimangono tuttavia limiti aperti: manca una misurazione strutturata del Mean Time to </w:t>
      </w:r>
      <w:proofErr w:type="spellStart"/>
      <w:r>
        <w:t>Respond</w:t>
      </w:r>
      <w:proofErr w:type="spellEnd"/>
      <w:r>
        <w:t>, non è disponibile un benchmark esterno bilanciato e recente e occorre verificare il comportamento su e-mail italiane e su messaggi legittimi vicini alle comunicazioni aziendali.</w:t>
      </w:r>
    </w:p>
    <w:p w14:paraId="00DE5B00" w14:textId="77777777" w:rsidR="00065E1E" w:rsidRDefault="00713D55">
      <w:pPr>
        <w:pStyle w:val="Titolo21"/>
        <w:numPr>
          <w:ilvl w:val="1"/>
          <w:numId w:val="1"/>
        </w:numPr>
      </w:pPr>
      <w:r>
        <w:lastRenderedPageBreak/>
        <w:t>Ricadute professionali e sviluppi futuri</w:t>
      </w:r>
    </w:p>
    <w:p w14:paraId="6D55ADF1" w14:textId="77777777" w:rsidR="00065E1E" w:rsidRDefault="00713D55">
      <w:pPr>
        <w:pStyle w:val="Corpotesi"/>
      </w:pPr>
      <w:r>
        <w:t xml:space="preserve">Il tirocinio ha chiarito l'interesse professionale verso ruoli di blue team, security </w:t>
      </w:r>
      <w:proofErr w:type="spellStart"/>
      <w:r>
        <w:t>operations</w:t>
      </w:r>
      <w:proofErr w:type="spellEnd"/>
      <w:r>
        <w:t xml:space="preserve"> e </w:t>
      </w:r>
      <w:proofErr w:type="spellStart"/>
      <w:r>
        <w:t>incident</w:t>
      </w:r>
      <w:proofErr w:type="spellEnd"/>
      <w:r>
        <w:t xml:space="preserve"> </w:t>
      </w:r>
      <w:proofErr w:type="spellStart"/>
      <w:r>
        <w:t>response</w:t>
      </w:r>
      <w:proofErr w:type="spellEnd"/>
      <w:r>
        <w:t>, nei quali l'analisi tecnica deve essere accompagnata da conoscenza dell'infrastruttura e capacità di comunicazione. L'esperienza con rete, identità, endpoint e posta elettronica ha fornito una visione trasversale del servizio di sicurezza. La collaborazione con il SOC e con le funzioni interne ha inoltre mostrato che il valore di un analista non dipende soltanto dal numero di alert gestiti, ma dalla qualità delle evidenze raccolte, dalla correttezza dell'escalation e dalla capacità di proporre azioni sostenibili per l'organizzazione.</w:t>
      </w:r>
    </w:p>
    <w:p w14:paraId="0AFEF76F" w14:textId="77777777" w:rsidR="0032419E" w:rsidRDefault="00713D55">
      <w:pPr>
        <w:pStyle w:val="Corpotesi"/>
      </w:pPr>
      <w:r>
        <w:t xml:space="preserve">Sul piano professionale, gli sviluppi prioritari riguardano l'approfondimento del </w:t>
      </w:r>
      <w:proofErr w:type="spellStart"/>
      <w:r>
        <w:t>threat</w:t>
      </w:r>
      <w:proofErr w:type="spellEnd"/>
      <w:r>
        <w:t xml:space="preserve"> </w:t>
      </w:r>
      <w:proofErr w:type="spellStart"/>
      <w:r>
        <w:t>hunting</w:t>
      </w:r>
      <w:proofErr w:type="spellEnd"/>
      <w:r>
        <w:t xml:space="preserve">, dell'analisi malware e forense e della risposta in ambienti ibridi IT e OT. Il programma formativo </w:t>
      </w:r>
      <w:proofErr w:type="gramStart"/>
      <w:r>
        <w:t>individua inoltre</w:t>
      </w:r>
      <w:proofErr w:type="gramEnd"/>
      <w:r>
        <w:t xml:space="preserve"> aree da consolidare: monitoraggio strutturato di Clear, Deep e Dark Web, valutazione di leak e minacce verso figure apicali, progettazione di regole di correlazione e </w:t>
      </w:r>
      <w:proofErr w:type="spellStart"/>
      <w:r>
        <w:t>playbook</w:t>
      </w:r>
      <w:proofErr w:type="spellEnd"/>
      <w:r>
        <w:t xml:space="preserve"> e misurazione di KPI e SLA. Questi ambiti rappresentano una prosecuzione coerente del percorso, perché collegano il triage del singolo evento alla gestione proattiva del rischio e alla valutazione dell'efficacia del servizio.</w:t>
      </w:r>
    </w:p>
    <w:p w14:paraId="72670628" w14:textId="77777777" w:rsidR="0032419E" w:rsidRDefault="00713D55">
      <w:pPr>
        <w:pStyle w:val="Corpotesi"/>
      </w:pPr>
      <w:r>
        <w:t xml:space="preserve">Per </w:t>
      </w:r>
      <w:proofErr w:type="spellStart"/>
      <w:r>
        <w:t>FishSTOP</w:t>
      </w:r>
      <w:proofErr w:type="spellEnd"/>
      <w:r>
        <w:t xml:space="preserve">, il primo sviluppo futuro è completare la governance del modello di machine learning. Modello, </w:t>
      </w:r>
      <w:proofErr w:type="spellStart"/>
      <w:r>
        <w:t>tokenizer</w:t>
      </w:r>
      <w:proofErr w:type="spellEnd"/>
      <w:r>
        <w:t xml:space="preserve">, dataset, </w:t>
      </w:r>
      <w:proofErr w:type="spellStart"/>
      <w:r>
        <w:t>training_meta.json</w:t>
      </w:r>
      <w:proofErr w:type="spellEnd"/>
      <w:r>
        <w:t xml:space="preserve"> e </w:t>
      </w:r>
      <w:proofErr w:type="spellStart"/>
      <w:proofErr w:type="gramStart"/>
      <w:r>
        <w:t>calibration.json</w:t>
      </w:r>
      <w:proofErr w:type="spellEnd"/>
      <w:proofErr w:type="gramEnd"/>
      <w:r>
        <w:t xml:space="preserve"> dovranno essere pubblicati come artefatti coerenti e identificati dallo stesso </w:t>
      </w:r>
      <w:proofErr w:type="spellStart"/>
      <w:r>
        <w:t>hash</w:t>
      </w:r>
      <w:proofErr w:type="spellEnd"/>
      <w:r>
        <w:t xml:space="preserve">. Sarà necessario ripetere la valutazione su un test set bilanciato e indipendente, includendo messaggi legittimi recenti, phishing non presenti nelle fonti di addestramento, e-mail in italiano e casi ambigui. Oltre ad </w:t>
      </w:r>
      <w:proofErr w:type="spellStart"/>
      <w:r>
        <w:t>accuracy</w:t>
      </w:r>
      <w:proofErr w:type="spellEnd"/>
      <w:r>
        <w:t>, precisione, recall e F1, dovranno essere misurate calibrazione, copertura della fascia incerta, prestazioni per sorgente e variazioni nel tempo. Un monitoraggio del data drift consentirà di stabilire quando aggiornare il dataset e riaddestrare il modello.</w:t>
      </w:r>
    </w:p>
    <w:p w14:paraId="75642C81" w14:textId="77777777" w:rsidR="0032419E" w:rsidRDefault="00713D55">
      <w:pPr>
        <w:pStyle w:val="Corpotesi"/>
      </w:pPr>
      <w:r>
        <w:t xml:space="preserve">Il secondo sviluppo riguarda l'integrazione nel processo SOC. </w:t>
      </w:r>
      <w:proofErr w:type="spellStart"/>
      <w:r>
        <w:t>FishSTOP</w:t>
      </w:r>
      <w:proofErr w:type="spellEnd"/>
      <w:r>
        <w:t xml:space="preserve"> potrebbe produrre report JSON e PDF standardizzati, creare o arricchire ticket, esportare indicatori verso SIEM e piattaforme di </w:t>
      </w:r>
      <w:proofErr w:type="spellStart"/>
      <w:r>
        <w:t>threat</w:t>
      </w:r>
      <w:proofErr w:type="spellEnd"/>
      <w:r>
        <w:t xml:space="preserve"> intelligence e collegare l'esito a </w:t>
      </w:r>
      <w:proofErr w:type="spellStart"/>
      <w:r>
        <w:t>playbook</w:t>
      </w:r>
      <w:proofErr w:type="spellEnd"/>
      <w:r>
        <w:t xml:space="preserve"> SOAR. Le azioni ad alto impatto, come rimozione dei messaggi, blocco degli indicatori o isolamento degli endpoint, dovrebbero rimanere soggette ad approvazione esplicita e a controlli di ruolo. Sarebbe inoltre utile introdurre viste differenziate per analista e revisore, cronologia delle decisioni, motivazione delle </w:t>
      </w:r>
      <w:r>
        <w:lastRenderedPageBreak/>
        <w:t>eccezioni e confronto tra il verdetto iniziale e quello finale, così da trasformare gli esiti operativi in feedback per il miglioramento del sistema.</w:t>
      </w:r>
    </w:p>
    <w:p w14:paraId="1F0C5A5C" w14:textId="77777777" w:rsidR="0032419E" w:rsidRDefault="00713D55">
      <w:pPr>
        <w:pStyle w:val="Corpotesi"/>
      </w:pPr>
      <w:r>
        <w:t xml:space="preserve">Il terzo sviluppo riguarda robustezza, privacy e capacità di analisi. La modalità completamente locale dovrebbe essere favorita per i messaggi sensibili, con gestione centralizzata dei segreti, cifratura dei dati temporanei, politiche di conservazione e audit degli accessi. Il parser potrà essere esteso con sandbox controllate per gli allegati, regole YARA e ulteriori verifiche sulle strutture PDF e Office, mantenendo separati i contenuti aziendali dai servizi pubblici. Per i modelli linguistici sarà opportuno confrontare </w:t>
      </w:r>
      <w:proofErr w:type="spellStart"/>
      <w:r>
        <w:t>backend</w:t>
      </w:r>
      <w:proofErr w:type="spellEnd"/>
      <w:r>
        <w:t xml:space="preserve"> locali più piccoli, limitare i dati forniti al prompt e verificare sistematicamente che l'output strutturato non introduca affermazioni prive di evidenza.</w:t>
      </w:r>
    </w:p>
    <w:p w14:paraId="37F33AE3" w14:textId="77777777" w:rsidR="0032419E" w:rsidRDefault="00713D55">
      <w:pPr>
        <w:pStyle w:val="Corpotesi"/>
      </w:pPr>
      <w:r>
        <w:t xml:space="preserve">Infine, </w:t>
      </w:r>
      <w:proofErr w:type="spellStart"/>
      <w:r>
        <w:t>FishSTOP</w:t>
      </w:r>
      <w:proofErr w:type="spellEnd"/>
      <w:r>
        <w:t xml:space="preserve"> dovrà essere valutato come processo e non soltanto come software. Una sperimentazione prima/dopo dovrebbe utilizzare casi omogenei, più analisti e un protocollo definito, misurando tempo di presa in carico, tempo di decisione, falsi positivi, falsi negativi, accordo tra valutatori, numero di strumenti consultati e completezza della documentazione. I risultati potranno essere collegati ai KPI e agli SLA previsti dal progetto formativo. Solo dopo questa verifica sarà possibile stabilire se lo strumento riduce realmente il Mean Time to </w:t>
      </w:r>
      <w:proofErr w:type="spellStart"/>
      <w:r>
        <w:t>Respond</w:t>
      </w:r>
      <w:proofErr w:type="spellEnd"/>
      <w:r>
        <w:t xml:space="preserve"> senza compromettere accuratezza, riservatezza e controllo umano. In questa prospettiva, </w:t>
      </w:r>
      <w:proofErr w:type="spellStart"/>
      <w:r>
        <w:t>FishSTOP</w:t>
      </w:r>
      <w:proofErr w:type="spellEnd"/>
      <w:r>
        <w:t xml:space="preserve"> rappresenta non un prodotto concluso, ma una base sperimentale per un supporto al triage più uniforme, misurabile e integrabile nei processi aziendali.</w:t>
      </w:r>
    </w:p>
    <w:p w14:paraId="0926EA8A" w14:textId="77777777" w:rsidR="00065E1E" w:rsidRPr="00146E3C" w:rsidRDefault="00713D55">
      <w:pPr>
        <w:rPr>
          <w:lang w:val="it-IT"/>
        </w:rPr>
      </w:pPr>
      <w:r w:rsidRPr="00146E3C">
        <w:rPr>
          <w:lang w:val="it-IT"/>
        </w:rPr>
        <w:br w:type="page"/>
      </w:r>
    </w:p>
    <w:p w14:paraId="35005BF8" w14:textId="77777777" w:rsidR="00065E1E" w:rsidRDefault="00713D55">
      <w:pPr>
        <w:pStyle w:val="Titolo11"/>
      </w:pPr>
      <w:r>
        <w:lastRenderedPageBreak/>
        <w:t>Riferimenti bibliografici e sitografia</w:t>
      </w:r>
    </w:p>
    <w:p w14:paraId="69D4F688" w14:textId="77777777" w:rsidR="00065E1E" w:rsidRDefault="00713D55">
      <w:pPr>
        <w:pStyle w:val="Riferimentobibliografico"/>
      </w:pPr>
      <w:proofErr w:type="spellStart"/>
      <w:r>
        <w:t>Cefla</w:t>
      </w:r>
      <w:proofErr w:type="spellEnd"/>
      <w:r>
        <w:t>. (s.d.-a). History. https://www.cefla.com/en/history/ (consultato il 20 luglio 2026).</w:t>
      </w:r>
    </w:p>
    <w:p w14:paraId="2A02BD83" w14:textId="77777777" w:rsidR="00065E1E" w:rsidRDefault="00713D55">
      <w:pPr>
        <w:pStyle w:val="Riferimentobibliografico"/>
        <w:ind w:left="567" w:hanging="567"/>
      </w:pPr>
      <w:proofErr w:type="spellStart"/>
      <w:r>
        <w:t>Cefla</w:t>
      </w:r>
      <w:proofErr w:type="spellEnd"/>
      <w:r>
        <w:t>. (s.d.-b). Business Units. https://www.cefla.com/en/business-unit/ (consultato il 20 luglio 2026).</w:t>
      </w:r>
    </w:p>
    <w:p w14:paraId="462D18F7" w14:textId="77777777" w:rsidR="00065E1E" w:rsidRPr="00146E3C" w:rsidRDefault="00713D55">
      <w:pPr>
        <w:pStyle w:val="Riferimentobibliografico"/>
        <w:rPr>
          <w:lang w:val="en-US"/>
        </w:rPr>
      </w:pPr>
      <w:r w:rsidRPr="00146E3C">
        <w:rPr>
          <w:lang w:val="en-US"/>
        </w:rPr>
        <w:t>Google. (</w:t>
      </w:r>
      <w:proofErr w:type="spellStart"/>
      <w:r w:rsidRPr="00146E3C">
        <w:rPr>
          <w:lang w:val="en-US"/>
        </w:rPr>
        <w:t>s.d.</w:t>
      </w:r>
      <w:proofErr w:type="spellEnd"/>
      <w:r w:rsidRPr="00146E3C">
        <w:rPr>
          <w:lang w:val="en-US"/>
        </w:rPr>
        <w:t>). Set up SPF. Google Workspace Admin Help. https://support.google.com/a/answer/33786 (</w:t>
      </w:r>
      <w:proofErr w:type="spellStart"/>
      <w:r w:rsidRPr="00146E3C">
        <w:rPr>
          <w:lang w:val="en-US"/>
        </w:rPr>
        <w:t>consultato</w:t>
      </w:r>
      <w:proofErr w:type="spellEnd"/>
      <w:r w:rsidRPr="00146E3C">
        <w:rPr>
          <w:lang w:val="en-US"/>
        </w:rPr>
        <w:t xml:space="preserve"> il 20 </w:t>
      </w:r>
      <w:proofErr w:type="spellStart"/>
      <w:r w:rsidRPr="00146E3C">
        <w:rPr>
          <w:lang w:val="en-US"/>
        </w:rPr>
        <w:t>luglio</w:t>
      </w:r>
      <w:proofErr w:type="spellEnd"/>
      <w:r w:rsidRPr="00146E3C">
        <w:rPr>
          <w:lang w:val="en-US"/>
        </w:rPr>
        <w:t xml:space="preserve"> 2026).</w:t>
      </w:r>
    </w:p>
    <w:p w14:paraId="4B23956B" w14:textId="77777777" w:rsidR="00065E1E" w:rsidRPr="00146E3C" w:rsidRDefault="00713D55">
      <w:pPr>
        <w:pStyle w:val="Riferimentobibliografico"/>
        <w:rPr>
          <w:lang w:val="en-US"/>
        </w:rPr>
      </w:pPr>
      <w:r w:rsidRPr="00146E3C">
        <w:rPr>
          <w:lang w:val="en-US"/>
        </w:rPr>
        <w:t>Kitterman, S. (2014). Sender Policy Framework (SPF) for Authorizing Use of Domains in Email, Version 1 (RFC 7208). RFC Editor. https://www.rfc-editor.org/rfc/rfc7208.html</w:t>
      </w:r>
    </w:p>
    <w:p w14:paraId="2F2813F9" w14:textId="77777777" w:rsidR="00065E1E" w:rsidRPr="00146E3C" w:rsidRDefault="00713D55">
      <w:pPr>
        <w:pStyle w:val="Riferimentobibliografico"/>
        <w:rPr>
          <w:lang w:val="en-US"/>
        </w:rPr>
      </w:pPr>
      <w:r w:rsidRPr="00146E3C">
        <w:rPr>
          <w:lang w:val="en-US"/>
        </w:rPr>
        <w:t>Microsoft. (2026). Troubleshoot email authentication in Microsoft 365. Microsoft Learn. https://learn.microsoft.com/en-us/defender-office-365/email-authentication-troubleshoot</w:t>
      </w:r>
    </w:p>
    <w:p w14:paraId="2F92F2BA" w14:textId="77777777" w:rsidR="00065E1E" w:rsidRPr="000361F0" w:rsidRDefault="00713D55">
      <w:pPr>
        <w:pStyle w:val="Riferimentobibliografico"/>
        <w:rPr>
          <w:lang w:val="en-US"/>
        </w:rPr>
      </w:pPr>
      <w:r>
        <w:t xml:space="preserve">Tariq, S., Chhetri, M. B., Nepal, S., &amp; Paris, C. (2025). </w:t>
      </w:r>
      <w:r w:rsidRPr="00146E3C">
        <w:rPr>
          <w:lang w:val="en-US"/>
        </w:rPr>
        <w:t xml:space="preserve">Alert Fatigue in Security Operations </w:t>
      </w:r>
      <w:proofErr w:type="spellStart"/>
      <w:r w:rsidRPr="00146E3C">
        <w:rPr>
          <w:lang w:val="en-US"/>
        </w:rPr>
        <w:t>Centres</w:t>
      </w:r>
      <w:proofErr w:type="spellEnd"/>
      <w:r w:rsidRPr="00146E3C">
        <w:rPr>
          <w:lang w:val="en-US"/>
        </w:rPr>
        <w:t xml:space="preserve">: Research Challenges and Opportunities. </w:t>
      </w:r>
      <w:r w:rsidRPr="000361F0">
        <w:rPr>
          <w:lang w:val="en-US"/>
        </w:rPr>
        <w:t>ACM Computing Surveys, 57(9), Article 224, 1-38. https://doi.org/10.1145/3723158</w:t>
      </w:r>
    </w:p>
    <w:p w14:paraId="3376970C" w14:textId="77777777" w:rsidR="0032419E" w:rsidRPr="000361F0" w:rsidRDefault="00713D55">
      <w:pPr>
        <w:pStyle w:val="Riferimentobibliografico"/>
        <w:rPr>
          <w:lang w:val="en-US"/>
        </w:rPr>
      </w:pPr>
      <w:r w:rsidRPr="000361F0">
        <w:rPr>
          <w:lang w:val="en-US"/>
        </w:rPr>
        <w:t xml:space="preserve">Apache </w:t>
      </w:r>
      <w:proofErr w:type="spellStart"/>
      <w:r w:rsidRPr="000361F0">
        <w:rPr>
          <w:lang w:val="en-US"/>
        </w:rPr>
        <w:t>SpamAssassin</w:t>
      </w:r>
      <w:proofErr w:type="spellEnd"/>
      <w:r w:rsidRPr="000361F0">
        <w:rPr>
          <w:lang w:val="en-US"/>
        </w:rPr>
        <w:t>. (</w:t>
      </w:r>
      <w:proofErr w:type="spellStart"/>
      <w:r w:rsidRPr="000361F0">
        <w:rPr>
          <w:lang w:val="en-US"/>
        </w:rPr>
        <w:t>s.d.</w:t>
      </w:r>
      <w:proofErr w:type="spellEnd"/>
      <w:r w:rsidRPr="000361F0">
        <w:rPr>
          <w:lang w:val="en-US"/>
        </w:rPr>
        <w:t xml:space="preserve">). </w:t>
      </w:r>
      <w:proofErr w:type="spellStart"/>
      <w:r w:rsidRPr="000361F0">
        <w:rPr>
          <w:lang w:val="en-US"/>
        </w:rPr>
        <w:t>SpamAssassin</w:t>
      </w:r>
      <w:proofErr w:type="spellEnd"/>
      <w:r w:rsidRPr="000361F0">
        <w:rPr>
          <w:lang w:val="en-US"/>
        </w:rPr>
        <w:t xml:space="preserve"> public mail corpus. https://spamassassin.apache.org/old/publiccorpus/readme.html (</w:t>
      </w:r>
      <w:proofErr w:type="spellStart"/>
      <w:r w:rsidRPr="000361F0">
        <w:rPr>
          <w:lang w:val="en-US"/>
        </w:rPr>
        <w:t>consultato</w:t>
      </w:r>
      <w:proofErr w:type="spellEnd"/>
      <w:r w:rsidRPr="000361F0">
        <w:rPr>
          <w:lang w:val="en-US"/>
        </w:rPr>
        <w:t xml:space="preserve"> il 21 </w:t>
      </w:r>
      <w:proofErr w:type="spellStart"/>
      <w:r w:rsidRPr="000361F0">
        <w:rPr>
          <w:lang w:val="en-US"/>
        </w:rPr>
        <w:t>luglio</w:t>
      </w:r>
      <w:proofErr w:type="spellEnd"/>
      <w:r w:rsidRPr="000361F0">
        <w:rPr>
          <w:lang w:val="en-US"/>
        </w:rPr>
        <w:t xml:space="preserve"> 2026).</w:t>
      </w:r>
    </w:p>
    <w:p w14:paraId="678D7A27" w14:textId="77777777" w:rsidR="0032419E" w:rsidRDefault="00713D55">
      <w:pPr>
        <w:pStyle w:val="Riferimentobibliografico"/>
      </w:pPr>
      <w:r>
        <w:t xml:space="preserve">Carnegie Mellon University. (s.d.). Enron </w:t>
      </w:r>
      <w:proofErr w:type="gramStart"/>
      <w:r>
        <w:t>Email</w:t>
      </w:r>
      <w:proofErr w:type="gramEnd"/>
      <w:r>
        <w:t xml:space="preserve"> Dataset. https://www.cs.cmu.edu/~enron/ (consultato il 21 luglio 2026).</w:t>
      </w:r>
    </w:p>
    <w:p w14:paraId="39941F5B" w14:textId="77777777" w:rsidR="0032419E" w:rsidRPr="000361F0" w:rsidRDefault="00713D55">
      <w:pPr>
        <w:pStyle w:val="Riferimentobibliografico"/>
        <w:rPr>
          <w:lang w:val="en-US"/>
        </w:rPr>
      </w:pPr>
      <w:r w:rsidRPr="000361F0">
        <w:rPr>
          <w:lang w:val="fr-FR"/>
        </w:rPr>
        <w:t xml:space="preserve">Devlin, J., Chang, M.-W., Lee, K., &amp; Toutanova, K. (2019). </w:t>
      </w:r>
      <w:r w:rsidRPr="000361F0">
        <w:rPr>
          <w:lang w:val="en-US"/>
        </w:rPr>
        <w:t>BERT: Pre-training of Deep Bidirectional Transformers for Language Understanding. Proceedings of NAACL-HLT 2019, 4171-4186. https://doi.org/10.18653/v1/N19-1423</w:t>
      </w:r>
    </w:p>
    <w:p w14:paraId="0283C333" w14:textId="77777777" w:rsidR="0032419E" w:rsidRPr="000361F0" w:rsidRDefault="00713D55">
      <w:pPr>
        <w:pStyle w:val="Riferimentobibliografico"/>
        <w:rPr>
          <w:lang w:val="en-US"/>
        </w:rPr>
      </w:pPr>
      <w:r w:rsidRPr="000361F0">
        <w:rPr>
          <w:lang w:val="en-US"/>
        </w:rPr>
        <w:t>Guo, C., Pleiss, G., Sun, Y., &amp; Weinberger, K. Q. (2017). On Calibration of Modern Neural Networks. Proceedings of the 34th International Conference on Machine Learning, PMLR 70, 1321-1330. https://proceedings.mlr.press/v70/guo17a.html</w:t>
      </w:r>
    </w:p>
    <w:p w14:paraId="13E4268A" w14:textId="77777777" w:rsidR="00FD0ADC" w:rsidRPr="008565A7" w:rsidRDefault="00000000">
      <w:pPr>
        <w:pStyle w:val="Riferimentobibliografico"/>
      </w:pPr>
      <w:r w:rsidRPr="008565A7">
        <w:t>Microsoft. (2025). Phi-4-mini-instruct model card. Hugging Face. https://huggingface.co/microsoft/Phi-4-mini-instruct (consultato il 22 luglio 2026).</w:t>
      </w:r>
    </w:p>
    <w:p w14:paraId="32A739A7" w14:textId="77777777" w:rsidR="0032419E" w:rsidRDefault="00713D55">
      <w:pPr>
        <w:pStyle w:val="Riferimentobibliografico"/>
      </w:pPr>
      <w:r>
        <w:t>Nazario, J. (s.d.). Phishing corpus, raccolte 2022-2025. https://monkey.org/~jose/phishing/ (consultato il 21 luglio 2026).</w:t>
      </w:r>
    </w:p>
    <w:p w14:paraId="545B8B04" w14:textId="77777777" w:rsidR="0032419E" w:rsidRDefault="00713D55">
      <w:pPr>
        <w:pStyle w:val="Riferimentobibliografico"/>
      </w:pPr>
      <w:r w:rsidRPr="000361F0">
        <w:rPr>
          <w:lang w:val="fr-FR"/>
        </w:rPr>
        <w:t xml:space="preserve">Peixoto, R. F. (s.d.). </w:t>
      </w:r>
      <w:r w:rsidRPr="000361F0">
        <w:rPr>
          <w:lang w:val="en-US"/>
        </w:rPr>
        <w:t xml:space="preserve">Phishing Pot: a collection of real phishing samples. </w:t>
      </w:r>
      <w:r>
        <w:t xml:space="preserve">GitHub. https://github.com/rf-peixoto/phishing_pot (revisione del dataset fissata al </w:t>
      </w:r>
      <w:proofErr w:type="spellStart"/>
      <w:r>
        <w:t>commit</w:t>
      </w:r>
      <w:proofErr w:type="spellEnd"/>
      <w:r>
        <w:t xml:space="preserve"> 80685cbfe69a1f905707be92e144ba5b71f9ee37; consultato il 21 luglio 2026).</w:t>
      </w:r>
    </w:p>
    <w:p w14:paraId="56F10001" w14:textId="77777777" w:rsidR="0032419E" w:rsidRPr="000361F0" w:rsidRDefault="00713D55">
      <w:pPr>
        <w:pStyle w:val="Riferimentobibliografico"/>
        <w:rPr>
          <w:lang w:val="en-US"/>
        </w:rPr>
      </w:pPr>
      <w:r w:rsidRPr="000361F0">
        <w:rPr>
          <w:lang w:val="en-US"/>
        </w:rPr>
        <w:lastRenderedPageBreak/>
        <w:t xml:space="preserve">Sanh, V., Debut, L., </w:t>
      </w:r>
      <w:proofErr w:type="spellStart"/>
      <w:r w:rsidRPr="000361F0">
        <w:rPr>
          <w:lang w:val="en-US"/>
        </w:rPr>
        <w:t>Chaumond</w:t>
      </w:r>
      <w:proofErr w:type="spellEnd"/>
      <w:r w:rsidRPr="000361F0">
        <w:rPr>
          <w:lang w:val="en-US"/>
        </w:rPr>
        <w:t xml:space="preserve">, J., &amp; Wolf, T. (2019). </w:t>
      </w:r>
      <w:proofErr w:type="spellStart"/>
      <w:r w:rsidRPr="000361F0">
        <w:rPr>
          <w:lang w:val="en-US"/>
        </w:rPr>
        <w:t>DistilBERT</w:t>
      </w:r>
      <w:proofErr w:type="spellEnd"/>
      <w:r w:rsidRPr="000361F0">
        <w:rPr>
          <w:lang w:val="en-US"/>
        </w:rPr>
        <w:t>, a distilled version of BERT: smaller, faster, cheaper and lighter. arXiv:1910.01108. https://arxiv.org/abs/1910.01108</w:t>
      </w:r>
    </w:p>
    <w:p w14:paraId="769A0140" w14:textId="77777777" w:rsidR="00FD0ADC" w:rsidRPr="008565A7" w:rsidRDefault="00000000">
      <w:pPr>
        <w:pStyle w:val="Riferimentobibliografico"/>
        <w:rPr>
          <w:lang w:val="de-DE"/>
        </w:rPr>
      </w:pPr>
      <w:r>
        <w:t xml:space="preserve">Herr, T., &amp; Levine, J. (a cura di). </w:t>
      </w:r>
      <w:r w:rsidRPr="008565A7">
        <w:rPr>
          <w:lang w:val="en-US"/>
        </w:rPr>
        <w:t xml:space="preserve">(2026). Domain-Based Message Authentication, Reporting, and Conformance (DMARC) (RFC 9989). </w:t>
      </w:r>
      <w:r w:rsidRPr="008565A7">
        <w:rPr>
          <w:lang w:val="de-DE"/>
        </w:rPr>
        <w:t>RFC Editor. https://www.rfc-editor.org/rfc/rfc9989.html</w:t>
      </w:r>
    </w:p>
    <w:p w14:paraId="0D2EDAC1" w14:textId="77777777" w:rsidR="00FD0ADC" w:rsidRPr="008565A7" w:rsidRDefault="00000000">
      <w:pPr>
        <w:pStyle w:val="Riferimentobibliografico"/>
        <w:rPr>
          <w:lang w:val="en-US"/>
        </w:rPr>
      </w:pPr>
      <w:r w:rsidRPr="008565A7">
        <w:rPr>
          <w:lang w:val="de-DE"/>
        </w:rPr>
        <w:t xml:space="preserve">Uetz, R., Herzog, M., Hackländer, L., Schwarz, S., &amp; Henze, M. (2024). </w:t>
      </w:r>
      <w:r w:rsidRPr="008565A7">
        <w:rPr>
          <w:lang w:val="en-US"/>
        </w:rPr>
        <w:t>You Cannot Escape Me: Detecting Evasions of SIEM Rules in Enterprise Networks. 33rd USENIX Security Symposium, 5179-5196. https://www.usenix.org/conference/usenixsecurity24/presentation/uetz</w:t>
      </w:r>
    </w:p>
    <w:p w14:paraId="598AE42C" w14:textId="77777777" w:rsidR="00FD0ADC" w:rsidRPr="008565A7" w:rsidRDefault="00000000">
      <w:pPr>
        <w:pStyle w:val="Riferimentobibliografico"/>
        <w:rPr>
          <w:lang w:val="en-US"/>
        </w:rPr>
      </w:pPr>
      <w:r w:rsidRPr="008565A7">
        <w:rPr>
          <w:lang w:val="en-US"/>
        </w:rPr>
        <w:t>VirusTotal. (s.d.-a). URLs: object attributes. https://docs.virustotal.com/reference/url-object (consultato il 22 luglio 2026).</w:t>
      </w:r>
    </w:p>
    <w:p w14:paraId="40603F74" w14:textId="77777777" w:rsidR="00FD0ADC" w:rsidRPr="008565A7" w:rsidRDefault="00000000">
      <w:pPr>
        <w:pStyle w:val="Riferimentobibliografico"/>
        <w:rPr>
          <w:lang w:val="en-US"/>
        </w:rPr>
      </w:pPr>
      <w:r w:rsidRPr="008565A7">
        <w:rPr>
          <w:lang w:val="en-US"/>
        </w:rPr>
        <w:t>VirusTotal. (s.d.-b). Searching for file scan reports. https://docs.virustotal.com/docs/searching (consultato il 22 luglio 2026).</w:t>
      </w:r>
    </w:p>
    <w:p w14:paraId="476F2C51" w14:textId="77777777" w:rsidR="00FD0ADC" w:rsidRPr="008565A7" w:rsidRDefault="00000000">
      <w:pPr>
        <w:pStyle w:val="Riferimentobibliografico"/>
        <w:rPr>
          <w:lang w:val="en-US"/>
        </w:rPr>
      </w:pPr>
      <w:r w:rsidRPr="008565A7">
        <w:rPr>
          <w:lang w:val="en-US"/>
        </w:rPr>
        <w:t>Jadhav, A., &amp; Chandre, P. (2025). A Hybrid Heuristic-Machine Learning Framework for Phishing Detection Using Multi-Domain Feature Analysis. Engineering, Technology &amp; Applied Science Research, 15(5), 27219-27226. https://doi.org/10.48084/etasr.11548</w:t>
      </w:r>
    </w:p>
    <w:p w14:paraId="0F03FDD7" w14:textId="77777777" w:rsidR="00FD0ADC" w:rsidRPr="008565A7" w:rsidRDefault="00000000">
      <w:pPr>
        <w:pStyle w:val="Riferimentobibliografico"/>
        <w:rPr>
          <w:lang w:val="en-US"/>
        </w:rPr>
      </w:pPr>
      <w:r w:rsidRPr="008565A7">
        <w:rPr>
          <w:lang w:val="en-US"/>
        </w:rPr>
        <w:t>Kyaw, P. H., Gutierrez, J., &amp; Ghobakhlou, A. (2024). A Systematic Review of Deep Learning Techniques for Phishing Email Detection. Electronics, 13(19), 3823. https://doi.org/10.3390/electronics13193823</w:t>
      </w:r>
    </w:p>
    <w:p w14:paraId="272DCF7D" w14:textId="77777777" w:rsidR="00FD0ADC" w:rsidRPr="008565A7" w:rsidRDefault="00000000">
      <w:pPr>
        <w:pStyle w:val="Riferimentobibliografico"/>
        <w:rPr>
          <w:lang w:val="en-US"/>
        </w:rPr>
      </w:pPr>
      <w:r w:rsidRPr="008565A7">
        <w:rPr>
          <w:lang w:val="en-US"/>
        </w:rPr>
        <w:t>Meléndez, R., Ptaszynski, M., &amp; Masui, F. (2024). Comparative Investigation of Traditional Machine-Learning Models and Transformer Models for Phishing Email Detection. Electronics, 13(24), 4877. https://doi.org/10.3390/electronics13244877</w:t>
      </w:r>
    </w:p>
    <w:p w14:paraId="237DB299" w14:textId="77777777" w:rsidR="00FD0ADC" w:rsidRPr="008565A7" w:rsidRDefault="00000000">
      <w:pPr>
        <w:pStyle w:val="Riferimentobibliografico"/>
        <w:rPr>
          <w:lang w:val="en-US"/>
        </w:rPr>
      </w:pPr>
      <w:r w:rsidRPr="008565A7">
        <w:rPr>
          <w:lang w:val="en-US"/>
        </w:rPr>
        <w:t>Bhuiyan, I., &amp; Bhuiyan, T. (2026). The Fragility of Phishing Detection Models: Evidence from Cross-Corpus Transfer, Prevalence Shift, Artifact Learning, and Evasion Risk. Big Data and Cognitive Computing, 10(7), 211. https://doi.org/10.3390/bdcc10070211</w:t>
      </w:r>
    </w:p>
    <w:p w14:paraId="2839564C" w14:textId="77777777" w:rsidR="00FD0ADC" w:rsidRPr="008565A7" w:rsidRDefault="00000000">
      <w:pPr>
        <w:pStyle w:val="Riferimentobibliografico"/>
        <w:rPr>
          <w:lang w:val="en-US"/>
        </w:rPr>
      </w:pPr>
      <w:r w:rsidRPr="008565A7">
        <w:rPr>
          <w:lang w:val="en-US"/>
        </w:rPr>
        <w:t>Pendlebury, F., Pierazzi, F., Jordaney, R., Kinder, J., &amp; Cavallaro, L. (2019). TESSERACT: Eliminating Experimental Bias in Malware Classification across Space and Time. 28th USENIX Security Symposium, 729-746. https://www.usenix.org/conference/usenixsecurity19/presentation/pendlebury</w:t>
      </w:r>
    </w:p>
    <w:p w14:paraId="3AB07CB9" w14:textId="77777777" w:rsidR="00FD0ADC" w:rsidRPr="008565A7" w:rsidRDefault="00000000">
      <w:pPr>
        <w:pStyle w:val="Riferimentobibliografico"/>
        <w:rPr>
          <w:lang w:val="en-US"/>
        </w:rPr>
      </w:pPr>
      <w:r w:rsidRPr="008565A7">
        <w:rPr>
          <w:lang w:val="de-DE"/>
        </w:rPr>
        <w:t xml:space="preserve">Geifman, Y., &amp; El-Yaniv, R. (2017). </w:t>
      </w:r>
      <w:r w:rsidRPr="008565A7">
        <w:rPr>
          <w:lang w:val="en-US"/>
        </w:rPr>
        <w:t>Selective Classification for Deep Neural Networks. Advances in Neural Information Processing Systems, 30. https://papers.neurips.cc/paper_files/paper/2017/hash/4a8423d5e91fda00bb7e46540e2b0cf1-Abstract.html</w:t>
      </w:r>
    </w:p>
    <w:p w14:paraId="1FAD9A41" w14:textId="77777777" w:rsidR="00FD0ADC" w:rsidRPr="008565A7" w:rsidRDefault="00000000">
      <w:pPr>
        <w:pStyle w:val="Riferimentobibliografico"/>
        <w:rPr>
          <w:lang w:val="en-US"/>
        </w:rPr>
      </w:pPr>
      <w:r w:rsidRPr="008565A7">
        <w:rPr>
          <w:lang w:val="en-US"/>
        </w:rPr>
        <w:t xml:space="preserve">Vassilev, A., Oprea, A., Fordyce, A., Anderson, H., Davies, X., &amp; Hamin, M. (2025). Adversarial Machine Learning: A Taxonomy and Terminology of </w:t>
      </w:r>
      <w:r w:rsidRPr="008565A7">
        <w:rPr>
          <w:lang w:val="en-US"/>
        </w:rPr>
        <w:lastRenderedPageBreak/>
        <w:t>Attacks and Mitigations (NIST AI 100-2e2025). National Institute of Standards and Technology. https://doi.org/10.6028/NIST.AI.100-2e2025</w:t>
      </w:r>
    </w:p>
    <w:p w14:paraId="6203694E" w14:textId="77777777" w:rsidR="00FD0ADC" w:rsidRPr="008565A7" w:rsidRDefault="00000000">
      <w:pPr>
        <w:pStyle w:val="Riferimentobibliografico"/>
        <w:rPr>
          <w:lang w:val="en-US"/>
        </w:rPr>
      </w:pPr>
      <w:r w:rsidRPr="008565A7">
        <w:rPr>
          <w:lang w:val="en-US"/>
        </w:rPr>
        <w:t>National Institute of Standards and Technology (NIST). (2023). Artificial Intelligence Risk Management Framework (AI RMF 1.0) (NIST AI 100-1). https://doi.org/10.6028/NIST.AI.100-1</w:t>
      </w:r>
    </w:p>
    <w:p w14:paraId="37EBD04B" w14:textId="77777777" w:rsidR="00FD0ADC" w:rsidRPr="008565A7" w:rsidRDefault="00000000">
      <w:pPr>
        <w:pStyle w:val="Riferimentobibliografico"/>
        <w:rPr>
          <w:lang w:val="en-US"/>
        </w:rPr>
      </w:pPr>
      <w:r w:rsidRPr="008565A7">
        <w:rPr>
          <w:lang w:val="en-US"/>
        </w:rPr>
        <w:t>MITRE. (2026). Phishing, Technique T1566 - Enterprise. MITRE ATT&amp;CK. https://attack.mitre.org/techniques/T1566/ (consultato il 22 luglio 2026).</w:t>
      </w:r>
    </w:p>
    <w:p w14:paraId="6CA2A9DB" w14:textId="77777777" w:rsidR="00065E1E" w:rsidRPr="000361F0" w:rsidRDefault="00713D55">
      <w:pPr>
        <w:rPr>
          <w:lang w:val="en-US"/>
        </w:rPr>
      </w:pPr>
      <w:r w:rsidRPr="000361F0">
        <w:rPr>
          <w:lang w:val="en-US"/>
        </w:rPr>
        <w:br w:type="page"/>
      </w:r>
    </w:p>
    <w:p w14:paraId="375B23E1" w14:textId="77777777" w:rsidR="00065E1E" w:rsidRDefault="00713D55">
      <w:pPr>
        <w:pStyle w:val="Titolo11"/>
      </w:pPr>
      <w:r>
        <w:lastRenderedPageBreak/>
        <w:t>Appendici (facoltative)</w:t>
      </w:r>
    </w:p>
    <w:p w14:paraId="3E7C492D" w14:textId="77777777" w:rsidR="00065E1E" w:rsidRDefault="00713D55">
      <w:pPr>
        <w:pStyle w:val="Indicazionedacompilare"/>
      </w:pPr>
      <w:r>
        <w:t>[Inserire solo materiali supplementari realmente utili: procedure estese, schemi, tabelle, glossario o documentazione autorizzata dall'azienda.]</w:t>
      </w:r>
    </w:p>
    <w:p w14:paraId="41102667" w14:textId="77777777" w:rsidR="00065E1E" w:rsidRPr="00146E3C" w:rsidRDefault="00713D55">
      <w:pPr>
        <w:shd w:val="clear" w:color="auto" w:fill="F2F2F2"/>
        <w:spacing w:before="360"/>
        <w:rPr>
          <w:lang w:val="it-IT"/>
        </w:rPr>
      </w:pPr>
      <w:r w:rsidRPr="00146E3C">
        <w:rPr>
          <w:rFonts w:ascii="Times New Roman" w:eastAsia="Times New Roman" w:hAnsi="Times New Roman"/>
          <w:i/>
          <w:color w:val="5B5B5B"/>
          <w:sz w:val="20"/>
          <w:lang w:val="it-IT"/>
        </w:rPr>
        <w:t>Promemoria per la prova finale (non parte della tesi): presentazione PowerPoint di durata massima 15 minuti, in italiano o in inglese.</w:t>
      </w:r>
    </w:p>
    <w:sectPr w:rsidR="00065E1E" w:rsidRPr="00146E3C">
      <w:headerReference w:type="default" r:id="rId7"/>
      <w:footerReference w:type="default" r:id="rId8"/>
      <w:pgSz w:w="11906" w:h="16838"/>
      <w:pgMar w:top="1417" w:right="1984" w:bottom="1417" w:left="198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7469" w14:textId="77777777" w:rsidR="00EC07E8" w:rsidRDefault="00EC07E8">
      <w:pPr>
        <w:spacing w:after="0" w:line="240" w:lineRule="auto"/>
      </w:pPr>
      <w:r>
        <w:separator/>
      </w:r>
    </w:p>
  </w:endnote>
  <w:endnote w:type="continuationSeparator" w:id="0">
    <w:p w14:paraId="4C0D926C" w14:textId="77777777" w:rsidR="00EC07E8" w:rsidRDefault="00EC0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6944" w14:textId="77777777" w:rsidR="00065E1E" w:rsidRDefault="00713D5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9AEC" w14:textId="77777777" w:rsidR="00EC07E8" w:rsidRDefault="00EC07E8">
      <w:pPr>
        <w:spacing w:after="0" w:line="240" w:lineRule="auto"/>
      </w:pPr>
      <w:r>
        <w:separator/>
      </w:r>
    </w:p>
  </w:footnote>
  <w:footnote w:type="continuationSeparator" w:id="0">
    <w:p w14:paraId="0066C64C" w14:textId="77777777" w:rsidR="00EC07E8" w:rsidRDefault="00EC0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AE48" w14:textId="77777777" w:rsidR="00065E1E" w:rsidRPr="00146E3C" w:rsidRDefault="00713D55">
    <w:pPr>
      <w:spacing w:after="0"/>
      <w:jc w:val="right"/>
      <w:rPr>
        <w:lang w:val="it-IT"/>
      </w:rPr>
    </w:pPr>
    <w:proofErr w:type="spellStart"/>
    <w:r w:rsidRPr="00146E3C">
      <w:rPr>
        <w:rFonts w:ascii="Times New Roman" w:eastAsia="Times New Roman" w:hAnsi="Times New Roman"/>
        <w:color w:val="111111"/>
        <w:sz w:val="18"/>
        <w:lang w:val="it-IT"/>
      </w:rPr>
      <w:t>FishSTOP</w:t>
    </w:r>
    <w:proofErr w:type="spellEnd"/>
    <w:r w:rsidRPr="00146E3C">
      <w:rPr>
        <w:rFonts w:ascii="Times New Roman" w:eastAsia="Times New Roman" w:hAnsi="Times New Roman"/>
        <w:color w:val="111111"/>
        <w:sz w:val="18"/>
        <w:lang w:val="it-IT"/>
      </w:rPr>
      <w:t>: automazione del triage delle e-mail di phishing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81431"/>
    <w:multiLevelType w:val="multilevel"/>
    <w:tmpl w:val="9572D9FE"/>
    <w:lvl w:ilvl="0">
      <w:start w:val="1"/>
      <w:numFmt w:val="decimal"/>
      <w:suff w:val="space"/>
      <w:lvlText w:val="%1."/>
      <w:lvlJc w:val="left"/>
      <w:pPr>
        <w:tabs>
          <w:tab w:val="num" w:pos="0"/>
        </w:tabs>
        <w:ind w:left="0" w:firstLine="0"/>
      </w:p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308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D81"/>
    <w:rsid w:val="0003237B"/>
    <w:rsid w:val="0003597F"/>
    <w:rsid w:val="000361F0"/>
    <w:rsid w:val="0005024D"/>
    <w:rsid w:val="00065E1E"/>
    <w:rsid w:val="00083B9E"/>
    <w:rsid w:val="00091BA8"/>
    <w:rsid w:val="000D7B2C"/>
    <w:rsid w:val="00106FB5"/>
    <w:rsid w:val="00146E3C"/>
    <w:rsid w:val="00154159"/>
    <w:rsid w:val="00185143"/>
    <w:rsid w:val="001C5235"/>
    <w:rsid w:val="001D7302"/>
    <w:rsid w:val="001E7928"/>
    <w:rsid w:val="00200881"/>
    <w:rsid w:val="002455A8"/>
    <w:rsid w:val="0029613B"/>
    <w:rsid w:val="00322A69"/>
    <w:rsid w:val="0032419E"/>
    <w:rsid w:val="0036104E"/>
    <w:rsid w:val="0036598D"/>
    <w:rsid w:val="003C4983"/>
    <w:rsid w:val="003D1730"/>
    <w:rsid w:val="004F5E8C"/>
    <w:rsid w:val="00561A56"/>
    <w:rsid w:val="005B7184"/>
    <w:rsid w:val="00611F11"/>
    <w:rsid w:val="00614EFA"/>
    <w:rsid w:val="006F2C00"/>
    <w:rsid w:val="00713D55"/>
    <w:rsid w:val="00721DF4"/>
    <w:rsid w:val="0072580D"/>
    <w:rsid w:val="007562D5"/>
    <w:rsid w:val="00786BC0"/>
    <w:rsid w:val="00790697"/>
    <w:rsid w:val="00817F36"/>
    <w:rsid w:val="0083212C"/>
    <w:rsid w:val="008565A7"/>
    <w:rsid w:val="008768E9"/>
    <w:rsid w:val="008A43C7"/>
    <w:rsid w:val="008B070C"/>
    <w:rsid w:val="008C0D65"/>
    <w:rsid w:val="00901A3A"/>
    <w:rsid w:val="009429AB"/>
    <w:rsid w:val="009D6703"/>
    <w:rsid w:val="009E15A7"/>
    <w:rsid w:val="009F5F6D"/>
    <w:rsid w:val="00A353F7"/>
    <w:rsid w:val="00AA33B7"/>
    <w:rsid w:val="00B04B07"/>
    <w:rsid w:val="00B33435"/>
    <w:rsid w:val="00B73E3D"/>
    <w:rsid w:val="00B84B3C"/>
    <w:rsid w:val="00C53DCB"/>
    <w:rsid w:val="00CA0872"/>
    <w:rsid w:val="00CC55CC"/>
    <w:rsid w:val="00CF3D81"/>
    <w:rsid w:val="00DC4507"/>
    <w:rsid w:val="00DF4A61"/>
    <w:rsid w:val="00E07D28"/>
    <w:rsid w:val="00E322D8"/>
    <w:rsid w:val="00E40F75"/>
    <w:rsid w:val="00E84254"/>
    <w:rsid w:val="00EB5D84"/>
    <w:rsid w:val="00EC07E8"/>
    <w:rsid w:val="00F452DD"/>
    <w:rsid w:val="00F552BD"/>
    <w:rsid w:val="00F80BB1"/>
    <w:rsid w:val="00FA66B0"/>
    <w:rsid w:val="00FD0ADC"/>
    <w:rsid w:val="00FE76EE"/>
    <w:rsid w:val="00FE7906"/>
    <w:rsid w:val="00FF5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6C87"/>
  <w15:docId w15:val="{C726A0C7-D134-4B37-9DA8-6A79B50E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CF3D81"/>
    <w:pPr>
      <w:tabs>
        <w:tab w:val="center" w:pos="4819"/>
        <w:tab w:val="right" w:pos="9638"/>
      </w:tabs>
      <w:spacing w:after="0" w:line="240" w:lineRule="auto"/>
    </w:pPr>
    <w:rPr>
      <w:rFonts w:ascii="Times" w:eastAsia="Times" w:hAnsi="Times" w:cs="Times New Roman"/>
      <w:sz w:val="24"/>
      <w:szCs w:val="24"/>
      <w:lang w:val="it-IT" w:eastAsia="it-IT"/>
    </w:rPr>
  </w:style>
  <w:style w:type="character" w:customStyle="1" w:styleId="IntestazioneCarattere">
    <w:name w:val="Intestazione Carattere"/>
    <w:basedOn w:val="Carpredefinitoparagrafo"/>
    <w:link w:val="Intestazione"/>
    <w:uiPriority w:val="99"/>
    <w:rsid w:val="00CF3D81"/>
    <w:rPr>
      <w:rFonts w:ascii="Times" w:eastAsia="Times" w:hAnsi="Times" w:cs="Times New Roman"/>
      <w:sz w:val="24"/>
      <w:szCs w:val="24"/>
      <w:lang w:eastAsia="it-IT"/>
    </w:rPr>
  </w:style>
  <w:style w:type="paragraph" w:styleId="Corpotesto">
    <w:name w:val="Body Text"/>
    <w:basedOn w:val="Normale"/>
    <w:link w:val="CorpotestoCarattere"/>
    <w:uiPriority w:val="99"/>
    <w:rsid w:val="00CF3D81"/>
    <w:pPr>
      <w:spacing w:after="0" w:line="240" w:lineRule="auto"/>
      <w:jc w:val="both"/>
    </w:pPr>
    <w:rPr>
      <w:rFonts w:ascii="Times" w:eastAsia="Times" w:hAnsi="Times" w:cs="Times New Roman"/>
      <w:sz w:val="24"/>
      <w:szCs w:val="24"/>
      <w:lang w:val="it-IT" w:eastAsia="it-IT"/>
    </w:rPr>
  </w:style>
  <w:style w:type="character" w:customStyle="1" w:styleId="CorpotestoCarattere">
    <w:name w:val="Corpo testo Carattere"/>
    <w:basedOn w:val="Carpredefinitoparagrafo"/>
    <w:link w:val="Corpotesto"/>
    <w:uiPriority w:val="99"/>
    <w:rsid w:val="00CF3D81"/>
    <w:rPr>
      <w:rFonts w:ascii="Times" w:eastAsia="Times" w:hAnsi="Times" w:cs="Times New Roman"/>
      <w:sz w:val="24"/>
      <w:szCs w:val="24"/>
      <w:lang w:eastAsia="it-IT"/>
    </w:rPr>
  </w:style>
  <w:style w:type="paragraph" w:customStyle="1" w:styleId="Corpotesi">
    <w:name w:val="Corpo tesi"/>
    <w:pPr>
      <w:spacing w:after="0" w:line="360" w:lineRule="auto"/>
      <w:ind w:firstLine="397"/>
      <w:jc w:val="both"/>
    </w:pPr>
    <w:rPr>
      <w:rFonts w:ascii="Times New Roman" w:hAnsi="Times New Roman"/>
      <w:color w:val="111111"/>
      <w:sz w:val="24"/>
    </w:rPr>
  </w:style>
  <w:style w:type="paragraph" w:customStyle="1" w:styleId="Indicazionedacompilare">
    <w:name w:val="Indicazione da compilare"/>
    <w:basedOn w:val="Corpotesi"/>
    <w:pPr>
      <w:spacing w:after="120"/>
      <w:ind w:firstLine="0"/>
    </w:pPr>
    <w:rPr>
      <w:i/>
      <w:color w:val="5B5B5B"/>
    </w:rPr>
  </w:style>
  <w:style w:type="paragraph" w:customStyle="1" w:styleId="Titolo11">
    <w:name w:val="Titolo 11"/>
    <w:qFormat/>
    <w:pPr>
      <w:keepNext/>
      <w:keepLines/>
      <w:spacing w:before="360" w:line="240" w:lineRule="auto"/>
      <w:outlineLvl w:val="0"/>
    </w:pPr>
    <w:rPr>
      <w:rFonts w:ascii="Times New Roman" w:hAnsi="Times New Roman"/>
      <w:b/>
      <w:color w:val="111111"/>
      <w:sz w:val="28"/>
    </w:rPr>
  </w:style>
  <w:style w:type="paragraph" w:customStyle="1" w:styleId="Titolo21">
    <w:name w:val="Titolo 21"/>
    <w:qFormat/>
    <w:pPr>
      <w:keepNext/>
      <w:keepLines/>
      <w:spacing w:before="240" w:after="120" w:line="240" w:lineRule="auto"/>
      <w:outlineLvl w:val="1"/>
    </w:pPr>
    <w:rPr>
      <w:rFonts w:ascii="Times New Roman" w:hAnsi="Times New Roman"/>
      <w:b/>
      <w:color w:val="111111"/>
      <w:sz w:val="24"/>
    </w:rPr>
  </w:style>
  <w:style w:type="paragraph" w:customStyle="1" w:styleId="Titolo31">
    <w:name w:val="Titolo 31"/>
    <w:qFormat/>
    <w:pPr>
      <w:keepNext/>
      <w:keepLines/>
      <w:spacing w:before="160" w:after="80" w:line="240" w:lineRule="auto"/>
      <w:outlineLvl w:val="2"/>
    </w:pPr>
    <w:rPr>
      <w:rFonts w:ascii="Times New Roman" w:hAnsi="Times New Roman"/>
      <w:b/>
      <w:color w:val="111111"/>
      <w:sz w:val="24"/>
    </w:rPr>
  </w:style>
  <w:style w:type="paragraph" w:customStyle="1" w:styleId="Riferimentobibliografico">
    <w:name w:val="Riferimento bibliografico"/>
    <w:basedOn w:val="Corpotesi"/>
    <w:pPr>
      <w:spacing w:after="120" w:line="276" w:lineRule="auto"/>
      <w:ind w:left="454" w:hanging="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39</Pages>
  <Words>12091</Words>
  <Characters>68921</Characters>
  <Application>Microsoft Office Word</Application>
  <DocSecurity>0</DocSecurity>
  <Lines>574</Lines>
  <Paragraphs>161</Paragraphs>
  <ScaleCrop>false</ScaleCrop>
  <HeadingPairs>
    <vt:vector size="2" baseType="variant">
      <vt:variant>
        <vt:lpstr>Titolo</vt:lpstr>
      </vt:variant>
      <vt:variant>
        <vt:i4>1</vt:i4>
      </vt:variant>
    </vt:vector>
  </HeadingPairs>
  <TitlesOfParts>
    <vt:vector size="1" baseType="lpstr">
      <vt:lpstr>Automazione del triage delle e-mail di phishing - Tesi di tirocinio</vt:lpstr>
    </vt:vector>
  </TitlesOfParts>
  <Company/>
  <LinksUpToDate>false</LinksUpToDate>
  <CharactersWithSpaces>80851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Automazione del triage delle e-mail di phishing - Tesi di tirocinio</dc:title>
  <dc:subject>Tirocinio curricolare presso Cefla - progettazione e valutazione di FishSTOP</dc:subject>
  <dc:creator>Eugenio Maria de Rosa</dc:creator>
  <cp:keywords>tesi, tirocinio, cybersecurity, master</cp:keywords>
  <dc:description>Bozza 06: ampliate le competenze utilizzate con protocolli e-mail, threat intelligence, analisi forense degli header, NLP, classificazione testuale e principi di secure coding; esplicitato l'insegnamento di maggiore impatto.</dc:description>
  <cp:lastModifiedBy>De Rosa Eugenio Maria</cp:lastModifiedBy>
  <cp:revision>2</cp:revision>
  <dcterms:created xsi:type="dcterms:W3CDTF">2026-07-23T14:35:00Z</dcterms:created>
  <dcterms:modified xsi:type="dcterms:W3CDTF">2026-07-23T14:35:00Z</dcterms:modified>
</cp:coreProperties>
</file>