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sz w:val="22"/>
          <w:szCs w:val="22"/>
        </w:rPr>
        <w:t xml:space="preserve"/>
      </w:r>
    </w:p>
    <w:p>
      <w:pPr>
        <w:spacing w:after="300"/>
        <w:jc w:val="center"/>
      </w:pPr>
      <w:r>
        <w:rPr>
          <w:b/>
          <w:bCs/>
          <w:color w:val="1F3864"/>
          <w:sz w:val="30"/>
          <w:szCs w:val="30"/>
        </w:rPr>
        <w:t xml:space="preserve">BASES PARA EL ANTEPROYECTO DE TRABAJO DE GRADO</w:t>
      </w:r>
    </w:p>
    <w:p>
      <w:pPr>
        <w:spacing w:after="200"/>
        <w:jc w:val="center"/>
      </w:pPr>
      <w:r>
        <w:rPr>
          <w:b/>
          <w:bCs/>
          <w:sz w:val="26"/>
          <w:szCs w:val="26"/>
        </w:rPr>
        <w:t xml:space="preserve">Modelo BIM-5D asistido por aprendizaje automático para la generación y validación de Análisis de Precios Unitarios en proyectos de instalaciones sanitarias</w:t>
      </w:r>
    </w:p>
    <w:p>
      <w:pPr>
        <w:spacing w:after="900"/>
        <w:jc w:val="center"/>
      </w:pPr>
      <w:r>
        <w:rPr>
          <w:i/>
          <w:iCs/>
          <w:color w:val="444444"/>
          <w:sz w:val="24"/>
          <w:szCs w:val="24"/>
        </w:rPr>
        <w:t xml:space="preserve">Caso de estudio: obra civil del sistema de drenaje de una clínica</w:t>
      </w:r>
    </w:p>
    <w:p>
      <w:pPr>
        <w:spacing w:after="100"/>
        <w:jc w:val="center"/>
      </w:pPr>
      <w:r>
        <w:rPr>
          <w:color w:val="555555"/>
          <w:sz w:val="22"/>
          <w:szCs w:val="22"/>
        </w:rPr>
        <w:t xml:space="preserve">Documento de trabajo — Versión 1.0</w:t>
      </w:r>
    </w:p>
    <w:p>
      <w:pPr>
        <w:spacing w:after="900"/>
        <w:jc w:val="center"/>
      </w:pPr>
      <w:r>
        <w:rPr>
          <w:color w:val="555555"/>
          <w:sz w:val="22"/>
          <w:szCs w:val="22"/>
        </w:rPr>
        <w:t xml:space="preserve">Julio 2026</w:t>
      </w:r>
    </w:p>
    <w:p>
      <w:pPr>
        <w:pBdr>
          <w:top w:val="single" w:color="BBBBBB" w:sz="6"/>
        </w:pBdr>
        <w:spacing w:before="200"/>
        <w:jc w:val="both"/>
      </w:pPr>
      <w:r>
        <w:rPr>
          <w:i/>
          <w:iCs/>
          <w:color w:val="666666"/>
          <w:sz w:val="20"/>
          <w:szCs w:val="20"/>
        </w:rPr>
        <w:t xml:space="preserve">Nota sobre el uso de este documento: no es el anteproyecto final. Es el insumo consolidado del cual se redacta el anteproyecto formal, siguiendo el formato exigido por su institución. Los campos entre corchetes deben completarse. Las secciones marcadas como VERIFICAR requieren confirmación con fuentes primarias antes de su inclusión definitiva.</w:t>
      </w:r>
    </w:p>
    <w:p>
      <w:r>
        <w:br w:type="page"/>
      </w:r>
    </w:p>
    <w:p>
      <w:pPr>
        <w:spacing w:after="200"/>
      </w:pPr>
      <w:r>
        <w:rPr>
          <w:b/>
          <w:bCs/>
          <w:color w:val="1F3864"/>
          <w:sz w:val="26"/>
          <w:szCs w:val="2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rPr>
          <w:i/>
          <w:iCs/>
          <w:color w:val="777777"/>
          <w:sz w:val="19"/>
          <w:szCs w:val="19"/>
        </w:rPr>
        <w:t xml:space="preserve">(Para actualizar el índice en Word: clic derecho sobre él → Actualizar campos → Actualizar toda la tabla.)</w:t>
      </w:r>
    </w:p>
    <w:p>
      <w:r>
        <w:br w:type="page"/>
      </w:r>
    </w:p>
    <w:p>
      <w:pPr>
        <w:pStyle w:val="Heading1"/>
        <w:spacing w:after="180" w:before="360"/>
      </w:pPr>
      <w:r>
        <w:t xml:space="preserve">1. Datos generales de la propuesta</w:t>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2600"/>
        <w:gridCol w:w="6760"/>
      </w:tblGrid>
      <w:tr>
        <w:tc>
          <w:tcPr>
            <w:tcW w:type="dxa" w:w="26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Campo</w:t>
            </w:r>
          </w:p>
        </w:tc>
        <w:tc>
          <w:tcPr>
            <w:tcW w:type="dxa" w:w="67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Contenido</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Título propuesto</w:t>
            </w:r>
          </w:p>
        </w:tc>
        <w:tc>
          <w:tcPr>
            <w:tcW w:type="dxa" w:w="6760"/>
            <w:tcMar>
              <w:top w:type="dxa" w:w="90"/>
              <w:left w:type="dxa" w:w="130"/>
              <w:bottom w:type="dxa" w:w="90"/>
              <w:right w:type="dxa" w:w="130"/>
            </w:tcMar>
            <w:vAlign w:val="center"/>
          </w:tcPr>
          <w:p>
            <w:pPr>
              <w:spacing w:after="0" w:line="250"/>
              <w:jc w:val="left"/>
            </w:pPr>
            <w:r>
              <w:rPr>
                <w:sz w:val="20"/>
                <w:szCs w:val="20"/>
              </w:rPr>
              <w:t xml:space="preserve">Modelo BIM-5D asistido por aprendizaje automático para la generación y validación de Análisis de Precios Unitarios en proyectos de instalaciones sanitarias. Caso: obra civil del sistema de drenaje de una clínica.</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Autor</w:t>
            </w:r>
          </w:p>
        </w:tc>
        <w:tc>
          <w:tcPr>
            <w:tcW w:type="dxa" w:w="6760"/>
            <w:tcMar>
              <w:top w:type="dxa" w:w="90"/>
              <w:left w:type="dxa" w:w="130"/>
              <w:bottom w:type="dxa" w:w="90"/>
              <w:right w:type="dxa" w:w="130"/>
            </w:tcMar>
            <w:vAlign w:val="center"/>
          </w:tcPr>
          <w:p>
            <w:pPr>
              <w:spacing w:after="0" w:line="250"/>
              <w:jc w:val="left"/>
            </w:pPr>
            <w:r>
              <w:rPr>
                <w:sz w:val="20"/>
                <w:szCs w:val="20"/>
              </w:rPr>
              <w:t xml:space="preserve">[Nombre completo — C.I. — Correo]</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Tutor académico</w:t>
            </w:r>
          </w:p>
        </w:tc>
        <w:tc>
          <w:tcPr>
            <w:tcW w:type="dxa" w:w="6760"/>
            <w:tcMar>
              <w:top w:type="dxa" w:w="90"/>
              <w:left w:type="dxa" w:w="130"/>
              <w:bottom w:type="dxa" w:w="90"/>
              <w:right w:type="dxa" w:w="130"/>
            </w:tcMar>
            <w:vAlign w:val="center"/>
          </w:tcPr>
          <w:p>
            <w:pPr>
              <w:spacing w:after="0" w:line="250"/>
              <w:jc w:val="left"/>
            </w:pPr>
            <w:r>
              <w:rPr>
                <w:sz w:val="20"/>
                <w:szCs w:val="20"/>
              </w:rPr>
              <w:t xml:space="preserve">[Por designar]</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Tutor técnico / industrial</w:t>
            </w:r>
          </w:p>
        </w:tc>
        <w:tc>
          <w:tcPr>
            <w:tcW w:type="dxa" w:w="6760"/>
            <w:tcMar>
              <w:top w:type="dxa" w:w="90"/>
              <w:left w:type="dxa" w:w="130"/>
              <w:bottom w:type="dxa" w:w="90"/>
              <w:right w:type="dxa" w:w="130"/>
            </w:tcMar>
            <w:vAlign w:val="center"/>
          </w:tcPr>
          <w:p>
            <w:pPr>
              <w:spacing w:after="0" w:line="250"/>
              <w:jc w:val="left"/>
            </w:pPr>
            <w:r>
              <w:rPr>
                <w:sz w:val="20"/>
                <w:szCs w:val="20"/>
              </w:rPr>
              <w:t xml:space="preserve">[Ingeniero civil asesor — recomendado formalizar]</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Línea de investigación</w:t>
            </w:r>
          </w:p>
        </w:tc>
        <w:tc>
          <w:tcPr>
            <w:tcW w:type="dxa" w:w="6760"/>
            <w:tcMar>
              <w:top w:type="dxa" w:w="90"/>
              <w:left w:type="dxa" w:w="130"/>
              <w:bottom w:type="dxa" w:w="90"/>
              <w:right w:type="dxa" w:w="130"/>
            </w:tcMar>
            <w:vAlign w:val="center"/>
          </w:tcPr>
          <w:p>
            <w:pPr>
              <w:spacing w:after="0" w:line="250"/>
              <w:jc w:val="left"/>
            </w:pPr>
            <w:r>
              <w:rPr>
                <w:sz w:val="20"/>
                <w:szCs w:val="20"/>
              </w:rPr>
              <w:t xml:space="preserve">Gestión de proyectos de construcción / Ingeniería de costos / Transformación digital de la construcción</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Tipo de investigación</w:t>
            </w:r>
          </w:p>
        </w:tc>
        <w:tc>
          <w:tcPr>
            <w:tcW w:type="dxa" w:w="6760"/>
            <w:tcMar>
              <w:top w:type="dxa" w:w="90"/>
              <w:left w:type="dxa" w:w="130"/>
              <w:bottom w:type="dxa" w:w="90"/>
              <w:right w:type="dxa" w:w="130"/>
            </w:tcMar>
            <w:vAlign w:val="center"/>
          </w:tcPr>
          <w:p>
            <w:pPr>
              <w:spacing w:after="0" w:line="250"/>
              <w:jc w:val="left"/>
            </w:pPr>
            <w:r>
              <w:rPr>
                <w:sz w:val="20"/>
                <w:szCs w:val="20"/>
              </w:rPr>
              <w:t xml:space="preserve">Proyectiva (tecnológica aplicada), con diseño de caso único</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Duración estimada</w:t>
            </w:r>
          </w:p>
        </w:tc>
        <w:tc>
          <w:tcPr>
            <w:tcW w:type="dxa" w:w="6760"/>
            <w:tcMar>
              <w:top w:type="dxa" w:w="90"/>
              <w:left w:type="dxa" w:w="130"/>
              <w:bottom w:type="dxa" w:w="90"/>
              <w:right w:type="dxa" w:w="130"/>
            </w:tcMar>
            <w:vAlign w:val="center"/>
          </w:tcPr>
          <w:p>
            <w:pPr>
              <w:spacing w:after="0" w:line="250"/>
              <w:jc w:val="left"/>
            </w:pPr>
            <w:r>
              <w:rPr>
                <w:sz w:val="20"/>
                <w:szCs w:val="20"/>
              </w:rPr>
              <w:t xml:space="preserve">24 semanas (6 meses) de ejecución técnica, excluyendo revisiones</w:t>
            </w:r>
          </w:p>
        </w:tc>
      </w:tr>
    </w:tbl>
    <w:p>
      <w:pPr>
        <w:spacing w:after="60" w:line="276"/>
        <w:jc w:val="both"/>
      </w:pPr>
      <w:r>
        <w:rPr>
          <w:sz w:val="22"/>
          <w:szCs w:val="22"/>
        </w:rPr>
        <w:t xml:space="preserve"/>
      </w:r>
    </w:p>
    <w:p>
      <w:pPr>
        <w:pStyle w:val="Heading2"/>
        <w:spacing w:after="140" w:before="260"/>
      </w:pPr>
      <w:r>
        <w:t xml:space="preserve">1.1 Resumen ejecutivo de la propuesta</w:t>
      </w:r>
    </w:p>
    <w:p>
      <w:pPr>
        <w:spacing w:after="120" w:line="276"/>
        <w:jc w:val="both"/>
      </w:pPr>
      <w:r>
        <w:rPr>
          <w:sz w:val="22"/>
          <w:szCs w:val="22"/>
        </w:rPr>
        <w:t xml:space="preserve">El proceso tradicional de presupuestación de obra en Venezuela mantiene desconectados tres artefactos que deberían derivarse unos de otros: el plano, el cómputo métrico y el Análisis de Precios Unitarios (APU). Cada uno se elabora en un soporte distinto —el plano en CAD o a mano alzada, el cómputo en una hoja de cálculo, el APU en un software especializado— y la transferencia de información entre ellos es manual. Esa desconexión produce errores que no son detectables por inspección visual del presupuesto final, porque no existe una cadena de trazabilidad que permita auditar de dónde salió cada cantidad.</w:t>
      </w:r>
    </w:p>
    <w:p>
      <w:pPr>
        <w:spacing w:after="120" w:line="276"/>
        <w:jc w:val="both"/>
      </w:pPr>
      <w:r>
        <w:rPr>
          <w:sz w:val="22"/>
          <w:szCs w:val="22"/>
        </w:rPr>
        <w:t xml:space="preserve">La presente propuesta plantea desarrollar un modelo BIM-5D que automatice esa cadena completa —geometría paramétrica → cómputo métrico → APU → presupuesto → curva de inversión— incorporando dos capas que ningún software de presupuesto disponible en el mercado venezolano ofrece: (a) un sistema de verificación automática de consistencia que aprovecha el conocimiento geométrico del modelo, y (b) un módulo de aprendizaje automático que normaliza descripciones de partidas contra el catálogo COVENIN y contrasta el precio unitario resultante con precios de referencia de mercado.</w:t>
      </w:r>
    </w:p>
    <w:p>
      <w:pPr>
        <w:spacing w:after="120" w:line="276"/>
        <w:jc w:val="both"/>
      </w:pPr>
      <w:r>
        <w:rPr>
          <w:sz w:val="22"/>
          <w:szCs w:val="22"/>
        </w:rPr>
        <w:t xml:space="preserve">El caso de estudio es la obra civil del sistema de drenaje de una clínica: 24 metros lineales de tubería de PVC de 4", cuatro tanquillas de inspección y las partidas asociadas de excavación, encofrado, vaciado de concreto y relleno. Se trata de un alcance deliberadamente acotado, seleccionado porque existe un presupuesto manual previo que sirve simultáneamente como línea base de comparación y como fuente de evidencia empírica del problema.</w:t>
      </w:r>
    </w:p>
    <w:p>
      <w:r>
        <w:br w:type="page"/>
      </w:r>
    </w:p>
    <w:p>
      <w:pPr>
        <w:pStyle w:val="Heading1"/>
        <w:spacing w:after="180" w:before="360"/>
      </w:pPr>
      <w:r>
        <w:t xml:space="preserve">2. Planteamiento del problema</w:t>
      </w:r>
    </w:p>
    <w:p>
      <w:pPr>
        <w:pStyle w:val="Heading2"/>
        <w:spacing w:after="140" w:before="260"/>
      </w:pPr>
      <w:r>
        <w:t xml:space="preserve">2.1 Contexto general</w:t>
      </w:r>
    </w:p>
    <w:p>
      <w:pPr>
        <w:spacing w:after="120" w:line="276"/>
        <w:jc w:val="both"/>
      </w:pPr>
      <w:r>
        <w:rPr>
          <w:sz w:val="22"/>
          <w:szCs w:val="22"/>
        </w:rPr>
        <w:t xml:space="preserve">La estimación de costos constituye el punto de articulación entre la formulación técnica de un proyecto y su evaluación financiera. En los términos del ciclo del proyecto de Miranda Miranda, es en la fase de preinversión —específicamente en el estudio de factibilidad y el diseño definitivo— donde se determina el presupuesto que servirá de referencia para todas las decisiones posteriores de inversión, contratación y control. Un error en esta fase no se corrige aguas abajo: se propaga hacia el flujo de fondos, distorsiona los indicadores de rentabilidad y compromete la viabilidad de la decisión de inversión.</w:t>
      </w:r>
    </w:p>
    <w:p>
      <w:pPr>
        <w:spacing w:after="120" w:line="276"/>
        <w:jc w:val="both"/>
      </w:pPr>
      <w:r>
        <w:rPr>
          <w:sz w:val="22"/>
          <w:szCs w:val="22"/>
        </w:rPr>
        <w:t xml:space="preserve">En el contexto venezolano, esta actividad presenta condiciones particulares que agravan el problema. La estructura del APU incorpora el Factor de Costos Asociados al Salario (FCAS), cuyo valor es elevado y volátil por su dependencia de la convención colectiva vigente y de la evolución inflacionaria; se suman el bono de alimentación (cestaticket), los factores de depreciación de equipos y, desde la dolarización de facto de la economía, la necesidad de operar simultáneamente en bolívares y en divisas. Los softwares regionales de presupuesto —LULOWIN, IP-3, MaPreX— resuelven estas particularidades del cálculo, pero operan sobre cómputos métricos que el usuario introduce manualmente: desconocen por completo la geometría del proyecto y, en consecuencia, no pueden verificar si las cantidades que reciben son correctas.</w:t>
      </w:r>
    </w:p>
    <w:p>
      <w:pPr>
        <w:pStyle w:val="Heading2"/>
        <w:spacing w:after="140" w:before="260"/>
      </w:pPr>
      <w:r>
        <w:t xml:space="preserve">2.2 Evidencia empírica del problema</w:t>
      </w:r>
    </w:p>
    <w:p>
      <w:pPr>
        <w:spacing w:after="120" w:line="276"/>
        <w:jc w:val="both"/>
      </w:pPr>
      <w:r>
        <w:rPr>
          <w:sz w:val="22"/>
          <w:szCs w:val="22"/>
        </w:rPr>
        <w:t xml:space="preserve">Con el objeto de dimensionar el problema de forma verificable, se auditó un presupuesto real elaborado mediante el procedimiento tradicional: la obra civil del sistema de drenaje de una clínica, con un monto total de 1.586,61 USD distribuido en cinco partidas. La auditoría consistió en recalcular cada cantidad a partir de las dimensiones declaradas en la memoria de cálculo y contrastar el resultado con los valores efectivamente empleados en el presupuesto.</w:t>
      </w:r>
    </w:p>
    <w:p>
      <w:pPr>
        <w:spacing w:after="120" w:line="276"/>
        <w:jc w:val="both"/>
      </w:pPr>
      <w:r>
        <w:rPr>
          <w:sz w:val="22"/>
          <w:szCs w:val="22"/>
        </w:rPr>
        <w:t xml:space="preserve">Se identificaron siete inconsistencias. Su importancia no radica en su magnitud individual, sino en que ninguna de ellas es detectable revisando el presupuesto final: todas requieren rehacer el cómputo desde la geometría para hacerse visibles.</w:t>
      </w:r>
    </w:p>
    <w:p>
      <w:pPr>
        <w:spacing w:after="60" w:line="276"/>
        <w:jc w:val="both"/>
      </w:pPr>
      <w:r>
        <w:rPr>
          <w:sz w:val="22"/>
          <w:szCs w:val="22"/>
        </w:rPr>
        <w:t xml:space="preserve"/>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1560"/>
        <w:gridCol w:w="4400"/>
        <w:gridCol w:w="3400"/>
      </w:tblGrid>
      <w:tr>
        <w:tc>
          <w:tcPr>
            <w:tcW w:type="dxa" w:w="15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Hallazgo</w:t>
            </w:r>
          </w:p>
        </w:tc>
        <w:tc>
          <w:tcPr>
            <w:tcW w:type="dxa" w:w="44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Evidencia documental</w:t>
            </w:r>
          </w:p>
        </w:tc>
        <w:tc>
          <w:tcPr>
            <w:tcW w:type="dxa" w:w="34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Implicación</w:t>
            </w:r>
          </w:p>
        </w:tc>
      </w:tr>
      <w:tr>
        <w:tc>
          <w:tcPr>
            <w:tcW w:type="dxa" w:w="1560"/>
            <w:shd w:fill="EEF2F7" w:color="auto" w:val="clear"/>
            <w:tcMar>
              <w:top w:type="dxa" w:w="90"/>
              <w:left w:type="dxa" w:w="130"/>
              <w:bottom w:type="dxa" w:w="90"/>
              <w:right w:type="dxa" w:w="130"/>
            </w:tcMar>
            <w:vAlign w:val="center"/>
          </w:tcPr>
          <w:p>
            <w:pPr>
              <w:spacing w:after="0" w:line="250"/>
              <w:jc w:val="left"/>
            </w:pPr>
            <w:r>
              <w:rPr>
                <w:b/>
                <w:bCs/>
                <w:sz w:val="20"/>
                <w:szCs w:val="20"/>
              </w:rPr>
              <w:t xml:space="preserve">1. Encofrado</w:t>
            </w:r>
          </w:p>
        </w:tc>
        <w:tc>
          <w:tcPr>
            <w:tcW w:type="dxa" w:w="4400"/>
            <w:tcMar>
              <w:top w:type="dxa" w:w="90"/>
              <w:left w:type="dxa" w:w="130"/>
              <w:bottom w:type="dxa" w:w="90"/>
              <w:right w:type="dxa" w:w="130"/>
            </w:tcMar>
            <w:vAlign w:val="center"/>
          </w:tcPr>
          <w:p>
            <w:pPr>
              <w:spacing w:after="0" w:line="250"/>
              <w:jc w:val="left"/>
            </w:pPr>
            <w:r>
              <w:rPr>
                <w:sz w:val="20"/>
                <w:szCs w:val="20"/>
              </w:rPr>
              <w:t xml:space="preserve">La memoria detalla 1,92 m² + 2,56 m² = 4,48 m² por tanquilla, pero el cómputo multiplica por 5,92 m². Total: 23,68 m² en vez de 17,92 m².</w:t>
            </w:r>
          </w:p>
        </w:tc>
        <w:tc>
          <w:tcPr>
            <w:tcW w:type="dxa" w:w="3400"/>
            <w:tcMar>
              <w:top w:type="dxa" w:w="90"/>
              <w:left w:type="dxa" w:w="130"/>
              <w:bottom w:type="dxa" w:w="90"/>
              <w:right w:type="dxa" w:w="130"/>
            </w:tcMar>
            <w:vAlign w:val="center"/>
          </w:tcPr>
          <w:p>
            <w:pPr>
              <w:spacing w:after="0" w:line="250"/>
              <w:jc w:val="left"/>
            </w:pPr>
            <w:r>
              <w:rPr>
                <w:sz w:val="20"/>
                <w:szCs w:val="20"/>
              </w:rPr>
              <w:t xml:space="preserve">Sobreestimación del 32 % en la partida de encofrado. Origen del valor 5,92 no justificado.</w:t>
            </w:r>
          </w:p>
        </w:tc>
      </w:tr>
      <w:tr>
        <w:tc>
          <w:tcPr>
            <w:tcW w:type="dxa" w:w="1560"/>
            <w:shd w:fill="EEF2F7" w:color="auto" w:val="clear"/>
            <w:tcMar>
              <w:top w:type="dxa" w:w="90"/>
              <w:left w:type="dxa" w:w="130"/>
              <w:bottom w:type="dxa" w:w="90"/>
              <w:right w:type="dxa" w:w="130"/>
            </w:tcMar>
            <w:vAlign w:val="center"/>
          </w:tcPr>
          <w:p>
            <w:pPr>
              <w:spacing w:after="0" w:line="250"/>
              <w:jc w:val="left"/>
            </w:pPr>
            <w:r>
              <w:rPr>
                <w:b/>
                <w:bCs/>
                <w:sz w:val="20"/>
                <w:szCs w:val="20"/>
              </w:rPr>
              <w:t xml:space="preserve">2. Concreto</w:t>
            </w:r>
          </w:p>
        </w:tc>
        <w:tc>
          <w:tcPr>
            <w:tcW w:type="dxa" w:w="4400"/>
            <w:tcMar>
              <w:top w:type="dxa" w:w="90"/>
              <w:left w:type="dxa" w:w="130"/>
              <w:bottom w:type="dxa" w:w="90"/>
              <w:right w:type="dxa" w:w="130"/>
            </w:tcMar>
            <w:vAlign w:val="center"/>
          </w:tcPr>
          <w:p>
            <w:pPr>
              <w:spacing w:after="0" w:line="250"/>
              <w:jc w:val="left"/>
            </w:pPr>
            <w:r>
              <w:rPr>
                <w:sz w:val="20"/>
                <w:szCs w:val="20"/>
              </w:rPr>
              <w:t xml:space="preserve">La memoria calcula 0,28 m² × 0,80 m = 0,224 m³ por tanquilla, pero el cómputo aplica 0,415 m³. Total: 1,66 m³ en vez de 0,896 m³.</w:t>
            </w:r>
          </w:p>
        </w:tc>
        <w:tc>
          <w:tcPr>
            <w:tcW w:type="dxa" w:w="3400"/>
            <w:tcMar>
              <w:top w:type="dxa" w:w="90"/>
              <w:left w:type="dxa" w:w="130"/>
              <w:bottom w:type="dxa" w:w="90"/>
              <w:right w:type="dxa" w:w="130"/>
            </w:tcMar>
            <w:vAlign w:val="center"/>
          </w:tcPr>
          <w:p>
            <w:pPr>
              <w:spacing w:after="0" w:line="250"/>
              <w:jc w:val="left"/>
            </w:pPr>
            <w:r>
              <w:rPr>
                <w:sz w:val="20"/>
                <w:szCs w:val="20"/>
              </w:rPr>
              <w:t xml:space="preserve">Sobreestimación del 85 % en la partida de mayor costo unitario (242,64 USD/m³; 402,78 USD de incidencia).</w:t>
            </w:r>
          </w:p>
        </w:tc>
      </w:tr>
      <w:tr>
        <w:tc>
          <w:tcPr>
            <w:tcW w:type="dxa" w:w="1560"/>
            <w:shd w:fill="EEF2F7" w:color="auto" w:val="clear"/>
            <w:tcMar>
              <w:top w:type="dxa" w:w="90"/>
              <w:left w:type="dxa" w:w="130"/>
              <w:bottom w:type="dxa" w:w="90"/>
              <w:right w:type="dxa" w:w="130"/>
            </w:tcMar>
            <w:vAlign w:val="center"/>
          </w:tcPr>
          <w:p>
            <w:pPr>
              <w:spacing w:after="0" w:line="250"/>
              <w:jc w:val="left"/>
            </w:pPr>
            <w:r>
              <w:rPr>
                <w:b/>
                <w:bCs/>
                <w:sz w:val="20"/>
                <w:szCs w:val="20"/>
              </w:rPr>
              <w:t xml:space="preserve">3. Curva S</w:t>
            </w:r>
          </w:p>
        </w:tc>
        <w:tc>
          <w:tcPr>
            <w:tcW w:type="dxa" w:w="4400"/>
            <w:tcMar>
              <w:top w:type="dxa" w:w="90"/>
              <w:left w:type="dxa" w:w="130"/>
              <w:bottom w:type="dxa" w:w="90"/>
              <w:right w:type="dxa" w:w="130"/>
            </w:tcMar>
            <w:vAlign w:val="center"/>
          </w:tcPr>
          <w:p>
            <w:pPr>
              <w:spacing w:after="0" w:line="250"/>
              <w:jc w:val="left"/>
            </w:pPr>
            <w:r>
              <w:rPr>
                <w:sz w:val="20"/>
                <w:szCs w:val="20"/>
              </w:rPr>
              <w:t xml:space="preserve">El gasto acumulado del plan de trabajo cierra en 1.575,50 USD (99,30 %), mientras el presupuesto asciende a 1.586,61 USD.</w:t>
            </w:r>
          </w:p>
        </w:tc>
        <w:tc>
          <w:tcPr>
            <w:tcW w:type="dxa" w:w="3400"/>
            <w:tcMar>
              <w:top w:type="dxa" w:w="90"/>
              <w:left w:type="dxa" w:w="130"/>
              <w:bottom w:type="dxa" w:w="90"/>
              <w:right w:type="dxa" w:w="130"/>
            </w:tcMar>
            <w:vAlign w:val="center"/>
          </w:tcPr>
          <w:p>
            <w:pPr>
              <w:spacing w:after="0" w:line="250"/>
              <w:jc w:val="left"/>
            </w:pPr>
            <w:r>
              <w:rPr>
                <w:sz w:val="20"/>
                <w:szCs w:val="20"/>
              </w:rPr>
              <w:t xml:space="preserve">La curva de inversión no cierra al 100 %. Diferencia no conciliada de 11,11 USD.</w:t>
            </w:r>
          </w:p>
        </w:tc>
      </w:tr>
      <w:tr>
        <w:tc>
          <w:tcPr>
            <w:tcW w:type="dxa" w:w="1560"/>
            <w:shd w:fill="EEF2F7" w:color="auto" w:val="clear"/>
            <w:tcMar>
              <w:top w:type="dxa" w:w="90"/>
              <w:left w:type="dxa" w:w="130"/>
              <w:bottom w:type="dxa" w:w="90"/>
              <w:right w:type="dxa" w:w="130"/>
            </w:tcMar>
            <w:vAlign w:val="center"/>
          </w:tcPr>
          <w:p>
            <w:pPr>
              <w:spacing w:after="0" w:line="250"/>
              <w:jc w:val="left"/>
            </w:pPr>
            <w:r>
              <w:rPr>
                <w:b/>
                <w:bCs/>
                <w:sz w:val="20"/>
                <w:szCs w:val="20"/>
              </w:rPr>
              <w:t xml:space="preserve">4. Unidades</w:t>
            </w:r>
          </w:p>
        </w:tc>
        <w:tc>
          <w:tcPr>
            <w:tcW w:type="dxa" w:w="4400"/>
            <w:tcMar>
              <w:top w:type="dxa" w:w="90"/>
              <w:left w:type="dxa" w:w="130"/>
              <w:bottom w:type="dxa" w:w="90"/>
              <w:right w:type="dxa" w:w="130"/>
            </w:tcMar>
            <w:vAlign w:val="center"/>
          </w:tcPr>
          <w:p>
            <w:pPr>
              <w:spacing w:after="0" w:line="250"/>
              <w:jc w:val="left"/>
            </w:pPr>
            <w:r>
              <w:rPr>
                <w:sz w:val="20"/>
                <w:szCs w:val="20"/>
              </w:rPr>
              <w:t xml:space="preserve">El APU de tubería está definido en unidad "Pieza", mientras el cómputo métrico la cuantifica en metros lineales (24 m).</w:t>
            </w:r>
          </w:p>
        </w:tc>
        <w:tc>
          <w:tcPr>
            <w:tcW w:type="dxa" w:w="3400"/>
            <w:tcMar>
              <w:top w:type="dxa" w:w="90"/>
              <w:left w:type="dxa" w:w="130"/>
              <w:bottom w:type="dxa" w:w="90"/>
              <w:right w:type="dxa" w:w="130"/>
            </w:tcMar>
            <w:vAlign w:val="center"/>
          </w:tcPr>
          <w:p>
            <w:pPr>
              <w:spacing w:after="0" w:line="250"/>
              <w:jc w:val="left"/>
            </w:pPr>
            <w:r>
              <w:rPr>
                <w:sz w:val="20"/>
                <w:szCs w:val="20"/>
              </w:rPr>
              <w:t xml:space="preserve">Incompatibilidad dimensional entre el APU y el cómputo que lo consume.</w:t>
            </w:r>
          </w:p>
        </w:tc>
      </w:tr>
      <w:tr>
        <w:tc>
          <w:tcPr>
            <w:tcW w:type="dxa" w:w="1560"/>
            <w:shd w:fill="EEF2F7" w:color="auto" w:val="clear"/>
            <w:tcMar>
              <w:top w:type="dxa" w:w="90"/>
              <w:left w:type="dxa" w:w="130"/>
              <w:bottom w:type="dxa" w:w="90"/>
              <w:right w:type="dxa" w:w="130"/>
            </w:tcMar>
            <w:vAlign w:val="center"/>
          </w:tcPr>
          <w:p>
            <w:pPr>
              <w:spacing w:after="0" w:line="250"/>
              <w:jc w:val="left"/>
            </w:pPr>
            <w:r>
              <w:rPr>
                <w:b/>
                <w:bCs/>
                <w:sz w:val="20"/>
                <w:szCs w:val="20"/>
              </w:rPr>
              <w:t xml:space="preserve">5. Diámetro</w:t>
            </w:r>
          </w:p>
        </w:tc>
        <w:tc>
          <w:tcPr>
            <w:tcW w:type="dxa" w:w="4400"/>
            <w:tcMar>
              <w:top w:type="dxa" w:w="90"/>
              <w:left w:type="dxa" w:w="130"/>
              <w:bottom w:type="dxa" w:w="90"/>
              <w:right w:type="dxa" w:w="130"/>
            </w:tcMar>
            <w:vAlign w:val="center"/>
          </w:tcPr>
          <w:p>
            <w:pPr>
              <w:spacing w:after="0" w:line="250"/>
              <w:jc w:val="left"/>
            </w:pPr>
            <w:r>
              <w:rPr>
                <w:sz w:val="20"/>
                <w:szCs w:val="20"/>
              </w:rPr>
              <w:t xml:space="preserve">La memoria de cómputo registra 3/4" en el renglón de tubería, cuando el sistema proyectado y el APU corresponden a 4".</w:t>
            </w:r>
          </w:p>
        </w:tc>
        <w:tc>
          <w:tcPr>
            <w:tcW w:type="dxa" w:w="3400"/>
            <w:tcMar>
              <w:top w:type="dxa" w:w="90"/>
              <w:left w:type="dxa" w:w="130"/>
              <w:bottom w:type="dxa" w:w="90"/>
              <w:right w:type="dxa" w:w="130"/>
            </w:tcMar>
            <w:vAlign w:val="center"/>
          </w:tcPr>
          <w:p>
            <w:pPr>
              <w:spacing w:after="0" w:line="250"/>
              <w:jc w:val="left"/>
            </w:pPr>
            <w:r>
              <w:rPr>
                <w:sz w:val="20"/>
                <w:szCs w:val="20"/>
              </w:rPr>
              <w:t xml:space="preserve">Error de transcripción que sobrevive por ausencia de validación cruzada.</w:t>
            </w:r>
          </w:p>
        </w:tc>
      </w:tr>
      <w:tr>
        <w:tc>
          <w:tcPr>
            <w:tcW w:type="dxa" w:w="1560"/>
            <w:shd w:fill="EEF2F7" w:color="auto" w:val="clear"/>
            <w:tcMar>
              <w:top w:type="dxa" w:w="90"/>
              <w:left w:type="dxa" w:w="130"/>
              <w:bottom w:type="dxa" w:w="90"/>
              <w:right w:type="dxa" w:w="130"/>
            </w:tcMar>
            <w:vAlign w:val="center"/>
          </w:tcPr>
          <w:p>
            <w:pPr>
              <w:spacing w:after="0" w:line="250"/>
              <w:jc w:val="left"/>
            </w:pPr>
            <w:r>
              <w:rPr>
                <w:b/>
                <w:bCs/>
                <w:sz w:val="20"/>
                <w:szCs w:val="20"/>
              </w:rPr>
              <w:t xml:space="preserve">6. Relleno</w:t>
            </w:r>
          </w:p>
        </w:tc>
        <w:tc>
          <w:tcPr>
            <w:tcW w:type="dxa" w:w="4400"/>
            <w:tcMar>
              <w:top w:type="dxa" w:w="90"/>
              <w:left w:type="dxa" w:w="130"/>
              <w:bottom w:type="dxa" w:w="90"/>
              <w:right w:type="dxa" w:w="130"/>
            </w:tcMar>
            <w:vAlign w:val="center"/>
          </w:tcPr>
          <w:p>
            <w:pPr>
              <w:spacing w:after="0" w:line="250"/>
              <w:jc w:val="left"/>
            </w:pPr>
            <w:r>
              <w:rPr>
                <w:sz w:val="20"/>
                <w:szCs w:val="20"/>
              </w:rPr>
              <w:t xml:space="preserve">Se excavan 9,74 m³ y se rellenan 1,30 m³, sin que la diferencia esté justificada por volumen de concreto, tubería o transporte de material sobrante.</w:t>
            </w:r>
          </w:p>
        </w:tc>
        <w:tc>
          <w:tcPr>
            <w:tcW w:type="dxa" w:w="3400"/>
            <w:tcMar>
              <w:top w:type="dxa" w:w="90"/>
              <w:left w:type="dxa" w:w="130"/>
              <w:bottom w:type="dxa" w:w="90"/>
              <w:right w:type="dxa" w:w="130"/>
            </w:tcMar>
            <w:vAlign w:val="center"/>
          </w:tcPr>
          <w:p>
            <w:pPr>
              <w:spacing w:after="0" w:line="250"/>
              <w:jc w:val="left"/>
            </w:pPr>
            <w:r>
              <w:rPr>
                <w:sz w:val="20"/>
                <w:szCs w:val="20"/>
              </w:rPr>
              <w:t xml:space="preserve">Balance volumétrico incoherente. Faltan aproximadamente 7 m³ de relleno.</w:t>
            </w:r>
          </w:p>
        </w:tc>
      </w:tr>
      <w:tr>
        <w:tc>
          <w:tcPr>
            <w:tcW w:type="dxa" w:w="1560"/>
            <w:shd w:fill="EEF2F7" w:color="auto" w:val="clear"/>
            <w:tcMar>
              <w:top w:type="dxa" w:w="90"/>
              <w:left w:type="dxa" w:w="130"/>
              <w:bottom w:type="dxa" w:w="90"/>
              <w:right w:type="dxa" w:w="130"/>
            </w:tcMar>
            <w:vAlign w:val="center"/>
          </w:tcPr>
          <w:p>
            <w:pPr>
              <w:spacing w:after="0" w:line="250"/>
              <w:jc w:val="left"/>
            </w:pPr>
            <w:r>
              <w:rPr>
                <w:b/>
                <w:bCs/>
                <w:sz w:val="20"/>
                <w:szCs w:val="20"/>
              </w:rPr>
              <w:t xml:space="preserve">7. Depreciación</w:t>
            </w:r>
          </w:p>
        </w:tc>
        <w:tc>
          <w:tcPr>
            <w:tcW w:type="dxa" w:w="4400"/>
            <w:tcMar>
              <w:top w:type="dxa" w:w="90"/>
              <w:left w:type="dxa" w:w="130"/>
              <w:bottom w:type="dxa" w:w="90"/>
              <w:right w:type="dxa" w:w="130"/>
            </w:tcMar>
            <w:vAlign w:val="center"/>
          </w:tcPr>
          <w:p>
            <w:pPr>
              <w:spacing w:after="0" w:line="250"/>
              <w:jc w:val="left"/>
            </w:pPr>
            <w:r>
              <w:rPr>
                <w:sz w:val="20"/>
                <w:szCs w:val="20"/>
              </w:rPr>
              <w:t xml:space="preserve">Se aplican factores de 1,00 y de 0,03 a distintos equipos dentro del mismo APU sin criterio de amortización declarado.</w:t>
            </w:r>
          </w:p>
        </w:tc>
        <w:tc>
          <w:tcPr>
            <w:tcW w:type="dxa" w:w="3400"/>
            <w:tcMar>
              <w:top w:type="dxa" w:w="90"/>
              <w:left w:type="dxa" w:w="130"/>
              <w:bottom w:type="dxa" w:w="90"/>
              <w:right w:type="dxa" w:w="130"/>
            </w:tcMar>
            <w:vAlign w:val="center"/>
          </w:tcPr>
          <w:p>
            <w:pPr>
              <w:spacing w:after="0" w:line="250"/>
              <w:jc w:val="left"/>
            </w:pPr>
            <w:r>
              <w:rPr>
                <w:sz w:val="20"/>
                <w:szCs w:val="20"/>
              </w:rPr>
              <w:t xml:space="preserve">Regla de imputación de equipos no documentada ni reproducible.</w:t>
            </w:r>
          </w:p>
        </w:tc>
      </w:tr>
    </w:tbl>
    <w:p>
      <w:pPr>
        <w:spacing w:after="60" w:line="276"/>
        <w:jc w:val="both"/>
      </w:pPr>
      <w:r>
        <w:rPr>
          <w:sz w:val="22"/>
          <w:szCs w:val="22"/>
        </w:rPr>
        <w:t xml:space="preserve"/>
      </w:r>
    </w:p>
    <w:p>
      <w:pPr>
        <w:spacing w:after="120" w:line="276"/>
        <w:jc w:val="both"/>
      </w:pPr>
      <w:r>
        <w:rPr>
          <w:sz w:val="22"/>
          <w:szCs w:val="22"/>
        </w:rPr>
        <w:t xml:space="preserve">Adicionalmente, el análisis financiero asociado al proyecto de inversión de la clínica presenta un error de escala temporal: la magnitud rotulada como "Ingreso Bruto Mensual" (669.000 USD) corresponde en realidad al ingreso diario, y el costo de insumos se declara nulo para los servicios de cirugía y hospitalización. Ambas condiciones producen un punto de equilibrio de 0,31 días y un margen neto del 69 %, valores que no resisten contraste con los parámetros del sector salud. Aunque este componente excede el alcance de la propuesta, se documenta porque ilustra la misma patología: la ausencia de verificación automática de consistencia entre magnitudes relacionadas.</w:t>
      </w:r>
    </w:p>
    <w:p>
      <w:pPr>
        <w:pStyle w:val="Heading2"/>
        <w:spacing w:after="140" w:before="260"/>
      </w:pPr>
      <w:r>
        <w:t xml:space="preserve">2.3 Naturaleza del problema</w:t>
      </w:r>
    </w:p>
    <w:p>
      <w:pPr>
        <w:spacing w:after="120" w:line="276"/>
        <w:jc w:val="both"/>
      </w:pPr>
      <w:r>
        <w:rPr>
          <w:sz w:val="22"/>
          <w:szCs w:val="22"/>
        </w:rPr>
        <w:t xml:space="preserve">El análisis de las siete inconsistencias revela que ninguna es atribuible a impericia técnica del proyectista. Todas comparten un mismo origen estructural: la información se transfiere manualmente entre soportes que no se comunican, y no existe ninguna instancia que verifique que el cómputo derive efectivamente de la geometría del proyecto ni que el presupuesto cierre contra el plan de trabajo.</w:t>
      </w:r>
    </w:p>
    <w:p>
      <w:pPr>
        <w:spacing w:after="120" w:line="276"/>
        <w:jc w:val="both"/>
      </w:pPr>
      <w:r>
        <w:rPr>
          <w:b w:val="false"/>
          <w:bCs w:val="false"/>
          <w:sz w:val="22"/>
          <w:szCs w:val="22"/>
        </w:rPr>
        <w:t xml:space="preserve">El problema, entonces, no es de cálculo sino de </w:t>
      </w:r>
      <w:r>
        <w:rPr>
          <w:b/>
          <w:bCs/>
          <w:sz w:val="22"/>
          <w:szCs w:val="22"/>
        </w:rPr>
        <w:t xml:space="preserve">trazabilidad</w:t>
      </w:r>
      <w:r>
        <w:rPr>
          <w:b w:val="false"/>
          <w:bCs w:val="false"/>
          <w:sz w:val="22"/>
          <w:szCs w:val="22"/>
        </w:rPr>
        <w:t xml:space="preserve">: la cadena que va del plano al presupuesto está rota en múltiples puntos, y esa ruptura hace que los errores sean estructuralmente indetectables por los medios de revisión habituales.</w:t>
      </w:r>
    </w:p>
    <w:p>
      <w:pPr>
        <w:pStyle w:val="Heading2"/>
        <w:spacing w:after="140" w:before="260"/>
      </w:pPr>
      <w:r>
        <w:t xml:space="preserve">2.4 Formulación del problema</w:t>
      </w:r>
    </w:p>
    <w:p>
      <w:pPr>
        <w:spacing w:after="60" w:line="276"/>
        <w:jc w:val="both"/>
      </w:pPr>
      <w:r>
        <w:rPr>
          <w:b/>
          <w:bCs/>
          <w:sz w:val="22"/>
          <w:szCs w:val="22"/>
        </w:rPr>
        <w:t xml:space="preserve">Pregunta principal:</w:t>
      </w:r>
    </w:p>
    <w:p>
      <w:pPr>
        <w:spacing w:after="120" w:line="276"/>
        <w:ind w:left="360"/>
        <w:jc w:val="both"/>
      </w:pPr>
      <w:r>
        <w:rPr>
          <w:i/>
          <w:iCs/>
          <w:sz w:val="22"/>
          <w:szCs w:val="22"/>
        </w:rPr>
        <w:t xml:space="preserve">¿Cómo automatizar la cadena de trazabilidad desde el modelo geométrico tridimensional hasta el presupuesto de obra, de manera que los Análisis de Precios Unitarios resultantes sean verificables en su consistencia interna y contrastables con los precios vigentes en el mercado venezolano?</w:t>
      </w:r>
    </w:p>
    <w:p>
      <w:pPr>
        <w:spacing w:after="60" w:line="276"/>
        <w:jc w:val="both"/>
      </w:pPr>
      <w:r>
        <w:rPr>
          <w:b/>
          <w:bCs/>
          <w:sz w:val="22"/>
          <w:szCs w:val="22"/>
        </w:rPr>
        <w:t xml:space="preserve">Preguntas secundarias:</w:t>
      </w:r>
    </w:p>
    <w:p>
      <w:pPr>
        <w:pStyle w:val="ListParagraph"/>
        <w:numPr>
          <w:ilvl w:val="0"/>
          <w:numId w:val="2"/>
        </w:numPr>
        <w:spacing w:after="90" w:line="276"/>
        <w:jc w:val="both"/>
      </w:pPr>
      <w:r>
        <w:rPr>
          <w:sz w:val="22"/>
          <w:szCs w:val="22"/>
        </w:rPr>
        <w:t xml:space="preserve">¿Qué nivel de desarrollo (LOD) debe alcanzar el modelo tridimensional para que la extracción automática de cantidades sea confiable a efectos presupuestarios?</w:t>
      </w:r>
    </w:p>
    <w:p>
      <w:pPr>
        <w:pStyle w:val="ListParagraph"/>
        <w:numPr>
          <w:ilvl w:val="0"/>
          <w:numId w:val="2"/>
        </w:numPr>
        <w:spacing w:after="90" w:line="276"/>
        <w:jc w:val="both"/>
      </w:pPr>
      <w:r>
        <w:rPr>
          <w:sz w:val="22"/>
          <w:szCs w:val="22"/>
        </w:rPr>
        <w:t xml:space="preserve">¿Qué reglas paramétricas permiten derivar las cantidades de obra de las instalaciones sanitarias directamente de la geometría, sin intervención manual?</w:t>
      </w:r>
    </w:p>
    <w:p>
      <w:pPr>
        <w:pStyle w:val="ListParagraph"/>
        <w:numPr>
          <w:ilvl w:val="0"/>
          <w:numId w:val="2"/>
        </w:numPr>
        <w:spacing w:after="90" w:line="276"/>
        <w:jc w:val="both"/>
      </w:pPr>
      <w:r>
        <w:rPr>
          <w:sz w:val="22"/>
          <w:szCs w:val="22"/>
        </w:rPr>
        <w:t xml:space="preserve">¿Qué técnica de aprendizaje automático resulta más adecuada para clasificar partidas y predecir precios unitarios en condiciones de disponibilidad limitada de datos?</w:t>
      </w:r>
    </w:p>
    <w:p>
      <w:pPr>
        <w:pStyle w:val="ListParagraph"/>
        <w:numPr>
          <w:ilvl w:val="0"/>
          <w:numId w:val="2"/>
        </w:numPr>
        <w:spacing w:after="90" w:line="276"/>
        <w:jc w:val="both"/>
      </w:pPr>
      <w:r>
        <w:rPr>
          <w:sz w:val="22"/>
          <w:szCs w:val="22"/>
        </w:rPr>
        <w:t xml:space="preserve">¿Qué verificaciones automáticas de consistencia pueden implementarse a partir del conocimiento geométrico que un software de presupuesto convencional no posee?</w:t>
      </w:r>
    </w:p>
    <w:p>
      <w:pPr>
        <w:pStyle w:val="ListParagraph"/>
        <w:numPr>
          <w:ilvl w:val="0"/>
          <w:numId w:val="2"/>
        </w:numPr>
        <w:spacing w:after="90" w:line="276"/>
        <w:jc w:val="both"/>
      </w:pPr>
      <w:r>
        <w:rPr>
          <w:sz w:val="22"/>
          <w:szCs w:val="22"/>
        </w:rPr>
        <w:t xml:space="preserve">¿Qué grado de exactitud alcanza el presupuesto generado automáticamente frente al elaborado por el procedimiento tradicional, medido según las clases de estimación de AACE International?</w:t>
      </w:r>
    </w:p>
    <w:p>
      <w:r>
        <w:br w:type="page"/>
      </w:r>
    </w:p>
    <w:p>
      <w:pPr>
        <w:pStyle w:val="Heading1"/>
        <w:spacing w:after="180" w:before="360"/>
      </w:pPr>
      <w:r>
        <w:t xml:space="preserve">3. Objetivos de la investigación</w:t>
      </w:r>
    </w:p>
    <w:p>
      <w:pPr>
        <w:pStyle w:val="Heading2"/>
        <w:spacing w:after="140" w:before="260"/>
      </w:pPr>
      <w:r>
        <w:t xml:space="preserve">3.1 Objetivo general</w:t>
      </w:r>
    </w:p>
    <w:p>
      <w:pPr>
        <w:pBdr>
          <w:left w:val="single" w:color="1F3864" w:sz="12" w:space="12"/>
        </w:pBdr>
        <w:spacing w:after="200" w:line="276"/>
        <w:ind w:left="360"/>
        <w:jc w:val="both"/>
      </w:pPr>
      <w:r>
        <w:rPr>
          <w:b/>
          <w:bCs/>
          <w:sz w:val="22"/>
          <w:szCs w:val="22"/>
        </w:rPr>
        <w:t xml:space="preserve">Desarrollar un modelo BIM-5D asistido por aprendizaje automático para la generación y validación de Análisis de Precios Unitarios en proyectos de instalaciones sanitarias, aplicado al caso de la obra civil del sistema de drenaje de una clínica.</w:t>
      </w:r>
    </w:p>
    <w:p>
      <w:pPr>
        <w:pStyle w:val="Heading2"/>
        <w:spacing w:after="140" w:before="260"/>
      </w:pPr>
      <w:r>
        <w:t xml:space="preserve">3.2 Objetivos específicos</w:t>
      </w:r>
    </w:p>
    <w:p>
      <w:pPr>
        <w:pStyle w:val="ListParagraph"/>
        <w:numPr>
          <w:ilvl w:val="0"/>
          <w:numId w:val="3"/>
        </w:numPr>
        <w:spacing w:after="90" w:line="276"/>
        <w:jc w:val="both"/>
      </w:pPr>
      <w:r>
        <w:rPr>
          <w:b/>
          <w:bCs/>
          <w:sz w:val="22"/>
          <w:szCs w:val="22"/>
        </w:rPr>
        <w:t xml:space="preserve">Diagnosticar</w:t>
      </w:r>
      <w:r>
        <w:rPr>
          <w:sz w:val="22"/>
          <w:szCs w:val="22"/>
        </w:rPr>
        <w:t xml:space="preserve"> las inconsistencias del proceso manual vigente de cómputo métrico, análisis de precios unitarios y presupuesto, estableciendo una línea base cuantificada de errores y tiempos de elaboración.</w:t>
      </w:r>
    </w:p>
    <w:p>
      <w:pPr>
        <w:pStyle w:val="ListParagraph"/>
        <w:numPr>
          <w:ilvl w:val="0"/>
          <w:numId w:val="3"/>
        </w:numPr>
        <w:spacing w:after="90" w:line="276"/>
        <w:jc w:val="both"/>
      </w:pPr>
      <w:r>
        <w:rPr>
          <w:b/>
          <w:bCs/>
          <w:sz w:val="22"/>
          <w:szCs w:val="22"/>
        </w:rPr>
        <w:t xml:space="preserve">Estructurar</w:t>
      </w:r>
      <w:r>
        <w:rPr>
          <w:sz w:val="22"/>
          <w:szCs w:val="22"/>
        </w:rPr>
        <w:t xml:space="preserve"> el modelo tridimensional paramétrico del sistema de instalaciones sanitarias y su procedimiento de extracción automática de cantidades de obra en formato abierto IFC.</w:t>
      </w:r>
    </w:p>
    <w:p>
      <w:pPr>
        <w:pStyle w:val="ListParagraph"/>
        <w:numPr>
          <w:ilvl w:val="0"/>
          <w:numId w:val="3"/>
        </w:numPr>
        <w:spacing w:after="90" w:line="276"/>
        <w:jc w:val="both"/>
      </w:pPr>
      <w:r>
        <w:rPr>
          <w:b/>
          <w:bCs/>
          <w:sz w:val="22"/>
          <w:szCs w:val="22"/>
        </w:rPr>
        <w:t xml:space="preserve">Diseñar</w:t>
      </w:r>
      <w:r>
        <w:rPr>
          <w:sz w:val="22"/>
          <w:szCs w:val="22"/>
        </w:rPr>
        <w:t xml:space="preserve"> la base de datos de partidas, rendimientos e insumos bajo codificación COVENIN, incorporando de forma explícita las reglas de cálculo del Factor de Costos Asociados al Salario, el bono de alimentación y la depreciación de equipos.</w:t>
      </w:r>
    </w:p>
    <w:p>
      <w:pPr>
        <w:pStyle w:val="ListParagraph"/>
        <w:numPr>
          <w:ilvl w:val="0"/>
          <w:numId w:val="3"/>
        </w:numPr>
        <w:spacing w:after="90" w:line="276"/>
        <w:jc w:val="both"/>
      </w:pPr>
      <w:r>
        <w:rPr>
          <w:b/>
          <w:bCs/>
          <w:sz w:val="22"/>
          <w:szCs w:val="22"/>
        </w:rPr>
        <w:t xml:space="preserve">Implementar</w:t>
      </w:r>
      <w:r>
        <w:rPr>
          <w:sz w:val="22"/>
          <w:szCs w:val="22"/>
        </w:rPr>
        <w:t xml:space="preserve"> el módulo de aprendizaje automático para la normalización semántica de descripciones de partidas, la predicción de precios unitarios de mercado y la detección de valores atípicos.</w:t>
      </w:r>
    </w:p>
    <w:p>
      <w:pPr>
        <w:pStyle w:val="ListParagraph"/>
        <w:numPr>
          <w:ilvl w:val="0"/>
          <w:numId w:val="3"/>
        </w:numPr>
        <w:spacing w:after="90" w:line="276"/>
        <w:jc w:val="both"/>
      </w:pPr>
      <w:r>
        <w:rPr>
          <w:b/>
          <w:bCs/>
          <w:sz w:val="22"/>
          <w:szCs w:val="22"/>
        </w:rPr>
        <w:t xml:space="preserve">Desarrollar</w:t>
      </w:r>
      <w:r>
        <w:rPr>
          <w:sz w:val="22"/>
          <w:szCs w:val="22"/>
        </w:rPr>
        <w:t xml:space="preserve"> el sistema de verificación automática de consistencia entre geometría, cómputo métrico, presupuesto y curva de inversión.</w:t>
      </w:r>
    </w:p>
    <w:p>
      <w:pPr>
        <w:pStyle w:val="ListParagraph"/>
        <w:numPr>
          <w:ilvl w:val="0"/>
          <w:numId w:val="3"/>
        </w:numPr>
        <w:spacing w:after="90" w:line="276"/>
        <w:jc w:val="both"/>
      </w:pPr>
      <w:r>
        <w:rPr>
          <w:b/>
          <w:bCs/>
          <w:sz w:val="22"/>
          <w:szCs w:val="22"/>
        </w:rPr>
        <w:t xml:space="preserve">Evaluar</w:t>
      </w:r>
      <w:r>
        <w:rPr>
          <w:sz w:val="22"/>
          <w:szCs w:val="22"/>
        </w:rPr>
        <w:t xml:space="preserve"> la exactitud y el desempeño del modelo propuesto frente al presupuesto elaborado manualmente y frente a precios de referencia de mercado, empleando las clases de estimación de AACE International como marco de contraste.</w:t>
      </w:r>
    </w:p>
    <w:p>
      <w:pPr>
        <w:spacing w:after="60" w:line="276"/>
        <w:jc w:val="both"/>
      </w:pPr>
      <w:r>
        <w:rPr>
          <w:sz w:val="22"/>
          <w:szCs w:val="22"/>
        </w:rPr>
        <w:t xml:space="preserve"/>
      </w:r>
    </w:p>
    <w:p>
      <w:pPr>
        <w:spacing w:after="120" w:line="276"/>
        <w:jc w:val="both"/>
      </w:pPr>
      <w:r>
        <w:rPr>
          <w:i/>
          <w:iCs/>
          <w:sz w:val="20"/>
          <w:szCs w:val="20"/>
        </w:rPr>
        <w:t xml:space="preserve">Observación metodológica: los seis objetivos específicos guardan correspondencia uno a uno con las fases del marco metodológico (sección 7) y con los productos del cronograma (sección 10). Esta correspondencia debe mantenerse al redactar el anteproyecto formal, pues es el criterio de coherencia que evalúa cualquier jurado.</w:t>
      </w:r>
    </w:p>
    <w:p>
      <w:r>
        <w:br w:type="page"/>
      </w:r>
    </w:p>
    <w:p>
      <w:pPr>
        <w:pStyle w:val="Heading1"/>
        <w:spacing w:after="180" w:before="360"/>
      </w:pPr>
      <w:r>
        <w:t xml:space="preserve">4. Justificación</w:t>
      </w:r>
    </w:p>
    <w:p>
      <w:pPr>
        <w:pStyle w:val="Heading2"/>
        <w:spacing w:after="140" w:before="260"/>
      </w:pPr>
      <w:r>
        <w:t xml:space="preserve">4.1 Justificación técnica</w:t>
      </w:r>
    </w:p>
    <w:p>
      <w:pPr>
        <w:spacing w:after="120" w:line="276"/>
        <w:jc w:val="both"/>
      </w:pPr>
      <w:r>
        <w:rPr>
          <w:sz w:val="22"/>
          <w:szCs w:val="22"/>
        </w:rPr>
        <w:t xml:space="preserve">Las inconsistencias documentadas en la sección 2.2 no constituyen un caso aislado. Son la manifestación previsible de un procedimiento en el que la información se transcribe manualmente entre soportes desconectados. Un modelo que derive las cantidades directamente de la geometría paramétrica hace estructuralmente imposibles seis de los siete errores identificados: no pueden ocurrir porque las cantidades dejan de escribirse a mano.</w:t>
      </w:r>
    </w:p>
    <w:p>
      <w:pPr>
        <w:pStyle w:val="Heading2"/>
        <w:spacing w:after="140" w:before="260"/>
      </w:pPr>
      <w:r>
        <w:t xml:space="preserve">4.2 Justificación metodológica</w:t>
      </w:r>
    </w:p>
    <w:p>
      <w:pPr>
        <w:spacing w:after="120" w:line="276"/>
        <w:jc w:val="both"/>
      </w:pPr>
      <w:r>
        <w:rPr>
          <w:sz w:val="22"/>
          <w:szCs w:val="22"/>
        </w:rPr>
        <w:t xml:space="preserve">La propuesta articula tres campos que la literatura ha desarrollado de manera predominantemente separada: la automatización del cómputo métrico desde modelos BIM, la aplicación de técnicas de aprendizaje automático a la estimación de costos, y la particularidad normativa y económica del contexto venezolano. La revisión de antecedentes (sección 6) no identificó trabajos que integren los tres elementos.</w:t>
      </w:r>
    </w:p>
    <w:p>
      <w:pPr>
        <w:pStyle w:val="Heading2"/>
        <w:spacing w:after="140" w:before="260"/>
      </w:pPr>
      <w:r>
        <w:t xml:space="preserve">4.3 Justificación práctica</w:t>
      </w:r>
    </w:p>
    <w:p>
      <w:pPr>
        <w:spacing w:after="120" w:line="276"/>
        <w:jc w:val="both"/>
      </w:pPr>
      <w:r>
        <w:rPr>
          <w:sz w:val="22"/>
          <w:szCs w:val="22"/>
        </w:rPr>
        <w:t xml:space="preserve">El producto es directamente utilizable por oficinas de proyecto y unidades de control de obra. La capa de verificación automática es independiente del resto del sistema y puede aplicarse a presupuestos elaborados por procedimientos convencionales, lo que amplía su aprovechamiento más allá del caso de estudio.</w:t>
      </w:r>
    </w:p>
    <w:p>
      <w:pPr>
        <w:pStyle w:val="Heading2"/>
        <w:spacing w:after="140" w:before="260"/>
      </w:pPr>
      <w:r>
        <w:t xml:space="preserve">4.4 Justificación institucional</w:t>
      </w:r>
    </w:p>
    <w:p>
      <w:pPr>
        <w:spacing w:after="120" w:line="276"/>
        <w:jc w:val="both"/>
      </w:pPr>
      <w:r>
        <w:rPr>
          <w:sz w:val="22"/>
          <w:szCs w:val="22"/>
        </w:rPr>
        <w:t xml:space="preserve">La adopción de metodologías BIM en Venezuela se encuentra rezagada respecto de la región. Existen iniciativas del Colegio de Ingenieros de Venezuela orientadas a un plan nacional de incorporación de BIM, y la propuesta se inscribe en esa dirección aportando un componente que los planes nacionales de otros países no han desarrollado: la articulación entre el modelo BIM y la estructura de costos propia de la normativa laboral venezolana.</w:t>
      </w:r>
    </w:p>
    <w:p>
      <w:r>
        <w:br w:type="page"/>
      </w:r>
    </w:p>
    <w:p>
      <w:pPr>
        <w:pStyle w:val="Heading1"/>
        <w:spacing w:after="180" w:before="360"/>
      </w:pPr>
      <w:r>
        <w:t xml:space="preserve">5. Alcance y delimitación</w:t>
      </w:r>
    </w:p>
    <w:p>
      <w:pPr>
        <w:pStyle w:val="Heading2"/>
        <w:spacing w:after="140" w:before="260"/>
      </w:pPr>
      <w:r>
        <w:t xml:space="preserve">5.1 Delimitación del objeto de estudio</w:t>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2400"/>
        <w:gridCol w:w="6960"/>
      </w:tblGrid>
      <w:tr>
        <w:tc>
          <w:tcPr>
            <w:tcW w:type="dxa" w:w="24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Dimensión</w:t>
            </w:r>
          </w:p>
        </w:tc>
        <w:tc>
          <w:tcPr>
            <w:tcW w:type="dxa" w:w="69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Delimitación</w:t>
            </w:r>
          </w:p>
        </w:tc>
      </w:tr>
      <w:tr>
        <w:tc>
          <w:tcPr>
            <w:tcW w:type="dxa" w:w="24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Temática</w:t>
            </w:r>
          </w:p>
        </w:tc>
        <w:tc>
          <w:tcPr>
            <w:tcW w:type="dxa" w:w="6960"/>
            <w:tcMar>
              <w:top w:type="dxa" w:w="90"/>
              <w:left w:type="dxa" w:w="130"/>
              <w:bottom w:type="dxa" w:w="90"/>
              <w:right w:type="dxa" w:w="130"/>
            </w:tcMar>
            <w:vAlign w:val="center"/>
          </w:tcPr>
          <w:p>
            <w:pPr>
              <w:spacing w:after="0" w:line="250"/>
              <w:jc w:val="left"/>
            </w:pPr>
            <w:r>
              <w:rPr>
                <w:sz w:val="20"/>
                <w:szCs w:val="20"/>
              </w:rPr>
              <w:t xml:space="preserve">Estimación de costos de obra civil asociada a instalaciones sanitarias. No incluye instalaciones eléctricas, mecánicas ni la estructura de la edificación.</w:t>
            </w:r>
          </w:p>
        </w:tc>
      </w:tr>
      <w:tr>
        <w:tc>
          <w:tcPr>
            <w:tcW w:type="dxa" w:w="24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Espacial</w:t>
            </w:r>
          </w:p>
        </w:tc>
        <w:tc>
          <w:tcPr>
            <w:tcW w:type="dxa" w:w="6960"/>
            <w:tcMar>
              <w:top w:type="dxa" w:w="90"/>
              <w:left w:type="dxa" w:w="130"/>
              <w:bottom w:type="dxa" w:w="90"/>
              <w:right w:type="dxa" w:w="130"/>
            </w:tcMar>
            <w:vAlign w:val="center"/>
          </w:tcPr>
          <w:p>
            <w:pPr>
              <w:spacing w:after="0" w:line="250"/>
              <w:jc w:val="left"/>
            </w:pPr>
            <w:r>
              <w:rPr>
                <w:sz w:val="20"/>
                <w:szCs w:val="20"/>
              </w:rPr>
              <w:t xml:space="preserve">Sistema de drenaje: 24 m lineales de tubería PVC 4", cuatro tanquillas de inspección de 0,80 × 0,80 × 0,80 m con paredes de 0,10 m, pendiente del 3 %.</w:t>
            </w:r>
          </w:p>
        </w:tc>
      </w:tr>
      <w:tr>
        <w:tc>
          <w:tcPr>
            <w:tcW w:type="dxa" w:w="24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Partidas</w:t>
            </w:r>
          </w:p>
        </w:tc>
        <w:tc>
          <w:tcPr>
            <w:tcW w:type="dxa" w:w="6960"/>
            <w:tcMar>
              <w:top w:type="dxa" w:w="90"/>
              <w:left w:type="dxa" w:w="130"/>
              <w:bottom w:type="dxa" w:w="90"/>
              <w:right w:type="dxa" w:w="130"/>
            </w:tcMar>
            <w:vAlign w:val="center"/>
          </w:tcPr>
          <w:p>
            <w:pPr>
              <w:spacing w:after="0" w:line="250"/>
              <w:jc w:val="left"/>
            </w:pPr>
            <w:r>
              <w:rPr>
                <w:sz w:val="20"/>
                <w:szCs w:val="20"/>
              </w:rPr>
              <w:t xml:space="preserve">Cinco: excavación, suministro e instalación de tubería, encofrado recto, vaciado de concreto y relleno compactado.</w:t>
            </w:r>
          </w:p>
        </w:tc>
      </w:tr>
      <w:tr>
        <w:tc>
          <w:tcPr>
            <w:tcW w:type="dxa" w:w="24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Normativa</w:t>
            </w:r>
          </w:p>
        </w:tc>
        <w:tc>
          <w:tcPr>
            <w:tcW w:type="dxa" w:w="6960"/>
            <w:tcMar>
              <w:top w:type="dxa" w:w="90"/>
              <w:left w:type="dxa" w:w="130"/>
              <w:bottom w:type="dxa" w:w="90"/>
              <w:right w:type="dxa" w:w="130"/>
            </w:tcMar>
            <w:vAlign w:val="center"/>
          </w:tcPr>
          <w:p>
            <w:pPr>
              <w:spacing w:after="0" w:line="250"/>
              <w:jc w:val="left"/>
            </w:pPr>
            <w:r>
              <w:rPr>
                <w:sz w:val="20"/>
                <w:szCs w:val="20"/>
              </w:rPr>
              <w:t xml:space="preserve">Codificación COVENIN 2000. Convención Colectiva de la Industria de la Construcción vigente para el cálculo del FCAS.</w:t>
            </w:r>
          </w:p>
        </w:tc>
      </w:tr>
      <w:tr>
        <w:tc>
          <w:tcPr>
            <w:tcW w:type="dxa" w:w="24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Temporal</w:t>
            </w:r>
          </w:p>
        </w:tc>
        <w:tc>
          <w:tcPr>
            <w:tcW w:type="dxa" w:w="6960"/>
            <w:tcMar>
              <w:top w:type="dxa" w:w="90"/>
              <w:left w:type="dxa" w:w="130"/>
              <w:bottom w:type="dxa" w:w="90"/>
              <w:right w:type="dxa" w:w="130"/>
            </w:tcMar>
            <w:vAlign w:val="center"/>
          </w:tcPr>
          <w:p>
            <w:pPr>
              <w:spacing w:after="0" w:line="250"/>
              <w:jc w:val="left"/>
            </w:pPr>
            <w:r>
              <w:rPr>
                <w:sz w:val="20"/>
                <w:szCs w:val="20"/>
              </w:rPr>
              <w:t xml:space="preserve">Precios de referencia correspondientes al período de ejecución de la investigación, expresados en divisas.</w:t>
            </w:r>
          </w:p>
        </w:tc>
      </w:tr>
    </w:tbl>
    <w:p>
      <w:pPr>
        <w:spacing w:after="60" w:line="276"/>
        <w:jc w:val="both"/>
      </w:pPr>
      <w:r>
        <w:rPr>
          <w:sz w:val="22"/>
          <w:szCs w:val="22"/>
        </w:rPr>
        <w:t xml:space="preserve"/>
      </w:r>
    </w:p>
    <w:p>
      <w:pPr>
        <w:pStyle w:val="Heading2"/>
        <w:spacing w:after="140" w:before="260"/>
      </w:pPr>
      <w:r>
        <w:t xml:space="preserve">5.2 Lo que la investigación no comprende</w:t>
      </w:r>
    </w:p>
    <w:p>
      <w:pPr>
        <w:spacing w:after="120" w:line="276"/>
        <w:jc w:val="both"/>
      </w:pPr>
      <w:r>
        <w:rPr>
          <w:sz w:val="22"/>
          <w:szCs w:val="22"/>
        </w:rPr>
        <w:t xml:space="preserve">La delimitación explícita de lo excluido es tan importante como la de lo incluido, y previene observaciones del jurado sobre alcance no cumplido:</w:t>
      </w:r>
    </w:p>
    <w:p>
      <w:pPr>
        <w:pStyle w:val="ListParagraph"/>
        <w:numPr>
          <w:ilvl w:val="0"/>
          <w:numId w:val="2"/>
        </w:numPr>
        <w:spacing w:after="90" w:line="276"/>
        <w:jc w:val="both"/>
      </w:pPr>
      <w:r>
        <w:rPr>
          <w:b/>
          <w:bCs/>
          <w:sz w:val="22"/>
          <w:szCs w:val="22"/>
        </w:rPr>
        <w:t xml:space="preserve">Gemelo digital en sentido estricto. </w:t>
      </w:r>
      <w:r>
        <w:rPr>
          <w:sz w:val="22"/>
          <w:szCs w:val="22"/>
        </w:rPr>
        <w:t xml:space="preserve">No se implementa instrumentación con sensores ni realimentación bidireccional automática en tiempo real. La distinción se desarrolla en la sección 6.3 y se declara como línea futura.</w:t>
      </w:r>
    </w:p>
    <w:p>
      <w:pPr>
        <w:pStyle w:val="ListParagraph"/>
        <w:numPr>
          <w:ilvl w:val="0"/>
          <w:numId w:val="2"/>
        </w:numPr>
        <w:spacing w:after="90" w:line="276"/>
        <w:jc w:val="both"/>
      </w:pPr>
      <w:r>
        <w:rPr>
          <w:b/>
          <w:bCs/>
          <w:sz w:val="22"/>
          <w:szCs w:val="22"/>
        </w:rPr>
        <w:t xml:space="preserve">Digitalización automática de planos. </w:t>
      </w:r>
      <w:r>
        <w:rPr>
          <w:sz w:val="22"/>
          <w:szCs w:val="22"/>
        </w:rPr>
        <w:t xml:space="preserve">El reconocimiento automático de símbolos en planos escaneados constituye un problema de investigación en sí mismo. El modelo tridimensional se construye a partir de las dimensiones del croquis, no mediante vectorización automática.</w:t>
      </w:r>
    </w:p>
    <w:p>
      <w:pPr>
        <w:pStyle w:val="ListParagraph"/>
        <w:numPr>
          <w:ilvl w:val="0"/>
          <w:numId w:val="2"/>
        </w:numPr>
        <w:spacing w:after="90" w:line="276"/>
        <w:jc w:val="both"/>
      </w:pPr>
      <w:r>
        <w:rPr>
          <w:b/>
          <w:bCs/>
          <w:sz w:val="22"/>
          <w:szCs w:val="22"/>
        </w:rPr>
        <w:t xml:space="preserve">Evaluación financiera del proyecto de inversión. </w:t>
      </w:r>
      <w:r>
        <w:rPr>
          <w:sz w:val="22"/>
          <w:szCs w:val="22"/>
        </w:rPr>
        <w:t xml:space="preserve">El análisis de rentabilidad de la clínica se documenta como contexto, pero no forma parte del objeto de estudio.</w:t>
      </w:r>
    </w:p>
    <w:p>
      <w:pPr>
        <w:pStyle w:val="ListParagraph"/>
        <w:numPr>
          <w:ilvl w:val="0"/>
          <w:numId w:val="2"/>
        </w:numPr>
        <w:spacing w:after="90" w:line="276"/>
        <w:jc w:val="both"/>
      </w:pPr>
      <w:r>
        <w:rPr>
          <w:b/>
          <w:bCs/>
          <w:sz w:val="22"/>
          <w:szCs w:val="22"/>
        </w:rPr>
        <w:t xml:space="preserve">Generalización estadística. </w:t>
      </w:r>
      <w:r>
        <w:rPr>
          <w:sz w:val="22"/>
          <w:szCs w:val="22"/>
        </w:rPr>
        <w:t xml:space="preserve">Al tratarse de un diseño de caso único, los resultados no son extrapolables por inferencia estadística. La transferibilidad se sustenta en la replicabilidad documentada del procedimiento.</w:t>
      </w:r>
    </w:p>
    <w:p>
      <w:r>
        <w:br w:type="page"/>
      </w:r>
    </w:p>
    <w:p>
      <w:pPr>
        <w:pStyle w:val="Heading1"/>
        <w:spacing w:after="180" w:before="360"/>
      </w:pPr>
      <w:r>
        <w:t xml:space="preserve">6. Marco teórico</w:t>
      </w:r>
    </w:p>
    <w:p>
      <w:pPr>
        <w:pStyle w:val="Heading2"/>
        <w:spacing w:after="140" w:before="260"/>
      </w:pPr>
      <w:r>
        <w:t xml:space="preserve">6.1 El ciclo del proyecto y la ubicación del aporte</w:t>
      </w:r>
    </w:p>
    <w:p>
      <w:pPr>
        <w:spacing w:after="120" w:line="276"/>
        <w:jc w:val="both"/>
      </w:pPr>
      <w:r>
        <w:rPr>
          <w:sz w:val="22"/>
          <w:szCs w:val="22"/>
        </w:rPr>
        <w:t xml:space="preserve">El marco general de la investigación es la gestión de proyectos de inversión en la formulación de Miranda Miranda, que organiza el proyecto en tres fases sucesivas: preinversión, inversión u ejecución, y operación. El aporte de esta investigación se localiza con precisión en momentos determinados de ese ciclo, y esa localización debe explicitarse porque delimita conceptualmente la contribución.</w:t>
      </w:r>
    </w:p>
    <w:p>
      <w:pPr>
        <w:spacing w:after="60" w:line="276"/>
        <w:jc w:val="both"/>
      </w:pPr>
      <w:r>
        <w:rPr>
          <w:sz w:val="22"/>
          <w:szCs w:val="22"/>
        </w:rPr>
        <w:t xml:space="preserve"/>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2800"/>
        <w:gridCol w:w="3000"/>
        <w:gridCol w:w="3560"/>
      </w:tblGrid>
      <w:tr>
        <w:tc>
          <w:tcPr>
            <w:tcW w:type="dxa" w:w="28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Referencia en Miranda</w:t>
            </w:r>
          </w:p>
        </w:tc>
        <w:tc>
          <w:tcPr>
            <w:tcW w:type="dxa" w:w="30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Contenido</w:t>
            </w:r>
          </w:p>
        </w:tc>
        <w:tc>
          <w:tcPr>
            <w:tcW w:type="dxa" w:w="35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Vinculación con la propuesta</w:t>
            </w:r>
          </w:p>
        </w:tc>
      </w:tr>
      <w:tr>
        <w:tc>
          <w:tcPr>
            <w:tcW w:type="dxa" w:w="28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Cap. IV, secc. 4.4 — Los Precios</w:t>
            </w:r>
          </w:p>
        </w:tc>
        <w:tc>
          <w:tcPr>
            <w:tcW w:type="dxa" w:w="3000"/>
            <w:tcMar>
              <w:top w:type="dxa" w:w="90"/>
              <w:left w:type="dxa" w:w="130"/>
              <w:bottom w:type="dxa" w:w="90"/>
              <w:right w:type="dxa" w:w="130"/>
            </w:tcMar>
            <w:vAlign w:val="center"/>
          </w:tcPr>
          <w:p>
            <w:pPr>
              <w:spacing w:after="0" w:line="250"/>
              <w:jc w:val="left"/>
            </w:pPr>
            <w:r>
              <w:rPr>
                <w:sz w:val="20"/>
                <w:szCs w:val="20"/>
              </w:rPr>
              <w:t xml:space="preserve">Distingue precios determinados por la estructura de costos de la empresa, precios fijados por el mercado y precios fijados con base en la competencia.</w:t>
            </w:r>
          </w:p>
        </w:tc>
        <w:tc>
          <w:tcPr>
            <w:tcW w:type="dxa" w:w="3560"/>
            <w:tcMar>
              <w:top w:type="dxa" w:w="90"/>
              <w:left w:type="dxa" w:w="130"/>
              <w:bottom w:type="dxa" w:w="90"/>
              <w:right w:type="dxa" w:w="130"/>
            </w:tcMar>
            <w:vAlign w:val="center"/>
          </w:tcPr>
          <w:p>
            <w:pPr>
              <w:spacing w:after="0" w:line="250"/>
              <w:jc w:val="left"/>
            </w:pPr>
            <w:r>
              <w:rPr>
                <w:sz w:val="20"/>
                <w:szCs w:val="20"/>
              </w:rPr>
              <w:t xml:space="preserve">Fundamento conceptual del núcleo de la propuesta: el APU es un precio construido por estructura de costos, y el módulo de aprendizaje lo contrasta contra el precio de mercado. Es el puente teórico que legitima la investigación.</w:t>
            </w:r>
          </w:p>
        </w:tc>
      </w:tr>
      <w:tr>
        <w:tc>
          <w:tcPr>
            <w:tcW w:type="dxa" w:w="28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Cap. V — Aspectos técnicos</w:t>
            </w:r>
          </w:p>
        </w:tc>
        <w:tc>
          <w:tcPr>
            <w:tcW w:type="dxa" w:w="3000"/>
            <w:tcMar>
              <w:top w:type="dxa" w:w="90"/>
              <w:left w:type="dxa" w:w="130"/>
              <w:bottom w:type="dxa" w:w="90"/>
              <w:right w:type="dxa" w:w="130"/>
            </w:tcMar>
            <w:vAlign w:val="center"/>
          </w:tcPr>
          <w:p>
            <w:pPr>
              <w:spacing w:after="0" w:line="250"/>
              <w:jc w:val="left"/>
            </w:pPr>
            <w:r>
              <w:rPr>
                <w:sz w:val="20"/>
                <w:szCs w:val="20"/>
              </w:rPr>
              <w:t xml:space="preserve">Ingeniería del proyecto y cronograma de realización.</w:t>
            </w:r>
          </w:p>
        </w:tc>
        <w:tc>
          <w:tcPr>
            <w:tcW w:type="dxa" w:w="3560"/>
            <w:tcMar>
              <w:top w:type="dxa" w:w="90"/>
              <w:left w:type="dxa" w:w="130"/>
              <w:bottom w:type="dxa" w:w="90"/>
              <w:right w:type="dxa" w:w="130"/>
            </w:tcMar>
            <w:vAlign w:val="center"/>
          </w:tcPr>
          <w:p>
            <w:pPr>
              <w:spacing w:after="0" w:line="250"/>
              <w:jc w:val="left"/>
            </w:pPr>
            <w:r>
              <w:rPr>
                <w:sz w:val="20"/>
                <w:szCs w:val="20"/>
              </w:rPr>
              <w:t xml:space="preserve">Ámbito del modelo tridimensional, la extracción de cantidades y el plan de trabajo.</w:t>
            </w:r>
          </w:p>
        </w:tc>
      </w:tr>
      <w:tr>
        <w:tc>
          <w:tcPr>
            <w:tcW w:type="dxa" w:w="28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Cap. VIII — Estructura financiera</w:t>
            </w:r>
          </w:p>
        </w:tc>
        <w:tc>
          <w:tcPr>
            <w:tcW w:type="dxa" w:w="3000"/>
            <w:tcMar>
              <w:top w:type="dxa" w:w="90"/>
              <w:left w:type="dxa" w:w="130"/>
              <w:bottom w:type="dxa" w:w="90"/>
              <w:right w:type="dxa" w:w="130"/>
            </w:tcMar>
            <w:vAlign w:val="center"/>
          </w:tcPr>
          <w:p>
            <w:pPr>
              <w:spacing w:after="0" w:line="250"/>
              <w:jc w:val="left"/>
            </w:pPr>
            <w:r>
              <w:rPr>
                <w:sz w:val="20"/>
                <w:szCs w:val="20"/>
              </w:rPr>
              <w:t xml:space="preserve">Presupuesto de inversiones y costos de producción.</w:t>
            </w:r>
          </w:p>
        </w:tc>
        <w:tc>
          <w:tcPr>
            <w:tcW w:type="dxa" w:w="3560"/>
            <w:tcMar>
              <w:top w:type="dxa" w:w="90"/>
              <w:left w:type="dxa" w:w="130"/>
              <w:bottom w:type="dxa" w:w="90"/>
              <w:right w:type="dxa" w:w="130"/>
            </w:tcMar>
            <w:vAlign w:val="center"/>
          </w:tcPr>
          <w:p>
            <w:pPr>
              <w:spacing w:after="0" w:line="250"/>
              <w:jc w:val="left"/>
            </w:pPr>
            <w:r>
              <w:rPr>
                <w:sz w:val="20"/>
                <w:szCs w:val="20"/>
              </w:rPr>
              <w:t xml:space="preserve">Ámbito del APU, el presupuesto y la curva de inversión.</w:t>
            </w:r>
          </w:p>
        </w:tc>
      </w:tr>
      <w:tr>
        <w:tc>
          <w:tcPr>
            <w:tcW w:type="dxa" w:w="28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Cap. IX, secc. 9.5 — Sensibilidad</w:t>
            </w:r>
          </w:p>
        </w:tc>
        <w:tc>
          <w:tcPr>
            <w:tcW w:type="dxa" w:w="3000"/>
            <w:tcMar>
              <w:top w:type="dxa" w:w="90"/>
              <w:left w:type="dxa" w:w="130"/>
              <w:bottom w:type="dxa" w:w="90"/>
              <w:right w:type="dxa" w:w="130"/>
            </w:tcMar>
            <w:vAlign w:val="center"/>
          </w:tcPr>
          <w:p>
            <w:pPr>
              <w:spacing w:after="0" w:line="250"/>
              <w:jc w:val="left"/>
            </w:pPr>
            <w:r>
              <w:rPr>
                <w:sz w:val="20"/>
                <w:szCs w:val="20"/>
              </w:rPr>
              <w:t xml:space="preserve">Estudio de sensibilidad y evaluación en escenarios de riesgo.</w:t>
            </w:r>
          </w:p>
        </w:tc>
        <w:tc>
          <w:tcPr>
            <w:tcW w:type="dxa" w:w="3560"/>
            <w:tcMar>
              <w:top w:type="dxa" w:w="90"/>
              <w:left w:type="dxa" w:w="130"/>
              <w:bottom w:type="dxa" w:w="90"/>
              <w:right w:type="dxa" w:w="130"/>
            </w:tcMar>
            <w:vAlign w:val="center"/>
          </w:tcPr>
          <w:p>
            <w:pPr>
              <w:spacing w:after="0" w:line="250"/>
              <w:jc w:val="left"/>
            </w:pPr>
            <w:r>
              <w:rPr>
                <w:sz w:val="20"/>
                <w:szCs w:val="20"/>
              </w:rPr>
              <w:t xml:space="preserve">El modelo paramétrico permite generar escenarios de costo modificando variables de diseño.</w:t>
            </w:r>
          </w:p>
        </w:tc>
      </w:tr>
      <w:tr>
        <w:tc>
          <w:tcPr>
            <w:tcW w:type="dxa" w:w="28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Cap. VI, Anexo 1 — SSC</w:t>
            </w:r>
          </w:p>
        </w:tc>
        <w:tc>
          <w:tcPr>
            <w:tcW w:type="dxa" w:w="3000"/>
            <w:tcMar>
              <w:top w:type="dxa" w:w="90"/>
              <w:left w:type="dxa" w:w="130"/>
              <w:bottom w:type="dxa" w:w="90"/>
              <w:right w:type="dxa" w:w="130"/>
            </w:tcMar>
            <w:vAlign w:val="center"/>
          </w:tcPr>
          <w:p>
            <w:pPr>
              <w:spacing w:after="0" w:line="250"/>
              <w:jc w:val="left"/>
            </w:pPr>
            <w:r>
              <w:rPr>
                <w:sz w:val="20"/>
                <w:szCs w:val="20"/>
              </w:rPr>
              <w:t xml:space="preserve">Sistema de seguimiento y control del proyecto.</w:t>
            </w:r>
          </w:p>
        </w:tc>
        <w:tc>
          <w:tcPr>
            <w:tcW w:type="dxa" w:w="3560"/>
            <w:tcMar>
              <w:top w:type="dxa" w:w="90"/>
              <w:left w:type="dxa" w:w="130"/>
              <w:bottom w:type="dxa" w:w="90"/>
              <w:right w:type="dxa" w:w="130"/>
            </w:tcMar>
            <w:vAlign w:val="center"/>
          </w:tcPr>
          <w:p>
            <w:pPr>
              <w:spacing w:after="0" w:line="250"/>
              <w:jc w:val="left"/>
            </w:pPr>
            <w:r>
              <w:rPr>
                <w:sz w:val="20"/>
                <w:szCs w:val="20"/>
              </w:rPr>
              <w:t xml:space="preserve">Marco de la eventual extensión a control de avance de obra (nivel 2 de la sección 6.3).</w:t>
            </w:r>
          </w:p>
        </w:tc>
      </w:tr>
    </w:tbl>
    <w:p>
      <w:pPr>
        <w:spacing w:after="60" w:line="276"/>
        <w:jc w:val="both"/>
      </w:pPr>
      <w:r>
        <w:rPr>
          <w:sz w:val="22"/>
          <w:szCs w:val="22"/>
        </w:rPr>
        <w:t xml:space="preserve"/>
      </w:r>
    </w:p>
    <w:p>
      <w:pPr>
        <w:pStyle w:val="Heading2"/>
        <w:spacing w:after="140" w:before="260"/>
      </w:pPr>
      <w:r>
        <w:t xml:space="preserve">6.2 BIM y la dimensión de costos</w:t>
      </w:r>
    </w:p>
    <w:p>
      <w:pPr>
        <w:spacing w:after="120" w:line="276"/>
        <w:jc w:val="both"/>
      </w:pPr>
      <w:r>
        <w:rPr>
          <w:sz w:val="22"/>
          <w:szCs w:val="22"/>
        </w:rPr>
        <w:t xml:space="preserve">La integración entre modelos BIM y estimación de costos se estructura en tres etapas: el enriquecimiento semántico y clasificación de los componentes del modelo tridimensional; la preparación del cómputo métrico mediante cuantificación de componentes e identificación de materiales; y la estimación de costos propiamente dicha. La literatura documenta que el cómputo métrico tradicional consume entre el 50 % y el 80 % del tiempo del estimador, y que su ejecución basada en BIM reduce ese tiempo de forma sustancial.</w:t>
      </w:r>
    </w:p>
    <w:p>
      <w:pPr>
        <w:spacing w:after="120" w:line="276"/>
        <w:jc w:val="both"/>
      </w:pPr>
      <w:r>
        <w:rPr>
          <w:sz w:val="22"/>
          <w:szCs w:val="22"/>
        </w:rPr>
        <w:t xml:space="preserve">La confiabilidad del cómputo automatizado depende críticamente del nivel de desarrollo del modelo. Existe consenso en que se requiere un LOD de 300 a 400 para presupuestación confiable; por debajo de ese umbral, el cómputo solo admite estimaciones de carácter conceptual o paramétrico. Los puntos críticos documentados son la pérdida de información en la conversión a formato IFC, la ausencia en los modelos de diseño de elementos necesarios para el presupuesto, y la insuficiencia de datos almacenados en los objetos.</w:t>
      </w:r>
    </w:p>
    <w:p>
      <w:pPr>
        <w:pStyle w:val="Heading2"/>
        <w:spacing w:after="140" w:before="260"/>
      </w:pPr>
      <w:r>
        <w:t xml:space="preserve">6.3 Delimitación conceptual: BIM 5D, sombra digital y gemelo digital</w:t>
      </w:r>
    </w:p>
    <w:p>
      <w:pPr>
        <w:spacing w:after="120" w:line="276"/>
        <w:jc w:val="both"/>
      </w:pPr>
      <w:r>
        <w:rPr>
          <w:sz w:val="22"/>
          <w:szCs w:val="22"/>
        </w:rPr>
        <w:t xml:space="preserve">El término "gemelo digital" se emplea con frecuencia de manera imprecisa en el ámbito de la construcción. Su rasgo distintivo respecto de un modelo BIM avanzado es la conexión bidireccional en tiempo real, o cuasi real, con el activo físico mediante instrumentación, lo que constituye un lazo de control ciberfísico cerrado. Un modelo BIM, en contraste, es un artefacto informacionalmente rico pero fundamentalmente estático, que refleja la intención de diseño en un momento determinado.</w:t>
      </w:r>
    </w:p>
    <w:p>
      <w:pPr>
        <w:spacing w:after="120" w:line="276"/>
        <w:jc w:val="both"/>
      </w:pPr>
      <w:r>
        <w:rPr>
          <w:sz w:val="22"/>
          <w:szCs w:val="22"/>
        </w:rPr>
        <w:t xml:space="preserve">Esta distinción obliga a precisar el nivel al que aspira la investigación. Se identifican tres:</w:t>
      </w:r>
    </w:p>
    <w:p>
      <w:pPr>
        <w:spacing w:after="60" w:line="276"/>
        <w:jc w:val="both"/>
      </w:pPr>
      <w:r>
        <w:rPr>
          <w:sz w:val="22"/>
          <w:szCs w:val="22"/>
        </w:rPr>
        <w:t xml:space="preserve"/>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1500"/>
        <w:gridCol w:w="4600"/>
        <w:gridCol w:w="3260"/>
      </w:tblGrid>
      <w:tr>
        <w:tc>
          <w:tcPr>
            <w:tcW w:type="dxa" w:w="15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Nivel</w:t>
            </w:r>
          </w:p>
        </w:tc>
        <w:tc>
          <w:tcPr>
            <w:tcW w:type="dxa" w:w="46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Caracterización</w:t>
            </w:r>
          </w:p>
        </w:tc>
        <w:tc>
          <w:tcPr>
            <w:tcW w:type="dxa" w:w="32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Situación en la propuesta</w:t>
            </w:r>
          </w:p>
        </w:tc>
      </w:tr>
      <w:tr>
        <w:tc>
          <w:tcPr>
            <w:tcW w:type="dxa" w:w="15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BIM 5D</w:t>
            </w:r>
          </w:p>
        </w:tc>
        <w:tc>
          <w:tcPr>
            <w:tcW w:type="dxa" w:w="4600"/>
            <w:tcMar>
              <w:top w:type="dxa" w:w="90"/>
              <w:left w:type="dxa" w:w="130"/>
              <w:bottom w:type="dxa" w:w="90"/>
              <w:right w:type="dxa" w:w="130"/>
            </w:tcMar>
            <w:vAlign w:val="center"/>
          </w:tcPr>
          <w:p>
            <w:pPr>
              <w:spacing w:after="0" w:line="250"/>
              <w:jc w:val="left"/>
            </w:pPr>
            <w:r>
              <w:rPr>
                <w:sz w:val="20"/>
                <w:szCs w:val="20"/>
              </w:rPr>
              <w:t xml:space="preserve">Modelo paramétrico tridimensional con cómputo métrico automatizado, APU, presupuesto y curva de inversión asociados.</w:t>
            </w:r>
          </w:p>
        </w:tc>
        <w:tc>
          <w:tcPr>
            <w:tcW w:type="dxa" w:w="3260"/>
            <w:tcMar>
              <w:top w:type="dxa" w:w="90"/>
              <w:left w:type="dxa" w:w="130"/>
              <w:bottom w:type="dxa" w:w="90"/>
              <w:right w:type="dxa" w:w="130"/>
            </w:tcMar>
            <w:vAlign w:val="center"/>
          </w:tcPr>
          <w:p>
            <w:pPr>
              <w:spacing w:after="0" w:line="250"/>
              <w:jc w:val="left"/>
            </w:pPr>
            <w:r>
              <w:rPr>
                <w:sz w:val="20"/>
                <w:szCs w:val="20"/>
              </w:rPr>
              <w:t xml:space="preserve">Alcance obligatorio de la investigación.</w:t>
            </w:r>
          </w:p>
        </w:tc>
      </w:tr>
      <w:tr>
        <w:tc>
          <w:tcPr>
            <w:tcW w:type="dxa" w:w="15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Sombra digital</w:t>
            </w:r>
          </w:p>
        </w:tc>
        <w:tc>
          <w:tcPr>
            <w:tcW w:type="dxa" w:w="4600"/>
            <w:tcMar>
              <w:top w:type="dxa" w:w="90"/>
              <w:left w:type="dxa" w:w="130"/>
              <w:bottom w:type="dxa" w:w="90"/>
              <w:right w:type="dxa" w:w="130"/>
            </w:tcMar>
            <w:vAlign w:val="center"/>
          </w:tcPr>
          <w:p>
            <w:pPr>
              <w:spacing w:after="0" w:line="250"/>
              <w:jc w:val="left"/>
            </w:pPr>
            <w:r>
              <w:rPr>
                <w:sz w:val="20"/>
                <w:szCs w:val="20"/>
              </w:rPr>
              <w:t xml:space="preserve">Lo anterior más la incorporación del avance real de obra, permitiendo contrastar curva planificada contra curva ejecutada. El flujo de información es unidireccional, del activo al modelo.</w:t>
            </w:r>
          </w:p>
        </w:tc>
        <w:tc>
          <w:tcPr>
            <w:tcW w:type="dxa" w:w="3260"/>
            <w:tcMar>
              <w:top w:type="dxa" w:w="90"/>
              <w:left w:type="dxa" w:w="130"/>
              <w:bottom w:type="dxa" w:w="90"/>
              <w:right w:type="dxa" w:w="130"/>
            </w:tcMar>
            <w:vAlign w:val="center"/>
          </w:tcPr>
          <w:p>
            <w:pPr>
              <w:spacing w:after="0" w:line="250"/>
              <w:jc w:val="left"/>
            </w:pPr>
            <w:r>
              <w:rPr>
                <w:sz w:val="20"/>
                <w:szCs w:val="20"/>
              </w:rPr>
              <w:t xml:space="preserve">Alcance deseable. Es el nivel que permite emplear el término "gemelo" con precisión acotada.</w:t>
            </w:r>
          </w:p>
        </w:tc>
      </w:tr>
      <w:tr>
        <w:tc>
          <w:tcPr>
            <w:tcW w:type="dxa" w:w="15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Gemelo digital</w:t>
            </w:r>
          </w:p>
        </w:tc>
        <w:tc>
          <w:tcPr>
            <w:tcW w:type="dxa" w:w="4600"/>
            <w:tcMar>
              <w:top w:type="dxa" w:w="90"/>
              <w:left w:type="dxa" w:w="130"/>
              <w:bottom w:type="dxa" w:w="90"/>
              <w:right w:type="dxa" w:w="130"/>
            </w:tcMar>
            <w:vAlign w:val="center"/>
          </w:tcPr>
          <w:p>
            <w:pPr>
              <w:spacing w:after="0" w:line="250"/>
              <w:jc w:val="left"/>
            </w:pPr>
            <w:r>
              <w:rPr>
                <w:sz w:val="20"/>
                <w:szCs w:val="20"/>
              </w:rPr>
              <w:t xml:space="preserve">Lo anterior más instrumentación con sensores y realimentación bidireccional automática, constituyendo un lazo de control cerrado.</w:t>
            </w:r>
          </w:p>
        </w:tc>
        <w:tc>
          <w:tcPr>
            <w:tcW w:type="dxa" w:w="3260"/>
            <w:tcMar>
              <w:top w:type="dxa" w:w="90"/>
              <w:left w:type="dxa" w:w="130"/>
              <w:bottom w:type="dxa" w:w="90"/>
              <w:right w:type="dxa" w:w="130"/>
            </w:tcMar>
            <w:vAlign w:val="center"/>
          </w:tcPr>
          <w:p>
            <w:pPr>
              <w:spacing w:after="0" w:line="250"/>
              <w:jc w:val="left"/>
            </w:pPr>
            <w:r>
              <w:rPr>
                <w:sz w:val="20"/>
                <w:szCs w:val="20"/>
              </w:rPr>
              <w:t xml:space="preserve">Fuera de alcance. Se declara como línea de investigación futura.</w:t>
            </w:r>
          </w:p>
        </w:tc>
      </w:tr>
    </w:tbl>
    <w:p>
      <w:pPr>
        <w:spacing w:after="60" w:line="276"/>
        <w:jc w:val="both"/>
      </w:pPr>
      <w:r>
        <w:rPr>
          <w:sz w:val="22"/>
          <w:szCs w:val="22"/>
        </w:rPr>
        <w:t xml:space="preserve"/>
      </w:r>
    </w:p>
    <w:p>
      <w:pPr>
        <w:spacing w:after="120" w:line="276"/>
        <w:jc w:val="both"/>
      </w:pPr>
      <w:r>
        <w:rPr>
          <w:sz w:val="22"/>
          <w:szCs w:val="22"/>
        </w:rPr>
        <w:t xml:space="preserve">La formulación de referencia de la construcción con sistemas de información de gemelo digital corresponde a Sacks, Brilakis, Pikas, Xie y Girolami (2020), base conceptual del proyecto europeo BIM2TWIN. Debe citarse expresamente al establecer esta delimitación.</w:t>
      </w:r>
    </w:p>
    <w:p>
      <w:pPr>
        <w:pStyle w:val="Heading2"/>
        <w:spacing w:after="140" w:before="260"/>
      </w:pPr>
      <w:r>
        <w:t xml:space="preserve">6.4 Aprendizaje automático aplicado a la estimación de costos</w:t>
      </w:r>
    </w:p>
    <w:p>
      <w:pPr>
        <w:spacing w:after="120" w:line="276"/>
        <w:jc w:val="both"/>
      </w:pPr>
      <w:r>
        <w:rPr>
          <w:sz w:val="22"/>
          <w:szCs w:val="22"/>
        </w:rPr>
        <w:t xml:space="preserve">Las revisiones sistemáticas del campo coinciden en que las técnicas predominantes son las redes neuronales artificiales, los bosques aleatorios y los métodos de potenciación del gradiente. Elmousalami (2020) comparó veinte técnicas de inteligencia artificial sobre un conjunto de 140 proyectos, obteniendo el mejor desempeño con XGBoost, con un error porcentual absoluto medio de 9,091 % y un coeficiente de determinación ajustado de 0,929. Los modelos híbridos reportados en la literatura sitúan el MAPE entre 7 % y 15 %.</w:t>
      </w:r>
    </w:p>
    <w:p>
      <w:pPr>
        <w:spacing w:after="120" w:line="276"/>
        <w:jc w:val="both"/>
      </w:pPr>
      <w:r>
        <w:rPr>
          <w:sz w:val="22"/>
          <w:szCs w:val="22"/>
        </w:rPr>
        <w:t xml:space="preserve">Para el diseño de esta investigación resulta determinante una observación recurrente en la literatura: las redes neuronales presentan un comportamiento fuertemente dependiente del volumen de datos y rinden deficientemente con conjuntos pequeños, por riesgo de sobreajuste. Dado que el conjunto de datos disponible en el contexto venezolano será necesariamente reducido, la selección técnica debe privilegiar métodos de ensamble sobre datos tabulares —XGBoost, bosques aleatorios, razonamiento basado en casos—, reservando las redes neuronales para contrastación con control explícito del sobreajuste.</w:t>
      </w:r>
    </w:p>
    <w:p>
      <w:pPr>
        <w:pStyle w:val="Heading2"/>
        <w:spacing w:after="140" w:before="260"/>
      </w:pPr>
      <w:r>
        <w:t xml:space="preserve">6.5 Normalización de partidas mediante procesamiento de lenguaje natural</w:t>
      </w:r>
    </w:p>
    <w:p>
      <w:pPr>
        <w:spacing w:after="120" w:line="276"/>
        <w:jc w:val="both"/>
      </w:pPr>
      <w:r>
        <w:rPr>
          <w:sz w:val="22"/>
          <w:szCs w:val="22"/>
        </w:rPr>
        <w:t xml:space="preserve">La correspondencia entre descripciones de partidas redactadas libremente y catálogos normalizados constituye un problema de clasificación de texto técnico. Moon, Lee y Chi (2022) demostraron la viabilidad de arquitecturas basadas en transformadores para clasificación de cláusulas contractuales de construcción, alcanzando una exactitud de validación de 0,889 y una medida F1 de 0,934 en prueba sobre siete categorías.</w:t>
      </w:r>
    </w:p>
    <w:p>
      <w:pPr>
        <w:spacing w:after="120" w:line="276"/>
        <w:jc w:val="both"/>
      </w:pPr>
      <w:r>
        <w:rPr>
          <w:sz w:val="22"/>
          <w:szCs w:val="22"/>
        </w:rPr>
        <w:t xml:space="preserve">Para esta investigación, el catálogo de destino es la codificación COVENIN 2000, que estructura las mediciones y codificación de partidas del sector construcción venezolano. Una consideración de diseño relevante es que el empleo de representaciones vectoriales semánticas multilingües permite establecer la correspondencia por similitud del coseno sin requerir un conjunto de datos previamente etiquetado, lo que reduce sustancialmente la dependencia de datos del módulo.</w:t>
      </w:r>
    </w:p>
    <w:p>
      <w:r>
        <w:br w:type="page"/>
      </w:r>
    </w:p>
    <w:p>
      <w:pPr>
        <w:pStyle w:val="Heading1"/>
        <w:spacing w:after="180" w:before="360"/>
      </w:pPr>
      <w:r>
        <w:t xml:space="preserve">7. Antecedentes</w:t>
      </w:r>
    </w:p>
    <w:p>
      <w:pPr>
        <w:spacing w:after="120" w:line="276"/>
        <w:jc w:val="both"/>
      </w:pPr>
      <w:r>
        <w:rPr>
          <w:sz w:val="22"/>
          <w:szCs w:val="22"/>
        </w:rPr>
        <w:t xml:space="preserve">La revisión de antecedentes se organizó en tres ámbitos: internacional, latinoamericano y nacional. Se presenta a continuación una síntesis; el desarrollo completo con las referencias corresponde al capítulo respectivo del trabajo de grado.</w:t>
      </w:r>
    </w:p>
    <w:p>
      <w:pPr>
        <w:pStyle w:val="Heading2"/>
        <w:spacing w:after="140" w:before="260"/>
      </w:pPr>
      <w:r>
        <w:t xml:space="preserve">7.1 Ámbito internacional</w:t>
      </w:r>
    </w:p>
    <w:p>
      <w:pPr>
        <w:spacing w:after="120" w:line="276"/>
        <w:jc w:val="both"/>
      </w:pPr>
      <w:r>
        <w:rPr>
          <w:sz w:val="22"/>
          <w:szCs w:val="22"/>
        </w:rPr>
        <w:t xml:space="preserve">Existe producción abundante y consolidada tanto en automatización del cómputo métrico desde modelos BIM como en aplicación de aprendizaje automático a la estimación de costos. Sin embargo, ambas líneas se han desarrollado de manera predominantemente independiente: las revisiones sistemáticas recientes señalan expresamente la ausencia de trabajos que integren ambos enfoques en un flujo unificado. Pishdad et al. (2024) identifican adicionalmente la falta de estandarización de los elementos del modelo a lo largo del ciclo de vida como obstáculo principal para la automatización de la dimensión de costos, y la inexistencia de integración entre BIM 5D, seguimiento de avance y sistemas de valuación.</w:t>
      </w:r>
    </w:p>
    <w:p>
      <w:pPr>
        <w:pStyle w:val="Heading2"/>
        <w:spacing w:after="140" w:before="260"/>
      </w:pPr>
      <w:r>
        <w:t xml:space="preserve">7.2 Ámbito latinoamericano</w:t>
      </w:r>
    </w:p>
    <w:p>
      <w:pPr>
        <w:pStyle w:val="ListParagraph"/>
        <w:numPr>
          <w:ilvl w:val="0"/>
          <w:numId w:val="2"/>
        </w:numPr>
        <w:spacing w:after="90" w:line="276"/>
        <w:jc w:val="both"/>
      </w:pPr>
      <w:r>
        <w:rPr>
          <w:b/>
          <w:bCs/>
          <w:sz w:val="22"/>
          <w:szCs w:val="22"/>
        </w:rPr>
        <w:t xml:space="preserve">Rozo-Martínez y Tumay-Gamba (2024), Universidad Católica de Colombia. </w:t>
      </w:r>
      <w:r>
        <w:rPr>
          <w:sz w:val="22"/>
          <w:szCs w:val="22"/>
        </w:rPr>
        <w:t xml:space="preserve">Aplicación de metodología BIM 5D para la gestión del costo en un proyecto de vivienda, con comparación entre presupuesto tradicional y presupuesto derivado del modelo. Es el antecedente metodológicamente más próximo.</w:t>
      </w:r>
    </w:p>
    <w:p>
      <w:pPr>
        <w:pStyle w:val="ListParagraph"/>
        <w:numPr>
          <w:ilvl w:val="0"/>
          <w:numId w:val="2"/>
        </w:numPr>
        <w:spacing w:after="90" w:line="276"/>
        <w:jc w:val="both"/>
      </w:pPr>
      <w:r>
        <w:rPr>
          <w:b/>
          <w:bCs/>
          <w:sz w:val="22"/>
          <w:szCs w:val="22"/>
        </w:rPr>
        <w:t xml:space="preserve">Producción peruana (PUCP, UNI, SENCICO). </w:t>
      </w:r>
      <w:r>
        <w:rPr>
          <w:sz w:val="22"/>
          <w:szCs w:val="22"/>
        </w:rPr>
        <w:t xml:space="preserve">Constituye el ecosistema más maduro de la región en la articulación BIM 5D con análisis de precios unitarios, con múltiples trabajos que integran Revit con Presto mediante el complemento Cost-It, o Revit con el software S10.</w:t>
      </w:r>
    </w:p>
    <w:p>
      <w:pPr>
        <w:pStyle w:val="ListParagraph"/>
        <w:numPr>
          <w:ilvl w:val="0"/>
          <w:numId w:val="2"/>
        </w:numPr>
        <w:spacing w:after="90" w:line="276"/>
        <w:jc w:val="both"/>
      </w:pPr>
      <w:r>
        <w:rPr>
          <w:b/>
          <w:bCs/>
          <w:sz w:val="22"/>
          <w:szCs w:val="22"/>
        </w:rPr>
        <w:t xml:space="preserve">Integración de BIM en el sistema presupuestario cubano. </w:t>
      </w:r>
      <w:r>
        <w:rPr>
          <w:sz w:val="22"/>
          <w:szCs w:val="22"/>
        </w:rPr>
        <w:t xml:space="preserve">Antecedente conceptualmente relevante por abordar la adaptación de BIM 5D a un sistema presupuestario nacional que no se ajusta a los estándares internacionales, situación análoga a la venezolana.</w:t>
      </w:r>
    </w:p>
    <w:p>
      <w:pPr>
        <w:pStyle w:val="Heading2"/>
        <w:spacing w:after="140" w:before="260"/>
      </w:pPr>
      <w:r>
        <w:t xml:space="preserve">7.3 Ámbito nacional</w:t>
      </w:r>
    </w:p>
    <w:p>
      <w:pPr>
        <w:pStyle w:val="ListParagraph"/>
        <w:numPr>
          <w:ilvl w:val="0"/>
          <w:numId w:val="2"/>
        </w:numPr>
        <w:spacing w:after="90" w:line="276"/>
        <w:jc w:val="both"/>
      </w:pPr>
      <w:r>
        <w:rPr>
          <w:b/>
          <w:bCs/>
          <w:sz w:val="22"/>
          <w:szCs w:val="22"/>
        </w:rPr>
        <w:t xml:space="preserve">Quiñones y Uzcátegui (2023), Revista Ciencia e Ingeniería, Universidad de Los Andes. </w:t>
      </w:r>
      <w:r>
        <w:rPr>
          <w:sz w:val="22"/>
          <w:szCs w:val="22"/>
        </w:rPr>
        <w:t xml:space="preserve">Gerencia BIM como sistema de optimización de recursos en proyectos de edificación, con integración de BIM y las áreas de conocimiento del PMI, incluyendo el tratamiento del modelo BIM como base de datos para el presupuesto. Es la fuente arbitrada venezolana de referencia.</w:t>
      </w:r>
    </w:p>
    <w:p>
      <w:pPr>
        <w:pStyle w:val="ListParagraph"/>
        <w:numPr>
          <w:ilvl w:val="0"/>
          <w:numId w:val="2"/>
        </w:numPr>
        <w:spacing w:after="90" w:line="276"/>
        <w:jc w:val="both"/>
      </w:pPr>
      <w:r>
        <w:rPr>
          <w:b/>
          <w:bCs/>
          <w:sz w:val="22"/>
          <w:szCs w:val="22"/>
        </w:rPr>
        <w:t xml:space="preserve">Garnica, Universidad Católica Andrés Bello. </w:t>
      </w:r>
      <w:r>
        <w:rPr>
          <w:sz w:val="22"/>
          <w:szCs w:val="22"/>
        </w:rPr>
        <w:t xml:space="preserve">Metodología integral orientada a la gestión de construcción eficiente mediante BIM, desarrollada en vinculación con la Cámara Venezolana de la Construcción. Documenta la escasez de profesionales formados en BIM en el país.</w:t>
      </w:r>
    </w:p>
    <w:p>
      <w:pPr>
        <w:pStyle w:val="ListParagraph"/>
        <w:numPr>
          <w:ilvl w:val="0"/>
          <w:numId w:val="2"/>
        </w:numPr>
        <w:spacing w:after="90" w:line="276"/>
        <w:jc w:val="both"/>
      </w:pPr>
      <w:r>
        <w:rPr>
          <w:b/>
          <w:bCs/>
          <w:sz w:val="22"/>
          <w:szCs w:val="22"/>
        </w:rPr>
        <w:t xml:space="preserve">Trabajos sobre el Factor de Costos Asociados al Salario. </w:t>
      </w:r>
      <w:r>
        <w:rPr>
          <w:sz w:val="22"/>
          <w:szCs w:val="22"/>
        </w:rPr>
        <w:t xml:space="preserve">Existe producción de pregrado sobre el análisis comparativo del FCAS según el contrato colectivo vigente, insumo directo para el motor de costos de mano de obra.</w:t>
      </w:r>
    </w:p>
    <w:p>
      <w:pPr>
        <w:spacing w:after="60" w:line="276"/>
        <w:jc w:val="both"/>
      </w:pPr>
      <w:r>
        <w:rPr>
          <w:sz w:val="22"/>
          <w:szCs w:val="22"/>
        </w:rPr>
        <w:t xml:space="preserve"/>
      </w:r>
    </w:p>
    <w:p>
      <w:pPr>
        <w:spacing w:after="120" w:line="276"/>
        <w:jc w:val="both"/>
      </w:pPr>
      <w:r>
        <w:rPr>
          <w:b/>
          <w:bCs/>
          <w:sz w:val="22"/>
          <w:szCs w:val="22"/>
        </w:rPr>
        <w:t xml:space="preserve">Conclusión de la revisión: </w:t>
      </w:r>
      <w:r>
        <w:rPr>
          <w:sz w:val="22"/>
          <w:szCs w:val="22"/>
        </w:rPr>
        <w:t xml:space="preserve">no se localizó ningún trabajo venezolano que aplique BIM 5D a la generación y validación de Análisis de Precios Unitarios, ni ninguno —en ningún ámbito— que integre modelo geométrico, aprendizaje automático, codificación COVENIN y la estructura de costos derivada de la normativa laboral venezolana. Este es el vacío que la propuesta ocupa.</w:t>
      </w:r>
    </w:p>
    <w:p>
      <w:pPr>
        <w:spacing w:after="60" w:line="276"/>
        <w:jc w:val="both"/>
      </w:pPr>
      <w:r>
        <w:rPr>
          <w:sz w:val="22"/>
          <w:szCs w:val="22"/>
        </w:rPr>
        <w:t xml:space="preserve"/>
      </w:r>
    </w:p>
    <w:p>
      <w:pPr>
        <w:spacing w:after="120" w:line="276"/>
        <w:jc w:val="both"/>
      </w:pPr>
      <w:r>
        <w:rPr>
          <w:i/>
          <w:iCs/>
          <w:color w:val="8B0000"/>
          <w:sz w:val="20"/>
          <w:szCs w:val="20"/>
        </w:rPr>
        <w:t xml:space="preserve">VERIFICAR: los años y la autoría exacta de los trabajos venezolanos deben confirmarse consultando directamente los repositorios institucionales (Saber ULA, repositorio UCAB, MRIUC de la Universidad de Carabobo, RIUJAP de la UJAP), dado que varias copias circulan alojadas en repositorios de terceros.</w:t>
      </w:r>
    </w:p>
    <w:p>
      <w:r>
        <w:br w:type="page"/>
      </w:r>
    </w:p>
    <w:p>
      <w:pPr>
        <w:pStyle w:val="Heading1"/>
        <w:spacing w:after="180" w:before="360"/>
      </w:pPr>
      <w:r>
        <w:t xml:space="preserve">8. Marco metodológico</w:t>
      </w:r>
    </w:p>
    <w:p>
      <w:pPr>
        <w:pStyle w:val="Heading2"/>
        <w:spacing w:after="140" w:before="260"/>
      </w:pPr>
      <w:r>
        <w:t xml:space="preserve">8.1 Tipo y diseño de investigación</w:t>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2600"/>
        <w:gridCol w:w="6760"/>
      </w:tblGrid>
      <w:tr>
        <w:tc>
          <w:tcPr>
            <w:tcW w:type="dxa" w:w="26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Aspecto</w:t>
            </w:r>
          </w:p>
        </w:tc>
        <w:tc>
          <w:tcPr>
            <w:tcW w:type="dxa" w:w="67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Definición</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Tipo</w:t>
            </w:r>
          </w:p>
        </w:tc>
        <w:tc>
          <w:tcPr>
            <w:tcW w:type="dxa" w:w="6760"/>
            <w:tcMar>
              <w:top w:type="dxa" w:w="90"/>
              <w:left w:type="dxa" w:w="130"/>
              <w:bottom w:type="dxa" w:w="90"/>
              <w:right w:type="dxa" w:w="130"/>
            </w:tcMar>
            <w:vAlign w:val="center"/>
          </w:tcPr>
          <w:p>
            <w:pPr>
              <w:spacing w:after="0" w:line="250"/>
              <w:jc w:val="left"/>
            </w:pPr>
            <w:r>
              <w:rPr>
                <w:sz w:val="20"/>
                <w:szCs w:val="20"/>
              </w:rPr>
              <w:t xml:space="preserve">Proyectiva o tecnológica aplicada: se orienta a la elaboración de una propuesta funcional que resuelve una situación identificada, no a la descripción o explicación de un fenómeno.</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Diseño</w:t>
            </w:r>
          </w:p>
        </w:tc>
        <w:tc>
          <w:tcPr>
            <w:tcW w:type="dxa" w:w="6760"/>
            <w:tcMar>
              <w:top w:type="dxa" w:w="90"/>
              <w:left w:type="dxa" w:w="130"/>
              <w:bottom w:type="dxa" w:w="90"/>
              <w:right w:type="dxa" w:w="130"/>
            </w:tcMar>
            <w:vAlign w:val="center"/>
          </w:tcPr>
          <w:p>
            <w:pPr>
              <w:spacing w:after="0" w:line="250"/>
              <w:jc w:val="left"/>
            </w:pPr>
            <w:r>
              <w:rPr>
                <w:sz w:val="20"/>
                <w:szCs w:val="20"/>
              </w:rPr>
              <w:t xml:space="preserve">Experimental de caso único, con medición antes y después sobre el mismo objeto.</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Enfoque</w:t>
            </w:r>
          </w:p>
        </w:tc>
        <w:tc>
          <w:tcPr>
            <w:tcW w:type="dxa" w:w="6760"/>
            <w:tcMar>
              <w:top w:type="dxa" w:w="90"/>
              <w:left w:type="dxa" w:w="130"/>
              <w:bottom w:type="dxa" w:w="90"/>
              <w:right w:type="dxa" w:w="130"/>
            </w:tcMar>
            <w:vAlign w:val="center"/>
          </w:tcPr>
          <w:p>
            <w:pPr>
              <w:spacing w:after="0" w:line="250"/>
              <w:jc w:val="left"/>
            </w:pPr>
            <w:r>
              <w:rPr>
                <w:sz w:val="20"/>
                <w:szCs w:val="20"/>
              </w:rPr>
              <w:t xml:space="preserve">Mixto: cuantitativo para las métricas de exactitud y tiempo; cualitativo para la validación por juicio de expertos.</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Unidad de análisis</w:t>
            </w:r>
          </w:p>
        </w:tc>
        <w:tc>
          <w:tcPr>
            <w:tcW w:type="dxa" w:w="6760"/>
            <w:tcMar>
              <w:top w:type="dxa" w:w="90"/>
              <w:left w:type="dxa" w:w="130"/>
              <w:bottom w:type="dxa" w:w="90"/>
              <w:right w:type="dxa" w:w="130"/>
            </w:tcMar>
            <w:vAlign w:val="center"/>
          </w:tcPr>
          <w:p>
            <w:pPr>
              <w:spacing w:after="0" w:line="250"/>
              <w:jc w:val="left"/>
            </w:pPr>
            <w:r>
              <w:rPr>
                <w:sz w:val="20"/>
                <w:szCs w:val="20"/>
              </w:rPr>
              <w:t xml:space="preserve">El sistema de drenaje de la clínica y su presupuesto asociado.</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Línea base</w:t>
            </w:r>
          </w:p>
        </w:tc>
        <w:tc>
          <w:tcPr>
            <w:tcW w:type="dxa" w:w="6760"/>
            <w:tcMar>
              <w:top w:type="dxa" w:w="90"/>
              <w:left w:type="dxa" w:w="130"/>
              <w:bottom w:type="dxa" w:w="90"/>
              <w:right w:type="dxa" w:w="130"/>
            </w:tcMar>
            <w:vAlign w:val="center"/>
          </w:tcPr>
          <w:p>
            <w:pPr>
              <w:spacing w:after="0" w:line="250"/>
              <w:jc w:val="left"/>
            </w:pPr>
            <w:r>
              <w:rPr>
                <w:sz w:val="20"/>
                <w:szCs w:val="20"/>
              </w:rPr>
              <w:t xml:space="preserve">El presupuesto elaborado manualmente, auditado y corregido, según sección 2.2.</w:t>
            </w:r>
          </w:p>
        </w:tc>
      </w:tr>
    </w:tbl>
    <w:p>
      <w:pPr>
        <w:spacing w:after="60" w:line="276"/>
        <w:jc w:val="both"/>
      </w:pPr>
      <w:r>
        <w:rPr>
          <w:sz w:val="22"/>
          <w:szCs w:val="22"/>
        </w:rPr>
        <w:t xml:space="preserve"/>
      </w:r>
    </w:p>
    <w:p>
      <w:pPr>
        <w:pStyle w:val="Heading2"/>
        <w:spacing w:after="140" w:before="260"/>
      </w:pPr>
      <w:r>
        <w:t xml:space="preserve">8.2 Fases de la investigación</w:t>
      </w:r>
    </w:p>
    <w:p>
      <w:pPr>
        <w:spacing w:after="120" w:line="276"/>
        <w:jc w:val="both"/>
      </w:pPr>
      <w:r>
        <w:rPr>
          <w:sz w:val="22"/>
          <w:szCs w:val="22"/>
        </w:rPr>
        <w:t xml:space="preserve">Cada fase corresponde a un objetivo específico y genera un producto verificable.</w:t>
      </w:r>
    </w:p>
    <w:p>
      <w:pPr>
        <w:spacing w:after="60" w:line="276"/>
        <w:jc w:val="both"/>
      </w:pPr>
      <w:r>
        <w:rPr>
          <w:sz w:val="22"/>
          <w:szCs w:val="22"/>
        </w:rPr>
        <w:t xml:space="preserve"/>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900"/>
        <w:gridCol w:w="2500"/>
        <w:gridCol w:w="3200"/>
        <w:gridCol w:w="2760"/>
      </w:tblGrid>
      <w:tr>
        <w:tc>
          <w:tcPr>
            <w:tcW w:type="dxa" w:w="9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Fase</w:t>
            </w:r>
          </w:p>
        </w:tc>
        <w:tc>
          <w:tcPr>
            <w:tcW w:type="dxa" w:w="25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Denominación</w:t>
            </w:r>
          </w:p>
        </w:tc>
        <w:tc>
          <w:tcPr>
            <w:tcW w:type="dxa" w:w="32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Actividades</w:t>
            </w:r>
          </w:p>
        </w:tc>
        <w:tc>
          <w:tcPr>
            <w:tcW w:type="dxa" w:w="27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Producto</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I</w:t>
            </w:r>
          </w:p>
        </w:tc>
        <w:tc>
          <w:tcPr>
            <w:tcW w:type="dxa" w:w="2500"/>
            <w:tcMar>
              <w:top w:type="dxa" w:w="90"/>
              <w:left w:type="dxa" w:w="130"/>
              <w:bottom w:type="dxa" w:w="90"/>
              <w:right w:type="dxa" w:w="130"/>
            </w:tcMar>
            <w:vAlign w:val="center"/>
          </w:tcPr>
          <w:p>
            <w:pPr>
              <w:spacing w:after="0" w:line="250"/>
              <w:jc w:val="left"/>
            </w:pPr>
            <w:r>
              <w:rPr>
                <w:sz w:val="20"/>
                <w:szCs w:val="20"/>
              </w:rPr>
              <w:t xml:space="preserve">Diagnóstico</w:t>
            </w:r>
          </w:p>
        </w:tc>
        <w:tc>
          <w:tcPr>
            <w:tcW w:type="dxa" w:w="3200"/>
            <w:tcMar>
              <w:top w:type="dxa" w:w="90"/>
              <w:left w:type="dxa" w:w="130"/>
              <w:bottom w:type="dxa" w:w="90"/>
              <w:right w:type="dxa" w:w="130"/>
            </w:tcMar>
            <w:vAlign w:val="center"/>
          </w:tcPr>
          <w:p>
            <w:pPr>
              <w:spacing w:after="0" w:line="250"/>
              <w:jc w:val="left"/>
            </w:pPr>
            <w:r>
              <w:rPr>
                <w:sz w:val="20"/>
                <w:szCs w:val="20"/>
              </w:rPr>
              <w:t xml:space="preserve">Auditoría del presupuesto manual, recálculo desde la geometría, medición de tiempos de elaboración.</w:t>
            </w:r>
          </w:p>
        </w:tc>
        <w:tc>
          <w:tcPr>
            <w:tcW w:type="dxa" w:w="2760"/>
            <w:tcMar>
              <w:top w:type="dxa" w:w="90"/>
              <w:left w:type="dxa" w:w="130"/>
              <w:bottom w:type="dxa" w:w="90"/>
              <w:right w:type="dxa" w:w="130"/>
            </w:tcMar>
            <w:vAlign w:val="center"/>
          </w:tcPr>
          <w:p>
            <w:pPr>
              <w:spacing w:after="0" w:line="250"/>
              <w:jc w:val="left"/>
            </w:pPr>
            <w:r>
              <w:rPr>
                <w:sz w:val="20"/>
                <w:szCs w:val="20"/>
              </w:rPr>
              <w:t xml:space="preserve">Línea base cuantificada y cómputo métrico corregido.</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II</w:t>
            </w:r>
          </w:p>
        </w:tc>
        <w:tc>
          <w:tcPr>
            <w:tcW w:type="dxa" w:w="2500"/>
            <w:tcMar>
              <w:top w:type="dxa" w:w="90"/>
              <w:left w:type="dxa" w:w="130"/>
              <w:bottom w:type="dxa" w:w="90"/>
              <w:right w:type="dxa" w:w="130"/>
            </w:tcMar>
            <w:vAlign w:val="center"/>
          </w:tcPr>
          <w:p>
            <w:pPr>
              <w:spacing w:after="0" w:line="250"/>
              <w:jc w:val="left"/>
            </w:pPr>
            <w:r>
              <w:rPr>
                <w:sz w:val="20"/>
                <w:szCs w:val="20"/>
              </w:rPr>
              <w:t xml:space="preserve">Modelado y extracción</w:t>
            </w:r>
          </w:p>
        </w:tc>
        <w:tc>
          <w:tcPr>
            <w:tcW w:type="dxa" w:w="3200"/>
            <w:tcMar>
              <w:top w:type="dxa" w:w="90"/>
              <w:left w:type="dxa" w:w="130"/>
              <w:bottom w:type="dxa" w:w="90"/>
              <w:right w:type="dxa" w:w="130"/>
            </w:tcMar>
            <w:vAlign w:val="center"/>
          </w:tcPr>
          <w:p>
            <w:pPr>
              <w:spacing w:after="0" w:line="250"/>
              <w:jc w:val="left"/>
            </w:pPr>
            <w:r>
              <w:rPr>
                <w:sz w:val="20"/>
                <w:szCs w:val="20"/>
              </w:rPr>
              <w:t xml:space="preserve">Construcción de familias paramétricas, modelado del sistema, exportación IFC, desarrollo del extractor de cantidades.</w:t>
            </w:r>
          </w:p>
        </w:tc>
        <w:tc>
          <w:tcPr>
            <w:tcW w:type="dxa" w:w="2760"/>
            <w:tcMar>
              <w:top w:type="dxa" w:w="90"/>
              <w:left w:type="dxa" w:w="130"/>
              <w:bottom w:type="dxa" w:w="90"/>
              <w:right w:type="dxa" w:w="130"/>
            </w:tcMar>
            <w:vAlign w:val="center"/>
          </w:tcPr>
          <w:p>
            <w:pPr>
              <w:spacing w:after="0" w:line="250"/>
              <w:jc w:val="left"/>
            </w:pPr>
            <w:r>
              <w:rPr>
                <w:sz w:val="20"/>
                <w:szCs w:val="20"/>
              </w:rPr>
              <w:t xml:space="preserve">Modelo IFC y rutina de cómputo automatizado.</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III</w:t>
            </w:r>
          </w:p>
        </w:tc>
        <w:tc>
          <w:tcPr>
            <w:tcW w:type="dxa" w:w="2500"/>
            <w:tcMar>
              <w:top w:type="dxa" w:w="90"/>
              <w:left w:type="dxa" w:w="130"/>
              <w:bottom w:type="dxa" w:w="90"/>
              <w:right w:type="dxa" w:w="130"/>
            </w:tcMar>
            <w:vAlign w:val="center"/>
          </w:tcPr>
          <w:p>
            <w:pPr>
              <w:spacing w:after="0" w:line="250"/>
              <w:jc w:val="left"/>
            </w:pPr>
            <w:r>
              <w:rPr>
                <w:sz w:val="20"/>
                <w:szCs w:val="20"/>
              </w:rPr>
              <w:t xml:space="preserve">Base de datos y motor de costos</w:t>
            </w:r>
          </w:p>
        </w:tc>
        <w:tc>
          <w:tcPr>
            <w:tcW w:type="dxa" w:w="3200"/>
            <w:tcMar>
              <w:top w:type="dxa" w:w="90"/>
              <w:left w:type="dxa" w:w="130"/>
              <w:bottom w:type="dxa" w:w="90"/>
              <w:right w:type="dxa" w:w="130"/>
            </w:tcMar>
            <w:vAlign w:val="center"/>
          </w:tcPr>
          <w:p>
            <w:pPr>
              <w:spacing w:after="0" w:line="250"/>
              <w:jc w:val="left"/>
            </w:pPr>
            <w:r>
              <w:rPr>
                <w:sz w:val="20"/>
                <w:szCs w:val="20"/>
              </w:rPr>
              <w:t xml:space="preserve">Diseño del esquema de datos, carga de partidas COVENIN, implementación de FCAS, cestaticket y depreciación.</w:t>
            </w:r>
          </w:p>
        </w:tc>
        <w:tc>
          <w:tcPr>
            <w:tcW w:type="dxa" w:w="2760"/>
            <w:tcMar>
              <w:top w:type="dxa" w:w="90"/>
              <w:left w:type="dxa" w:w="130"/>
              <w:bottom w:type="dxa" w:w="90"/>
              <w:right w:type="dxa" w:w="130"/>
            </w:tcMar>
            <w:vAlign w:val="center"/>
          </w:tcPr>
          <w:p>
            <w:pPr>
              <w:spacing w:after="0" w:line="250"/>
              <w:jc w:val="left"/>
            </w:pPr>
            <w:r>
              <w:rPr>
                <w:sz w:val="20"/>
                <w:szCs w:val="20"/>
              </w:rPr>
              <w:t xml:space="preserve">Base de datos de APU y motor de cálculo.</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IV</w:t>
            </w:r>
          </w:p>
        </w:tc>
        <w:tc>
          <w:tcPr>
            <w:tcW w:type="dxa" w:w="2500"/>
            <w:tcMar>
              <w:top w:type="dxa" w:w="90"/>
              <w:left w:type="dxa" w:w="130"/>
              <w:bottom w:type="dxa" w:w="90"/>
              <w:right w:type="dxa" w:w="130"/>
            </w:tcMar>
            <w:vAlign w:val="center"/>
          </w:tcPr>
          <w:p>
            <w:pPr>
              <w:spacing w:after="0" w:line="250"/>
              <w:jc w:val="left"/>
            </w:pPr>
            <w:r>
              <w:rPr>
                <w:sz w:val="20"/>
                <w:szCs w:val="20"/>
              </w:rPr>
              <w:t xml:space="preserve">Aprendizaje automático</w:t>
            </w:r>
          </w:p>
        </w:tc>
        <w:tc>
          <w:tcPr>
            <w:tcW w:type="dxa" w:w="3200"/>
            <w:tcMar>
              <w:top w:type="dxa" w:w="90"/>
              <w:left w:type="dxa" w:w="130"/>
              <w:bottom w:type="dxa" w:w="90"/>
              <w:right w:type="dxa" w:w="130"/>
            </w:tcMar>
            <w:vAlign w:val="center"/>
          </w:tcPr>
          <w:p>
            <w:pPr>
              <w:spacing w:after="0" w:line="250"/>
              <w:jc w:val="left"/>
            </w:pPr>
            <w:r>
              <w:rPr>
                <w:sz w:val="20"/>
                <w:szCs w:val="20"/>
              </w:rPr>
              <w:t xml:space="preserve">Recolección del conjunto de datos, normalización semántica de partidas, entrenamiento y ajuste de modelos.</w:t>
            </w:r>
          </w:p>
        </w:tc>
        <w:tc>
          <w:tcPr>
            <w:tcW w:type="dxa" w:w="2760"/>
            <w:tcMar>
              <w:top w:type="dxa" w:w="90"/>
              <w:left w:type="dxa" w:w="130"/>
              <w:bottom w:type="dxa" w:w="90"/>
              <w:right w:type="dxa" w:w="130"/>
            </w:tcMar>
            <w:vAlign w:val="center"/>
          </w:tcPr>
          <w:p>
            <w:pPr>
              <w:spacing w:after="0" w:line="250"/>
              <w:jc w:val="left"/>
            </w:pPr>
            <w:r>
              <w:rPr>
                <w:sz w:val="20"/>
                <w:szCs w:val="20"/>
              </w:rPr>
              <w:t xml:space="preserve">Módulos de clasificación, predicción y detección de anomalías.</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V</w:t>
            </w:r>
          </w:p>
        </w:tc>
        <w:tc>
          <w:tcPr>
            <w:tcW w:type="dxa" w:w="2500"/>
            <w:tcMar>
              <w:top w:type="dxa" w:w="90"/>
              <w:left w:type="dxa" w:w="130"/>
              <w:bottom w:type="dxa" w:w="90"/>
              <w:right w:type="dxa" w:w="130"/>
            </w:tcMar>
            <w:vAlign w:val="center"/>
          </w:tcPr>
          <w:p>
            <w:pPr>
              <w:spacing w:after="0" w:line="250"/>
              <w:jc w:val="left"/>
            </w:pPr>
            <w:r>
              <w:rPr>
                <w:sz w:val="20"/>
                <w:szCs w:val="20"/>
              </w:rPr>
              <w:t xml:space="preserve">Verificación</w:t>
            </w:r>
          </w:p>
        </w:tc>
        <w:tc>
          <w:tcPr>
            <w:tcW w:type="dxa" w:w="3200"/>
            <w:tcMar>
              <w:top w:type="dxa" w:w="90"/>
              <w:left w:type="dxa" w:w="130"/>
              <w:bottom w:type="dxa" w:w="90"/>
              <w:right w:type="dxa" w:w="130"/>
            </w:tcMar>
            <w:vAlign w:val="center"/>
          </w:tcPr>
          <w:p>
            <w:pPr>
              <w:spacing w:after="0" w:line="250"/>
              <w:jc w:val="left"/>
            </w:pPr>
            <w:r>
              <w:rPr>
                <w:sz w:val="20"/>
                <w:szCs w:val="20"/>
              </w:rPr>
              <w:t xml:space="preserve">Implementación de las reglas de consistencia entre geometría, cómputo, presupuesto y curva de inversión.</w:t>
            </w:r>
          </w:p>
        </w:tc>
        <w:tc>
          <w:tcPr>
            <w:tcW w:type="dxa" w:w="2760"/>
            <w:tcMar>
              <w:top w:type="dxa" w:w="90"/>
              <w:left w:type="dxa" w:w="130"/>
              <w:bottom w:type="dxa" w:w="90"/>
              <w:right w:type="dxa" w:w="130"/>
            </w:tcMar>
            <w:vAlign w:val="center"/>
          </w:tcPr>
          <w:p>
            <w:pPr>
              <w:spacing w:after="0" w:line="250"/>
              <w:jc w:val="left"/>
            </w:pPr>
            <w:r>
              <w:rPr>
                <w:sz w:val="20"/>
                <w:szCs w:val="20"/>
              </w:rPr>
              <w:t xml:space="preserve">Sistema de auditoría automática.</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VI</w:t>
            </w:r>
          </w:p>
        </w:tc>
        <w:tc>
          <w:tcPr>
            <w:tcW w:type="dxa" w:w="2500"/>
            <w:tcMar>
              <w:top w:type="dxa" w:w="90"/>
              <w:left w:type="dxa" w:w="130"/>
              <w:bottom w:type="dxa" w:w="90"/>
              <w:right w:type="dxa" w:w="130"/>
            </w:tcMar>
            <w:vAlign w:val="center"/>
          </w:tcPr>
          <w:p>
            <w:pPr>
              <w:spacing w:after="0" w:line="250"/>
              <w:jc w:val="left"/>
            </w:pPr>
            <w:r>
              <w:rPr>
                <w:sz w:val="20"/>
                <w:szCs w:val="20"/>
              </w:rPr>
              <w:t xml:space="preserve">Evaluación</w:t>
            </w:r>
          </w:p>
        </w:tc>
        <w:tc>
          <w:tcPr>
            <w:tcW w:type="dxa" w:w="3200"/>
            <w:tcMar>
              <w:top w:type="dxa" w:w="90"/>
              <w:left w:type="dxa" w:w="130"/>
              <w:bottom w:type="dxa" w:w="90"/>
              <w:right w:type="dxa" w:w="130"/>
            </w:tcMar>
            <w:vAlign w:val="center"/>
          </w:tcPr>
          <w:p>
            <w:pPr>
              <w:spacing w:after="0" w:line="250"/>
              <w:jc w:val="left"/>
            </w:pPr>
            <w:r>
              <w:rPr>
                <w:sz w:val="20"/>
                <w:szCs w:val="20"/>
              </w:rPr>
              <w:t xml:space="preserve">Contraste con la línea base, cálculo de métricas de error, validación por juicio de expertos.</w:t>
            </w:r>
          </w:p>
        </w:tc>
        <w:tc>
          <w:tcPr>
            <w:tcW w:type="dxa" w:w="2760"/>
            <w:tcMar>
              <w:top w:type="dxa" w:w="90"/>
              <w:left w:type="dxa" w:w="130"/>
              <w:bottom w:type="dxa" w:w="90"/>
              <w:right w:type="dxa" w:w="130"/>
            </w:tcMar>
            <w:vAlign w:val="center"/>
          </w:tcPr>
          <w:p>
            <w:pPr>
              <w:spacing w:after="0" w:line="250"/>
              <w:jc w:val="left"/>
            </w:pPr>
            <w:r>
              <w:rPr>
                <w:sz w:val="20"/>
                <w:szCs w:val="20"/>
              </w:rPr>
              <w:t xml:space="preserve">Informe de resultados y conclusiones.</w:t>
            </w:r>
          </w:p>
        </w:tc>
      </w:tr>
    </w:tbl>
    <w:p>
      <w:pPr>
        <w:spacing w:after="60" w:line="276"/>
        <w:jc w:val="both"/>
      </w:pPr>
      <w:r>
        <w:rPr>
          <w:sz w:val="22"/>
          <w:szCs w:val="22"/>
        </w:rPr>
        <w:t xml:space="preserve"/>
      </w:r>
    </w:p>
    <w:p>
      <w:pPr>
        <w:pStyle w:val="Heading2"/>
        <w:spacing w:after="140" w:before="260"/>
      </w:pPr>
      <w:r>
        <w:t xml:space="preserve">8.3 Técnicas e instrumentos</w:t>
      </w:r>
    </w:p>
    <w:p>
      <w:pPr>
        <w:pStyle w:val="ListParagraph"/>
        <w:numPr>
          <w:ilvl w:val="0"/>
          <w:numId w:val="2"/>
        </w:numPr>
        <w:spacing w:after="90" w:line="276"/>
        <w:jc w:val="both"/>
      </w:pPr>
      <w:r>
        <w:rPr>
          <w:b/>
          <w:bCs/>
          <w:sz w:val="22"/>
          <w:szCs w:val="22"/>
        </w:rPr>
        <w:t xml:space="preserve">Análisis documental: </w:t>
      </w:r>
      <w:r>
        <w:rPr>
          <w:sz w:val="22"/>
          <w:szCs w:val="22"/>
        </w:rPr>
        <w:t xml:space="preserve">presupuestos, cómputos métricos y APU de obras ejecutadas, incluyendo los contenidos en anexos de trabajos de grado previos.</w:t>
      </w:r>
    </w:p>
    <w:p>
      <w:pPr>
        <w:pStyle w:val="ListParagraph"/>
        <w:numPr>
          <w:ilvl w:val="0"/>
          <w:numId w:val="2"/>
        </w:numPr>
        <w:spacing w:after="90" w:line="276"/>
        <w:jc w:val="both"/>
      </w:pPr>
      <w:r>
        <w:rPr>
          <w:b/>
          <w:bCs/>
          <w:sz w:val="22"/>
          <w:szCs w:val="22"/>
        </w:rPr>
        <w:t xml:space="preserve">Observación estructurada: </w:t>
      </w:r>
      <w:r>
        <w:rPr>
          <w:sz w:val="22"/>
          <w:szCs w:val="22"/>
        </w:rPr>
        <w:t xml:space="preserve">registro de tiempos de elaboración en el procedimiento manual y en el automatizado.</w:t>
      </w:r>
    </w:p>
    <w:p>
      <w:pPr>
        <w:pStyle w:val="ListParagraph"/>
        <w:numPr>
          <w:ilvl w:val="0"/>
          <w:numId w:val="2"/>
        </w:numPr>
        <w:spacing w:after="90" w:line="276"/>
        <w:jc w:val="both"/>
      </w:pPr>
      <w:r>
        <w:rPr>
          <w:b/>
          <w:bCs/>
          <w:sz w:val="22"/>
          <w:szCs w:val="22"/>
        </w:rPr>
        <w:t xml:space="preserve">Juicio de expertos: </w:t>
      </w:r>
      <w:r>
        <w:rPr>
          <w:sz w:val="22"/>
          <w:szCs w:val="22"/>
        </w:rPr>
        <w:t xml:space="preserve">instrumento tipo Likert aplicado a un panel de tres a cinco ingenieros con experiencia en costos de obra, para valorar pertinencia, exactitud y aplicabilidad.</w:t>
      </w:r>
    </w:p>
    <w:p>
      <w:pPr>
        <w:pStyle w:val="ListParagraph"/>
        <w:numPr>
          <w:ilvl w:val="0"/>
          <w:numId w:val="2"/>
        </w:numPr>
        <w:spacing w:after="90" w:line="276"/>
        <w:jc w:val="both"/>
      </w:pPr>
      <w:r>
        <w:rPr>
          <w:b/>
          <w:bCs/>
          <w:sz w:val="22"/>
          <w:szCs w:val="22"/>
        </w:rPr>
        <w:t xml:space="preserve">Experimentación computacional: </w:t>
      </w:r>
      <w:r>
        <w:rPr>
          <w:sz w:val="22"/>
          <w:szCs w:val="22"/>
        </w:rPr>
        <w:t xml:space="preserve">validación cruzada y partición de entrenamiento y prueba para los modelos predictivos.</w:t>
      </w:r>
    </w:p>
    <w:p>
      <w:pPr>
        <w:pStyle w:val="Heading2"/>
        <w:spacing w:after="140" w:before="260"/>
      </w:pPr>
      <w:r>
        <w:t xml:space="preserve">8.4 Fuentes de datos</w:t>
      </w:r>
    </w:p>
    <w:p>
      <w:pPr>
        <w:spacing w:after="120" w:line="276"/>
        <w:jc w:val="both"/>
      </w:pPr>
      <w:r>
        <w:rPr>
          <w:sz w:val="22"/>
          <w:szCs w:val="22"/>
        </w:rPr>
        <w:t xml:space="preserve">La disponibilidad de datos constituye el principal riesgo de la investigación y debe quedar resuelta antes de la aprobación del anteproyecto. Las fuentes previstas, en orden de prioridad:</w:t>
      </w:r>
    </w:p>
    <w:p>
      <w:pPr>
        <w:pStyle w:val="ListParagraph"/>
        <w:numPr>
          <w:ilvl w:val="0"/>
          <w:numId w:val="3"/>
        </w:numPr>
        <w:spacing w:after="90" w:line="276"/>
        <w:jc w:val="both"/>
      </w:pPr>
      <w:r>
        <w:rPr>
          <w:b/>
          <w:bCs/>
          <w:sz w:val="22"/>
          <w:szCs w:val="22"/>
        </w:rPr>
        <w:t xml:space="preserve">Base de datos de partidas y precios de referencia MaPreX (DataLaing), </w:t>
      </w:r>
      <w:r>
        <w:rPr>
          <w:sz w:val="22"/>
          <w:szCs w:val="22"/>
        </w:rPr>
        <w:t xml:space="preserve">que aporta el esquema de datos, el catálogo codificado bajo COVENIN y precios de mercado actualizados con índices del Banco Central de Venezuela. Requiere gestionar autorización de uso académico.</w:t>
      </w:r>
    </w:p>
    <w:p>
      <w:pPr>
        <w:pStyle w:val="ListParagraph"/>
        <w:numPr>
          <w:ilvl w:val="0"/>
          <w:numId w:val="3"/>
        </w:numPr>
        <w:spacing w:after="90" w:line="276"/>
        <w:jc w:val="both"/>
      </w:pPr>
      <w:r>
        <w:rPr>
          <w:b/>
          <w:bCs/>
          <w:sz w:val="22"/>
          <w:szCs w:val="22"/>
        </w:rPr>
        <w:t xml:space="preserve">Anexos de trabajos de grado previos </w:t>
      </w:r>
      <w:r>
        <w:rPr>
          <w:sz w:val="22"/>
          <w:szCs w:val="22"/>
        </w:rPr>
        <w:t xml:space="preserve">sobre presupuestos de obra, que contienen APU reales completamente desglosados. Cinco trabajos pueden aportar entre doscientos y trescientos registros.</w:t>
      </w:r>
    </w:p>
    <w:p>
      <w:pPr>
        <w:pStyle w:val="ListParagraph"/>
        <w:numPr>
          <w:ilvl w:val="0"/>
          <w:numId w:val="3"/>
        </w:numPr>
        <w:spacing w:after="90" w:line="276"/>
        <w:jc w:val="both"/>
      </w:pPr>
      <w:r>
        <w:rPr>
          <w:b/>
          <w:bCs/>
          <w:sz w:val="22"/>
          <w:szCs w:val="22"/>
        </w:rPr>
        <w:t xml:space="preserve">Presupuestos de obras ejecutadas </w:t>
      </w:r>
      <w:r>
        <w:rPr>
          <w:sz w:val="22"/>
          <w:szCs w:val="22"/>
        </w:rPr>
        <w:t xml:space="preserve">facilitados por empresas constructoras o entes públicos, sujeto a convenio.</w:t>
      </w:r>
    </w:p>
    <w:p>
      <w:pPr>
        <w:pStyle w:val="ListParagraph"/>
        <w:numPr>
          <w:ilvl w:val="0"/>
          <w:numId w:val="3"/>
        </w:numPr>
        <w:spacing w:after="90" w:line="276"/>
        <w:jc w:val="both"/>
      </w:pPr>
      <w:r>
        <w:rPr>
          <w:b/>
          <w:bCs/>
          <w:sz w:val="22"/>
          <w:szCs w:val="22"/>
        </w:rPr>
        <w:t xml:space="preserve">Conjunto sintético por variación paramétrica </w:t>
      </w:r>
      <w:r>
        <w:rPr>
          <w:sz w:val="22"/>
          <w:szCs w:val="22"/>
        </w:rPr>
        <w:t xml:space="preserve">sobre APU reales, únicamente como recurso de contingencia y declarado expresamente como limitación.</w:t>
      </w:r>
    </w:p>
    <w:p>
      <w:pPr>
        <w:pStyle w:val="Heading2"/>
        <w:spacing w:after="140" w:before="260"/>
      </w:pPr>
      <w:r>
        <w:t xml:space="preserve">8.5 Criterios de validación</w:t>
      </w:r>
    </w:p>
    <w:p>
      <w:pPr>
        <w:spacing w:after="120" w:line="276"/>
        <w:jc w:val="both"/>
      </w:pPr>
      <w:r>
        <w:rPr>
          <w:sz w:val="22"/>
          <w:szCs w:val="22"/>
        </w:rPr>
        <w:t xml:space="preserve">El desempeño se evalúa mediante error porcentual absoluto medio, raíz del error cuadrático medio y coeficiente de determinación para los modelos predictivos; desviación porcentual entre el presupuesto generado y el presupuesto de referencia; reducción del tiempo de elaboración; y número de inconsistencias detectadas sobre las siete documentadas en la línea base.</w:t>
      </w:r>
    </w:p>
    <w:p>
      <w:pPr>
        <w:spacing w:after="120" w:line="276"/>
        <w:jc w:val="both"/>
      </w:pPr>
      <w:r>
        <w:rPr>
          <w:sz w:val="22"/>
          <w:szCs w:val="22"/>
        </w:rPr>
        <w:t xml:space="preserve">Como marco de contraste externo se emplea el sistema de clasificación de estimaciones de AACE International, que vincula el rango de exactitud esperado con el grado de definición del proyecto. Partiendo de un modelo tridimensional con cómputo derivado de la geometría, la investigación se sitúa en Clase 3, cuyo rango típico de exactitud se ubica entre −10 % y −20 % en el extremo inferior y entre +10 % y +30 % en el superior. La declaración explícita de la clase objetivo es requisito para que la evaluación de resultados sea interpretable.</w:t>
      </w:r>
    </w:p>
    <w:p>
      <w:r>
        <w:br w:type="page"/>
      </w:r>
    </w:p>
    <w:p>
      <w:pPr>
        <w:pStyle w:val="Heading1"/>
        <w:spacing w:after="180" w:before="360"/>
      </w:pPr>
      <w:r>
        <w:t xml:space="preserve">9. Arquitectura técnica propuesta</w:t>
      </w:r>
    </w:p>
    <w:p>
      <w:pPr>
        <w:pStyle w:val="Heading2"/>
        <w:spacing w:after="140" w:before="260"/>
      </w:pPr>
      <w:r>
        <w:t xml:space="preserve">9.1 Estructura por capas</w:t>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700"/>
        <w:gridCol w:w="2200"/>
        <w:gridCol w:w="3100"/>
        <w:gridCol w:w="3360"/>
      </w:tblGrid>
      <w:tr>
        <w:tc>
          <w:tcPr>
            <w:tcW w:type="dxa" w:w="7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N°</w:t>
            </w:r>
          </w:p>
        </w:tc>
        <w:tc>
          <w:tcPr>
            <w:tcW w:type="dxa" w:w="22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Capa</w:t>
            </w:r>
          </w:p>
        </w:tc>
        <w:tc>
          <w:tcPr>
            <w:tcW w:type="dxa" w:w="31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Función</w:t>
            </w:r>
          </w:p>
        </w:tc>
        <w:tc>
          <w:tcPr>
            <w:tcW w:type="dxa" w:w="33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Herramienta prevista</w:t>
            </w:r>
          </w:p>
        </w:tc>
      </w:tr>
      <w:tr>
        <w:tc>
          <w:tcPr>
            <w:tcW w:type="dxa" w:w="7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1</w:t>
            </w:r>
          </w:p>
        </w:tc>
        <w:tc>
          <w:tcPr>
            <w:tcW w:type="dxa" w:w="2200"/>
            <w:tcMar>
              <w:top w:type="dxa" w:w="90"/>
              <w:left w:type="dxa" w:w="130"/>
              <w:bottom w:type="dxa" w:w="90"/>
              <w:right w:type="dxa" w:w="130"/>
            </w:tcMar>
            <w:vAlign w:val="center"/>
          </w:tcPr>
          <w:p>
            <w:pPr>
              <w:spacing w:after="0" w:line="250"/>
              <w:jc w:val="left"/>
            </w:pPr>
            <w:r>
              <w:rPr>
                <w:sz w:val="20"/>
                <w:szCs w:val="20"/>
              </w:rPr>
              <w:t xml:space="preserve">Modelado paramétrico</w:t>
            </w:r>
          </w:p>
        </w:tc>
        <w:tc>
          <w:tcPr>
            <w:tcW w:type="dxa" w:w="3100"/>
            <w:tcMar>
              <w:top w:type="dxa" w:w="90"/>
              <w:left w:type="dxa" w:w="130"/>
              <w:bottom w:type="dxa" w:w="90"/>
              <w:right w:type="dxa" w:w="130"/>
            </w:tcMar>
            <w:vAlign w:val="center"/>
          </w:tcPr>
          <w:p>
            <w:pPr>
              <w:spacing w:after="0" w:line="250"/>
              <w:jc w:val="left"/>
            </w:pPr>
            <w:r>
              <w:rPr>
                <w:sz w:val="20"/>
                <w:szCs w:val="20"/>
              </w:rPr>
              <w:t xml:space="preserve">Construcción de la geometría con parámetros de diseño asociados.</w:t>
            </w:r>
          </w:p>
        </w:tc>
        <w:tc>
          <w:tcPr>
            <w:tcW w:type="dxa" w:w="3360"/>
            <w:tcMar>
              <w:top w:type="dxa" w:w="90"/>
              <w:left w:type="dxa" w:w="130"/>
              <w:bottom w:type="dxa" w:w="90"/>
              <w:right w:type="dxa" w:w="130"/>
            </w:tcMar>
            <w:vAlign w:val="center"/>
          </w:tcPr>
          <w:p>
            <w:pPr>
              <w:spacing w:after="0" w:line="250"/>
              <w:jc w:val="left"/>
            </w:pPr>
            <w:r>
              <w:rPr>
                <w:sz w:val="20"/>
                <w:szCs w:val="20"/>
              </w:rPr>
              <w:t xml:space="preserve">Autodesk Revit (licencia educativa). Alternativa libre: Bonsai / FreeCAD con IfcOpenShell.</w:t>
            </w:r>
          </w:p>
        </w:tc>
      </w:tr>
      <w:tr>
        <w:tc>
          <w:tcPr>
            <w:tcW w:type="dxa" w:w="7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2</w:t>
            </w:r>
          </w:p>
        </w:tc>
        <w:tc>
          <w:tcPr>
            <w:tcW w:type="dxa" w:w="2200"/>
            <w:tcMar>
              <w:top w:type="dxa" w:w="90"/>
              <w:left w:type="dxa" w:w="130"/>
              <w:bottom w:type="dxa" w:w="90"/>
              <w:right w:type="dxa" w:w="130"/>
            </w:tcMar>
            <w:vAlign w:val="center"/>
          </w:tcPr>
          <w:p>
            <w:pPr>
              <w:spacing w:after="0" w:line="250"/>
              <w:jc w:val="left"/>
            </w:pPr>
            <w:r>
              <w:rPr>
                <w:sz w:val="20"/>
                <w:szCs w:val="20"/>
              </w:rPr>
              <w:t xml:space="preserve">Intercambio</w:t>
            </w:r>
          </w:p>
        </w:tc>
        <w:tc>
          <w:tcPr>
            <w:tcW w:type="dxa" w:w="3100"/>
            <w:tcMar>
              <w:top w:type="dxa" w:w="90"/>
              <w:left w:type="dxa" w:w="130"/>
              <w:bottom w:type="dxa" w:w="90"/>
              <w:right w:type="dxa" w:w="130"/>
            </w:tcMar>
            <w:vAlign w:val="center"/>
          </w:tcPr>
          <w:p>
            <w:pPr>
              <w:spacing w:after="0" w:line="250"/>
              <w:jc w:val="left"/>
            </w:pPr>
            <w:r>
              <w:rPr>
                <w:sz w:val="20"/>
                <w:szCs w:val="20"/>
              </w:rPr>
              <w:t xml:space="preserve">Exportación a formato abierto, independiente del software de modelado.</w:t>
            </w:r>
          </w:p>
        </w:tc>
        <w:tc>
          <w:tcPr>
            <w:tcW w:type="dxa" w:w="3360"/>
            <w:tcMar>
              <w:top w:type="dxa" w:w="90"/>
              <w:left w:type="dxa" w:w="130"/>
              <w:bottom w:type="dxa" w:w="90"/>
              <w:right w:type="dxa" w:w="130"/>
            </w:tcMar>
            <w:vAlign w:val="center"/>
          </w:tcPr>
          <w:p>
            <w:pPr>
              <w:spacing w:after="0" w:line="250"/>
              <w:jc w:val="left"/>
            </w:pPr>
            <w:r>
              <w:rPr>
                <w:sz w:val="20"/>
                <w:szCs w:val="20"/>
              </w:rPr>
              <w:t xml:space="preserve">IFC 4</w:t>
            </w:r>
          </w:p>
        </w:tc>
      </w:tr>
      <w:tr>
        <w:tc>
          <w:tcPr>
            <w:tcW w:type="dxa" w:w="7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3</w:t>
            </w:r>
          </w:p>
        </w:tc>
        <w:tc>
          <w:tcPr>
            <w:tcW w:type="dxa" w:w="2200"/>
            <w:tcMar>
              <w:top w:type="dxa" w:w="90"/>
              <w:left w:type="dxa" w:w="130"/>
              <w:bottom w:type="dxa" w:w="90"/>
              <w:right w:type="dxa" w:w="130"/>
            </w:tcMar>
            <w:vAlign w:val="center"/>
          </w:tcPr>
          <w:p>
            <w:pPr>
              <w:spacing w:after="0" w:line="250"/>
              <w:jc w:val="left"/>
            </w:pPr>
            <w:r>
              <w:rPr>
                <w:sz w:val="20"/>
                <w:szCs w:val="20"/>
              </w:rPr>
              <w:t xml:space="preserve">Extracción de cantidades</w:t>
            </w:r>
          </w:p>
        </w:tc>
        <w:tc>
          <w:tcPr>
            <w:tcW w:type="dxa" w:w="3100"/>
            <w:tcMar>
              <w:top w:type="dxa" w:w="90"/>
              <w:left w:type="dxa" w:w="130"/>
              <w:bottom w:type="dxa" w:w="90"/>
              <w:right w:type="dxa" w:w="130"/>
            </w:tcMar>
            <w:vAlign w:val="center"/>
          </w:tcPr>
          <w:p>
            <w:pPr>
              <w:spacing w:after="0" w:line="250"/>
              <w:jc w:val="left"/>
            </w:pPr>
            <w:r>
              <w:rPr>
                <w:sz w:val="20"/>
                <w:szCs w:val="20"/>
              </w:rPr>
              <w:t xml:space="preserve">Lectura del IFC, obtención de cantidades geométricas y agrupación por partida.</w:t>
            </w:r>
          </w:p>
        </w:tc>
        <w:tc>
          <w:tcPr>
            <w:tcW w:type="dxa" w:w="3360"/>
            <w:tcMar>
              <w:top w:type="dxa" w:w="90"/>
              <w:left w:type="dxa" w:w="130"/>
              <w:bottom w:type="dxa" w:w="90"/>
              <w:right w:type="dxa" w:w="130"/>
            </w:tcMar>
            <w:vAlign w:val="center"/>
          </w:tcPr>
          <w:p>
            <w:pPr>
              <w:spacing w:after="0" w:line="250"/>
              <w:jc w:val="left"/>
            </w:pPr>
            <w:r>
              <w:rPr>
                <w:sz w:val="20"/>
                <w:szCs w:val="20"/>
              </w:rPr>
              <w:t xml:space="preserve">Python con IfcOpenShell y pandas</w:t>
            </w:r>
          </w:p>
        </w:tc>
      </w:tr>
      <w:tr>
        <w:tc>
          <w:tcPr>
            <w:tcW w:type="dxa" w:w="7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4</w:t>
            </w:r>
          </w:p>
        </w:tc>
        <w:tc>
          <w:tcPr>
            <w:tcW w:type="dxa" w:w="2200"/>
            <w:tcMar>
              <w:top w:type="dxa" w:w="90"/>
              <w:left w:type="dxa" w:w="130"/>
              <w:bottom w:type="dxa" w:w="90"/>
              <w:right w:type="dxa" w:w="130"/>
            </w:tcMar>
            <w:vAlign w:val="center"/>
          </w:tcPr>
          <w:p>
            <w:pPr>
              <w:spacing w:after="0" w:line="250"/>
              <w:jc w:val="left"/>
            </w:pPr>
            <w:r>
              <w:rPr>
                <w:sz w:val="20"/>
                <w:szCs w:val="20"/>
              </w:rPr>
              <w:t xml:space="preserve">Base de datos de APU</w:t>
            </w:r>
          </w:p>
        </w:tc>
        <w:tc>
          <w:tcPr>
            <w:tcW w:type="dxa" w:w="3100"/>
            <w:tcMar>
              <w:top w:type="dxa" w:w="90"/>
              <w:left w:type="dxa" w:w="130"/>
              <w:bottom w:type="dxa" w:w="90"/>
              <w:right w:type="dxa" w:w="130"/>
            </w:tcMar>
            <w:vAlign w:val="center"/>
          </w:tcPr>
          <w:p>
            <w:pPr>
              <w:spacing w:after="0" w:line="250"/>
              <w:jc w:val="left"/>
            </w:pPr>
            <w:r>
              <w:rPr>
                <w:sz w:val="20"/>
                <w:szCs w:val="20"/>
              </w:rPr>
              <w:t xml:space="preserve">Almacenamiento de partidas, rendimientos, insumos y precios.</w:t>
            </w:r>
          </w:p>
        </w:tc>
        <w:tc>
          <w:tcPr>
            <w:tcW w:type="dxa" w:w="3360"/>
            <w:tcMar>
              <w:top w:type="dxa" w:w="90"/>
              <w:left w:type="dxa" w:w="130"/>
              <w:bottom w:type="dxa" w:w="90"/>
              <w:right w:type="dxa" w:w="130"/>
            </w:tcMar>
            <w:vAlign w:val="center"/>
          </w:tcPr>
          <w:p>
            <w:pPr>
              <w:spacing w:after="0" w:line="250"/>
              <w:jc w:val="left"/>
            </w:pPr>
            <w:r>
              <w:rPr>
                <w:sz w:val="20"/>
                <w:szCs w:val="20"/>
              </w:rPr>
              <w:t xml:space="preserve">SQLite sobre el esquema de MaPreX</w:t>
            </w:r>
          </w:p>
        </w:tc>
      </w:tr>
      <w:tr>
        <w:tc>
          <w:tcPr>
            <w:tcW w:type="dxa" w:w="7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5</w:t>
            </w:r>
          </w:p>
        </w:tc>
        <w:tc>
          <w:tcPr>
            <w:tcW w:type="dxa" w:w="2200"/>
            <w:tcMar>
              <w:top w:type="dxa" w:w="90"/>
              <w:left w:type="dxa" w:w="130"/>
              <w:bottom w:type="dxa" w:w="90"/>
              <w:right w:type="dxa" w:w="130"/>
            </w:tcMar>
            <w:vAlign w:val="center"/>
          </w:tcPr>
          <w:p>
            <w:pPr>
              <w:spacing w:after="0" w:line="250"/>
              <w:jc w:val="left"/>
            </w:pPr>
            <w:r>
              <w:rPr>
                <w:sz w:val="20"/>
                <w:szCs w:val="20"/>
              </w:rPr>
              <w:t xml:space="preserve">Motor de costos</w:t>
            </w:r>
          </w:p>
        </w:tc>
        <w:tc>
          <w:tcPr>
            <w:tcW w:type="dxa" w:w="3100"/>
            <w:tcMar>
              <w:top w:type="dxa" w:w="90"/>
              <w:left w:type="dxa" w:w="130"/>
              <w:bottom w:type="dxa" w:w="90"/>
              <w:right w:type="dxa" w:w="130"/>
            </w:tcMar>
            <w:vAlign w:val="center"/>
          </w:tcPr>
          <w:p>
            <w:pPr>
              <w:spacing w:after="0" w:line="250"/>
              <w:jc w:val="left"/>
            </w:pPr>
            <w:r>
              <w:rPr>
                <w:sz w:val="20"/>
                <w:szCs w:val="20"/>
              </w:rPr>
              <w:t xml:space="preserve">Cálculo de materiales, equipos con depreciación, mano de obra con FCAS y cestaticket, administración y utilidad.</w:t>
            </w:r>
          </w:p>
        </w:tc>
        <w:tc>
          <w:tcPr>
            <w:tcW w:type="dxa" w:w="3360"/>
            <w:tcMar>
              <w:top w:type="dxa" w:w="90"/>
              <w:left w:type="dxa" w:w="130"/>
              <w:bottom w:type="dxa" w:w="90"/>
              <w:right w:type="dxa" w:w="130"/>
            </w:tcMar>
            <w:vAlign w:val="center"/>
          </w:tcPr>
          <w:p>
            <w:pPr>
              <w:spacing w:after="0" w:line="250"/>
              <w:jc w:val="left"/>
            </w:pPr>
            <w:r>
              <w:rPr>
                <w:sz w:val="20"/>
                <w:szCs w:val="20"/>
              </w:rPr>
              <w:t xml:space="preserve">Python</w:t>
            </w:r>
          </w:p>
        </w:tc>
      </w:tr>
      <w:tr>
        <w:tc>
          <w:tcPr>
            <w:tcW w:type="dxa" w:w="7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6</w:t>
            </w:r>
          </w:p>
        </w:tc>
        <w:tc>
          <w:tcPr>
            <w:tcW w:type="dxa" w:w="2200"/>
            <w:tcMar>
              <w:top w:type="dxa" w:w="90"/>
              <w:left w:type="dxa" w:w="130"/>
              <w:bottom w:type="dxa" w:w="90"/>
              <w:right w:type="dxa" w:w="130"/>
            </w:tcMar>
            <w:vAlign w:val="center"/>
          </w:tcPr>
          <w:p>
            <w:pPr>
              <w:spacing w:after="0" w:line="250"/>
              <w:jc w:val="left"/>
            </w:pPr>
            <w:r>
              <w:rPr>
                <w:sz w:val="20"/>
                <w:szCs w:val="20"/>
              </w:rPr>
              <w:t xml:space="preserve">Aprendizaje automático</w:t>
            </w:r>
          </w:p>
        </w:tc>
        <w:tc>
          <w:tcPr>
            <w:tcW w:type="dxa" w:w="3100"/>
            <w:tcMar>
              <w:top w:type="dxa" w:w="90"/>
              <w:left w:type="dxa" w:w="130"/>
              <w:bottom w:type="dxa" w:w="90"/>
              <w:right w:type="dxa" w:w="130"/>
            </w:tcMar>
            <w:vAlign w:val="center"/>
          </w:tcPr>
          <w:p>
            <w:pPr>
              <w:spacing w:after="0" w:line="250"/>
              <w:jc w:val="left"/>
            </w:pPr>
            <w:r>
              <w:rPr>
                <w:sz w:val="20"/>
                <w:szCs w:val="20"/>
              </w:rPr>
              <w:t xml:space="preserve">Clasificación de partidas, predicción de precios y detección de anomalías.</w:t>
            </w:r>
          </w:p>
        </w:tc>
        <w:tc>
          <w:tcPr>
            <w:tcW w:type="dxa" w:w="3360"/>
            <w:tcMar>
              <w:top w:type="dxa" w:w="90"/>
              <w:left w:type="dxa" w:w="130"/>
              <w:bottom w:type="dxa" w:w="90"/>
              <w:right w:type="dxa" w:w="130"/>
            </w:tcMar>
            <w:vAlign w:val="center"/>
          </w:tcPr>
          <w:p>
            <w:pPr>
              <w:spacing w:after="0" w:line="250"/>
              <w:jc w:val="left"/>
            </w:pPr>
            <w:r>
              <w:rPr>
                <w:sz w:val="20"/>
                <w:szCs w:val="20"/>
              </w:rPr>
              <w:t xml:space="preserve">sentence-transformers, scikit-learn, XGBoost</w:t>
            </w:r>
          </w:p>
        </w:tc>
      </w:tr>
      <w:tr>
        <w:tc>
          <w:tcPr>
            <w:tcW w:type="dxa" w:w="7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7</w:t>
            </w:r>
          </w:p>
        </w:tc>
        <w:tc>
          <w:tcPr>
            <w:tcW w:type="dxa" w:w="2200"/>
            <w:tcMar>
              <w:top w:type="dxa" w:w="90"/>
              <w:left w:type="dxa" w:w="130"/>
              <w:bottom w:type="dxa" w:w="90"/>
              <w:right w:type="dxa" w:w="130"/>
            </w:tcMar>
            <w:vAlign w:val="center"/>
          </w:tcPr>
          <w:p>
            <w:pPr>
              <w:spacing w:after="0" w:line="250"/>
              <w:jc w:val="left"/>
            </w:pPr>
            <w:r>
              <w:rPr>
                <w:sz w:val="20"/>
                <w:szCs w:val="20"/>
              </w:rPr>
              <w:t xml:space="preserve">Verificación</w:t>
            </w:r>
          </w:p>
        </w:tc>
        <w:tc>
          <w:tcPr>
            <w:tcW w:type="dxa" w:w="3100"/>
            <w:tcMar>
              <w:top w:type="dxa" w:w="90"/>
              <w:left w:type="dxa" w:w="130"/>
              <w:bottom w:type="dxa" w:w="90"/>
              <w:right w:type="dxa" w:w="130"/>
            </w:tcMar>
            <w:vAlign w:val="center"/>
          </w:tcPr>
          <w:p>
            <w:pPr>
              <w:spacing w:after="0" w:line="250"/>
              <w:jc w:val="left"/>
            </w:pPr>
            <w:r>
              <w:rPr>
                <w:sz w:val="20"/>
                <w:szCs w:val="20"/>
              </w:rPr>
              <w:t xml:space="preserve">Auditoría automática de consistencia.</w:t>
            </w:r>
          </w:p>
        </w:tc>
        <w:tc>
          <w:tcPr>
            <w:tcW w:type="dxa" w:w="3360"/>
            <w:tcMar>
              <w:top w:type="dxa" w:w="90"/>
              <w:left w:type="dxa" w:w="130"/>
              <w:bottom w:type="dxa" w:w="90"/>
              <w:right w:type="dxa" w:w="130"/>
            </w:tcMar>
            <w:vAlign w:val="center"/>
          </w:tcPr>
          <w:p>
            <w:pPr>
              <w:spacing w:after="0" w:line="250"/>
              <w:jc w:val="left"/>
            </w:pPr>
            <w:r>
              <w:rPr>
                <w:sz w:val="20"/>
                <w:szCs w:val="20"/>
              </w:rPr>
              <w:t xml:space="preserve">Python</w:t>
            </w:r>
          </w:p>
        </w:tc>
      </w:tr>
      <w:tr>
        <w:tc>
          <w:tcPr>
            <w:tcW w:type="dxa" w:w="7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8</w:t>
            </w:r>
          </w:p>
        </w:tc>
        <w:tc>
          <w:tcPr>
            <w:tcW w:type="dxa" w:w="2200"/>
            <w:tcMar>
              <w:top w:type="dxa" w:w="90"/>
              <w:left w:type="dxa" w:w="130"/>
              <w:bottom w:type="dxa" w:w="90"/>
              <w:right w:type="dxa" w:w="130"/>
            </w:tcMar>
            <w:vAlign w:val="center"/>
          </w:tcPr>
          <w:p>
            <w:pPr>
              <w:spacing w:after="0" w:line="250"/>
              <w:jc w:val="left"/>
            </w:pPr>
            <w:r>
              <w:rPr>
                <w:sz w:val="20"/>
                <w:szCs w:val="20"/>
              </w:rPr>
              <w:t xml:space="preserve">Presentación</w:t>
            </w:r>
          </w:p>
        </w:tc>
        <w:tc>
          <w:tcPr>
            <w:tcW w:type="dxa" w:w="3100"/>
            <w:tcMar>
              <w:top w:type="dxa" w:w="90"/>
              <w:left w:type="dxa" w:w="130"/>
              <w:bottom w:type="dxa" w:w="90"/>
              <w:right w:type="dxa" w:w="130"/>
            </w:tcMar>
            <w:vAlign w:val="center"/>
          </w:tcPr>
          <w:p>
            <w:pPr>
              <w:spacing w:after="0" w:line="250"/>
              <w:jc w:val="left"/>
            </w:pPr>
            <w:r>
              <w:rPr>
                <w:sz w:val="20"/>
                <w:szCs w:val="20"/>
              </w:rPr>
              <w:t xml:space="preserve">Presupuesto, curva de inversión e informe de auditoría.</w:t>
            </w:r>
          </w:p>
        </w:tc>
        <w:tc>
          <w:tcPr>
            <w:tcW w:type="dxa" w:w="3360"/>
            <w:tcMar>
              <w:top w:type="dxa" w:w="90"/>
              <w:left w:type="dxa" w:w="130"/>
              <w:bottom w:type="dxa" w:w="90"/>
              <w:right w:type="dxa" w:w="130"/>
            </w:tcMar>
            <w:vAlign w:val="center"/>
          </w:tcPr>
          <w:p>
            <w:pPr>
              <w:spacing w:after="0" w:line="250"/>
              <w:jc w:val="left"/>
            </w:pPr>
            <w:r>
              <w:rPr>
                <w:sz w:val="20"/>
                <w:szCs w:val="20"/>
              </w:rPr>
              <w:t xml:space="preserve">Exportación a Excel; tablero opcional en Streamlit</w:t>
            </w:r>
          </w:p>
        </w:tc>
      </w:tr>
    </w:tbl>
    <w:p>
      <w:pPr>
        <w:spacing w:after="60" w:line="276"/>
        <w:jc w:val="both"/>
      </w:pPr>
      <w:r>
        <w:rPr>
          <w:sz w:val="22"/>
          <w:szCs w:val="22"/>
        </w:rPr>
        <w:t xml:space="preserve"/>
      </w:r>
    </w:p>
    <w:p>
      <w:pPr>
        <w:spacing w:after="120" w:line="276"/>
        <w:jc w:val="both"/>
      </w:pPr>
      <w:r>
        <w:rPr>
          <w:b/>
          <w:bCs/>
          <w:sz w:val="22"/>
          <w:szCs w:val="22"/>
        </w:rPr>
        <w:t xml:space="preserve">Decisión metodológica relevante: </w:t>
      </w:r>
      <w:r>
        <w:rPr>
          <w:sz w:val="22"/>
          <w:szCs w:val="22"/>
        </w:rPr>
        <w:t xml:space="preserve">aunque el modelado se realice en Revit, todo el procesamiento posterior opera sobre el archivo IFC y no sobre el formato nativo. Esta decisión hace que el método sea reproducible con cualquier herramienta de modelado que exporte IFC, lo cual constituye un argumento de independencia tecnológica que debe defenderse expresamente en el capítulo metodológico.</w:t>
      </w:r>
    </w:p>
    <w:p>
      <w:pPr>
        <w:pStyle w:val="Heading2"/>
        <w:spacing w:after="140" w:before="260"/>
      </w:pPr>
      <w:r>
        <w:t xml:space="preserve">9.2 Motor de reglas paramétricas</w:t>
      </w:r>
    </w:p>
    <w:p>
      <w:pPr>
        <w:spacing w:after="120" w:line="276"/>
        <w:jc w:val="both"/>
      </w:pPr>
      <w:r>
        <w:rPr>
          <w:sz w:val="22"/>
          <w:szCs w:val="22"/>
        </w:rPr>
        <w:t xml:space="preserve">El núcleo técnico de la propuesta no es el modelo tridimensional —que para el caso de estudio comprende alrededor de treinta objetos— sino el conjunto de reglas que deriva las cantidades de obra de los parámetros de diseño. Para la tanquilla de inspección, con ancho exterior a, altura h y espesor de pared e:</w:t>
      </w:r>
    </w:p>
    <w:p>
      <w:pPr>
        <w:spacing w:after="60" w:line="276"/>
        <w:jc w:val="both"/>
      </w:pPr>
      <w:r>
        <w:rPr>
          <w:sz w:val="22"/>
          <w:szCs w:val="22"/>
        </w:rPr>
        <w:t xml:space="preserve"/>
      </w:r>
    </w:p>
    <w:p>
      <w:pPr>
        <w:spacing w:after="20" w:line="240"/>
        <w:ind w:left="360"/>
        <w:jc w:val="left"/>
      </w:pPr>
      <w:r>
        <w:rPr>
          <w:rFonts w:ascii="Consolas" w:cs="Consolas" w:eastAsia="Consolas" w:hAnsi="Consolas"/>
          <w:sz w:val="19"/>
          <w:szCs w:val="19"/>
        </w:rPr>
        <w:t xml:space="preserve">Parámetros:   a = 0,80 m    h = 0,80 m    e = 0,10 m</w:t>
      </w:r>
    </w:p>
    <w:p>
      <w:pPr>
        <w:spacing w:after="20" w:line="240"/>
        <w:ind w:left="360"/>
        <w:jc w:val="left"/>
      </w:pPr>
      <w:r>
        <w:rPr>
          <w:rFonts w:ascii="Consolas" w:cs="Consolas" w:eastAsia="Consolas" w:hAnsi="Consolas"/>
          <w:sz w:val="19"/>
          <w:szCs w:val="19"/>
        </w:rPr>
        <w:t xml:space="preserve"/>
      </w:r>
    </w:p>
    <w:p>
      <w:pPr>
        <w:spacing w:after="20" w:line="240"/>
        <w:ind w:left="360"/>
        <w:jc w:val="left"/>
      </w:pPr>
      <w:r>
        <w:rPr>
          <w:rFonts w:ascii="Consolas" w:cs="Consolas" w:eastAsia="Consolas" w:hAnsi="Consolas"/>
          <w:sz w:val="19"/>
          <w:szCs w:val="19"/>
        </w:rPr>
        <w:t xml:space="preserve">Concreto      = [a² − (a − 2e)²] × h        →  [0,64 − 0,36] × 0,80 = 0,224 m³</w:t>
      </w:r>
    </w:p>
    <w:p>
      <w:pPr>
        <w:spacing w:after="20" w:line="240"/>
        <w:ind w:left="360"/>
        <w:jc w:val="left"/>
      </w:pPr>
      <w:r>
        <w:rPr>
          <w:rFonts w:ascii="Consolas" w:cs="Consolas" w:eastAsia="Consolas" w:hAnsi="Consolas"/>
          <w:sz w:val="19"/>
          <w:szCs w:val="19"/>
        </w:rPr>
        <w:t xml:space="preserve">Encofrado     = 4·a·h + 4·(a − 2e)·h       →  2,56 + 1,92 = 4,48 m²</w:t>
      </w:r>
    </w:p>
    <w:p>
      <w:pPr>
        <w:spacing w:after="20" w:line="240"/>
        <w:ind w:left="360"/>
        <w:jc w:val="left"/>
      </w:pPr>
      <w:r>
        <w:rPr>
          <w:rFonts w:ascii="Consolas" w:cs="Consolas" w:eastAsia="Consolas" w:hAnsi="Consolas"/>
          <w:sz w:val="19"/>
          <w:szCs w:val="19"/>
        </w:rPr>
        <w:t xml:space="preserve">Excavación    = (a + 2·sobreancho)² × (h + espesor de fondo)</w:t>
      </w:r>
    </w:p>
    <w:p>
      <w:pPr>
        <w:spacing w:after="20" w:line="240"/>
        <w:ind w:left="360"/>
        <w:jc w:val="left"/>
      </w:pPr>
      <w:r>
        <w:rPr>
          <w:rFonts w:ascii="Consolas" w:cs="Consolas" w:eastAsia="Consolas" w:hAnsi="Consolas"/>
          <w:sz w:val="19"/>
          <w:szCs w:val="19"/>
        </w:rPr>
        <w:t xml:space="preserve">Zanja         = L × ancho × profundidad media (pendiente 3 %)</w:t>
      </w:r>
    </w:p>
    <w:p>
      <w:pPr>
        <w:spacing w:after="20" w:line="240"/>
        <w:ind w:left="360"/>
        <w:jc w:val="left"/>
      </w:pPr>
      <w:r>
        <w:rPr>
          <w:rFonts w:ascii="Consolas" w:cs="Consolas" w:eastAsia="Consolas" w:hAnsi="Consolas"/>
          <w:sz w:val="19"/>
          <w:szCs w:val="19"/>
        </w:rPr>
        <w:t xml:space="preserve">Tubería       = longitud tridimensional real × 1,05 (desperdicio)</w:t>
      </w:r>
    </w:p>
    <w:p>
      <w:pPr>
        <w:spacing w:after="20" w:line="240"/>
        <w:ind w:left="360"/>
        <w:jc w:val="left"/>
      </w:pPr>
      <w:r>
        <w:rPr>
          <w:rFonts w:ascii="Consolas" w:cs="Consolas" w:eastAsia="Consolas" w:hAnsi="Consolas"/>
          <w:sz w:val="19"/>
          <w:szCs w:val="19"/>
        </w:rPr>
        <w:t xml:space="preserve">Relleno       = Excavación total − Volumen de concreto − Volumen de tubería</w:t>
      </w:r>
    </w:p>
    <w:p>
      <w:pPr>
        <w:spacing w:after="60" w:line="276"/>
        <w:jc w:val="both"/>
      </w:pPr>
      <w:r>
        <w:rPr>
          <w:sz w:val="22"/>
          <w:szCs w:val="22"/>
        </w:rPr>
        <w:t xml:space="preserve"/>
      </w:r>
    </w:p>
    <w:p>
      <w:pPr>
        <w:spacing w:after="120" w:line="276"/>
        <w:jc w:val="both"/>
      </w:pPr>
      <w:r>
        <w:rPr>
          <w:sz w:val="22"/>
          <w:szCs w:val="22"/>
        </w:rPr>
        <w:t xml:space="preserve">Estas expresiones hacen estructuralmente imposibles seis de las siete inconsistencias documentadas en la línea base: el encofrado no puede adoptar un valor no derivado de la geometría, y el relleno no puede desvincularse de la excavación. Esta propiedad —que los errores dejen de ser posibles en lugar de ser detectados a posteriori— es el argumento central de la contribución y debe demostrarse en la defensa modificando un parámetro y mostrando la propagación completa hasta el presupuesto.</w:t>
      </w:r>
    </w:p>
    <w:p>
      <w:pPr>
        <w:pStyle w:val="Heading2"/>
        <w:spacing w:after="140" w:before="260"/>
      </w:pPr>
      <w:r>
        <w:t xml:space="preserve">9.3 Vínculo entre geometría y análisis de precios unitarios</w:t>
      </w:r>
    </w:p>
    <w:p>
      <w:pPr>
        <w:spacing w:after="120" w:line="276"/>
        <w:jc w:val="both"/>
      </w:pPr>
      <w:r>
        <w:rPr>
          <w:sz w:val="22"/>
          <w:szCs w:val="22"/>
        </w:rPr>
        <w:t xml:space="preserve">La correspondencia entre cada objeto del modelo y su partida presupuestaria se establece mediante un conjunto de propiedades personalizado incorporado al modelo y exportado en el IFC:</w:t>
      </w:r>
    </w:p>
    <w:p>
      <w:pPr>
        <w:spacing w:after="60" w:line="276"/>
        <w:jc w:val="both"/>
      </w:pPr>
      <w:r>
        <w:rPr>
          <w:sz w:val="22"/>
          <w:szCs w:val="22"/>
        </w:rPr>
        <w:t xml:space="preserve"/>
      </w:r>
    </w:p>
    <w:p>
      <w:pPr>
        <w:spacing w:after="20" w:line="240"/>
        <w:ind w:left="360"/>
        <w:jc w:val="left"/>
      </w:pPr>
      <w:r>
        <w:rPr>
          <w:rFonts w:ascii="Consolas" w:cs="Consolas" w:eastAsia="Consolas" w:hAnsi="Consolas"/>
          <w:sz w:val="19"/>
          <w:szCs w:val="19"/>
        </w:rPr>
        <w:t xml:space="preserve">Pset_APU_Venezuela</w:t>
      </w:r>
    </w:p>
    <w:p>
      <w:pPr>
        <w:spacing w:after="20" w:line="240"/>
        <w:ind w:left="360"/>
        <w:jc w:val="left"/>
      </w:pPr>
      <w:r>
        <w:rPr>
          <w:rFonts w:ascii="Consolas" w:cs="Consolas" w:eastAsia="Consolas" w:hAnsi="Consolas"/>
          <w:sz w:val="19"/>
          <w:szCs w:val="19"/>
        </w:rPr>
        <w:t xml:space="preserve">  ├── COVENIN_Codigo         : "E-401"</w:t>
      </w:r>
    </w:p>
    <w:p>
      <w:pPr>
        <w:spacing w:after="20" w:line="240"/>
        <w:ind w:left="360"/>
        <w:jc w:val="left"/>
      </w:pPr>
      <w:r>
        <w:rPr>
          <w:rFonts w:ascii="Consolas" w:cs="Consolas" w:eastAsia="Consolas" w:hAnsi="Consolas"/>
          <w:sz w:val="19"/>
          <w:szCs w:val="19"/>
        </w:rPr>
        <w:t xml:space="preserve">  ├── Partida_Descripcion    : "Excavación a mano en tierra"</w:t>
      </w:r>
    </w:p>
    <w:p>
      <w:pPr>
        <w:spacing w:after="20" w:line="240"/>
        <w:ind w:left="360"/>
        <w:jc w:val="left"/>
      </w:pPr>
      <w:r>
        <w:rPr>
          <w:rFonts w:ascii="Consolas" w:cs="Consolas" w:eastAsia="Consolas" w:hAnsi="Consolas"/>
          <w:sz w:val="19"/>
          <w:szCs w:val="19"/>
        </w:rPr>
        <w:t xml:space="preserve">  └── Unidad                 : "m³"</w:t>
      </w:r>
    </w:p>
    <w:p>
      <w:pPr>
        <w:spacing w:after="60" w:line="276"/>
        <w:jc w:val="both"/>
      </w:pPr>
      <w:r>
        <w:rPr>
          <w:sz w:val="22"/>
          <w:szCs w:val="22"/>
        </w:rPr>
        <w:t xml:space="preserve"/>
      </w:r>
    </w:p>
    <w:p>
      <w:pPr>
        <w:spacing w:after="120" w:line="276"/>
        <w:jc w:val="both"/>
      </w:pPr>
      <w:r>
        <w:rPr>
          <w:sz w:val="22"/>
          <w:szCs w:val="22"/>
        </w:rPr>
        <w:t xml:space="preserve">La rutina de extracción recorre el archivo IFC, obtiene las cantidades geométricas de cada objeto junto con su código de partida, y construye el cómputo métrico agrupado. Este componente, de extensión reducida, constituye el punto de articulación de todo el sistema y debe ser el primero en desarrollarse, pues su viabilidad determina la del conjunto.</w:t>
      </w:r>
    </w:p>
    <w:p>
      <w:pPr>
        <w:pStyle w:val="Heading2"/>
        <w:spacing w:after="140" w:before="260"/>
      </w:pPr>
      <w:r>
        <w:t xml:space="preserve">9.4 Módulos de aprendizaje automático</w:t>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2200"/>
        <w:gridCol w:w="2400"/>
        <w:gridCol w:w="2400"/>
        <w:gridCol w:w="2360"/>
      </w:tblGrid>
      <w:tr>
        <w:tc>
          <w:tcPr>
            <w:tcW w:type="dxa" w:w="22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Módulo</w:t>
            </w:r>
          </w:p>
        </w:tc>
        <w:tc>
          <w:tcPr>
            <w:tcW w:type="dxa" w:w="24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Técnica</w:t>
            </w:r>
          </w:p>
        </w:tc>
        <w:tc>
          <w:tcPr>
            <w:tcW w:type="dxa" w:w="24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Requiere datos etiquetados</w:t>
            </w:r>
          </w:p>
        </w:tc>
        <w:tc>
          <w:tcPr>
            <w:tcW w:type="dxa" w:w="23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Pregunta que responde</w:t>
            </w:r>
          </w:p>
        </w:tc>
      </w:tr>
      <w:tr>
        <w:tc>
          <w:tcPr>
            <w:tcW w:type="dxa" w:w="22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Normalización de partidas</w:t>
            </w:r>
          </w:p>
        </w:tc>
        <w:tc>
          <w:tcPr>
            <w:tcW w:type="dxa" w:w="2400"/>
            <w:tcMar>
              <w:top w:type="dxa" w:w="90"/>
              <w:left w:type="dxa" w:w="130"/>
              <w:bottom w:type="dxa" w:w="90"/>
              <w:right w:type="dxa" w:w="130"/>
            </w:tcMar>
            <w:vAlign w:val="center"/>
          </w:tcPr>
          <w:p>
            <w:pPr>
              <w:spacing w:after="0" w:line="250"/>
              <w:jc w:val="left"/>
            </w:pPr>
            <w:r>
              <w:rPr>
                <w:sz w:val="20"/>
                <w:szCs w:val="20"/>
              </w:rPr>
              <w:t xml:space="preserve">Representaciones vectoriales semánticas multilingües con similitud del coseno</w:t>
            </w:r>
          </w:p>
        </w:tc>
        <w:tc>
          <w:tcPr>
            <w:tcW w:type="dxa" w:w="2400"/>
            <w:tcMar>
              <w:top w:type="dxa" w:w="90"/>
              <w:left w:type="dxa" w:w="130"/>
              <w:bottom w:type="dxa" w:w="90"/>
              <w:right w:type="dxa" w:w="130"/>
            </w:tcMar>
            <w:vAlign w:val="center"/>
          </w:tcPr>
          <w:p>
            <w:pPr>
              <w:spacing w:after="0" w:line="250"/>
              <w:jc w:val="left"/>
            </w:pPr>
            <w:r>
              <w:rPr>
                <w:sz w:val="20"/>
                <w:szCs w:val="20"/>
              </w:rPr>
              <w:t xml:space="preserve">No</w:t>
            </w:r>
          </w:p>
        </w:tc>
        <w:tc>
          <w:tcPr>
            <w:tcW w:type="dxa" w:w="2360"/>
            <w:tcMar>
              <w:top w:type="dxa" w:w="90"/>
              <w:left w:type="dxa" w:w="130"/>
              <w:bottom w:type="dxa" w:w="90"/>
              <w:right w:type="dxa" w:w="130"/>
            </w:tcMar>
            <w:vAlign w:val="center"/>
          </w:tcPr>
          <w:p>
            <w:pPr>
              <w:spacing w:after="0" w:line="250"/>
              <w:jc w:val="left"/>
            </w:pPr>
            <w:r>
              <w:rPr>
                <w:sz w:val="20"/>
                <w:szCs w:val="20"/>
              </w:rPr>
              <w:t xml:space="preserve">¿A qué código COVENIN corresponde esta descripción?</w:t>
            </w:r>
          </w:p>
        </w:tc>
      </w:tr>
      <w:tr>
        <w:tc>
          <w:tcPr>
            <w:tcW w:type="dxa" w:w="22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Predicción de precio</w:t>
            </w:r>
          </w:p>
        </w:tc>
        <w:tc>
          <w:tcPr>
            <w:tcW w:type="dxa" w:w="2400"/>
            <w:tcMar>
              <w:top w:type="dxa" w:w="90"/>
              <w:left w:type="dxa" w:w="130"/>
              <w:bottom w:type="dxa" w:w="90"/>
              <w:right w:type="dxa" w:w="130"/>
            </w:tcMar>
            <w:vAlign w:val="center"/>
          </w:tcPr>
          <w:p>
            <w:pPr>
              <w:spacing w:after="0" w:line="250"/>
              <w:jc w:val="left"/>
            </w:pPr>
            <w:r>
              <w:rPr>
                <w:sz w:val="20"/>
                <w:szCs w:val="20"/>
              </w:rPr>
              <w:t xml:space="preserve">XGBoost, con bosques aleatorios como contraste</w:t>
            </w:r>
          </w:p>
        </w:tc>
        <w:tc>
          <w:tcPr>
            <w:tcW w:type="dxa" w:w="2400"/>
            <w:tcMar>
              <w:top w:type="dxa" w:w="90"/>
              <w:left w:type="dxa" w:w="130"/>
              <w:bottom w:type="dxa" w:w="90"/>
              <w:right w:type="dxa" w:w="130"/>
            </w:tcMar>
            <w:vAlign w:val="center"/>
          </w:tcPr>
          <w:p>
            <w:pPr>
              <w:spacing w:after="0" w:line="250"/>
              <w:jc w:val="left"/>
            </w:pPr>
            <w:r>
              <w:rPr>
                <w:sz w:val="20"/>
                <w:szCs w:val="20"/>
              </w:rPr>
              <w:t xml:space="preserve">Sí</w:t>
            </w:r>
          </w:p>
        </w:tc>
        <w:tc>
          <w:tcPr>
            <w:tcW w:type="dxa" w:w="2360"/>
            <w:tcMar>
              <w:top w:type="dxa" w:w="90"/>
              <w:left w:type="dxa" w:w="130"/>
              <w:bottom w:type="dxa" w:w="90"/>
              <w:right w:type="dxa" w:w="130"/>
            </w:tcMar>
            <w:vAlign w:val="center"/>
          </w:tcPr>
          <w:p>
            <w:pPr>
              <w:spacing w:after="0" w:line="250"/>
              <w:jc w:val="left"/>
            </w:pPr>
            <w:r>
              <w:rPr>
                <w:sz w:val="20"/>
                <w:szCs w:val="20"/>
              </w:rPr>
              <w:t xml:space="preserve">¿Cuál sería el precio unitario de mercado para esta partida?</w:t>
            </w:r>
          </w:p>
        </w:tc>
      </w:tr>
      <w:tr>
        <w:tc>
          <w:tcPr>
            <w:tcW w:type="dxa" w:w="22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Detección de anomalías</w:t>
            </w:r>
          </w:p>
        </w:tc>
        <w:tc>
          <w:tcPr>
            <w:tcW w:type="dxa" w:w="2400"/>
            <w:tcMar>
              <w:top w:type="dxa" w:w="90"/>
              <w:left w:type="dxa" w:w="130"/>
              <w:bottom w:type="dxa" w:w="90"/>
              <w:right w:type="dxa" w:w="130"/>
            </w:tcMar>
            <w:vAlign w:val="center"/>
          </w:tcPr>
          <w:p>
            <w:pPr>
              <w:spacing w:after="0" w:line="250"/>
              <w:jc w:val="left"/>
            </w:pPr>
            <w:r>
              <w:rPr>
                <w:sz w:val="20"/>
                <w:szCs w:val="20"/>
              </w:rPr>
              <w:t xml:space="preserve">Isolation Forest</w:t>
            </w:r>
          </w:p>
        </w:tc>
        <w:tc>
          <w:tcPr>
            <w:tcW w:type="dxa" w:w="2400"/>
            <w:tcMar>
              <w:top w:type="dxa" w:w="90"/>
              <w:left w:type="dxa" w:w="130"/>
              <w:bottom w:type="dxa" w:w="90"/>
              <w:right w:type="dxa" w:w="130"/>
            </w:tcMar>
            <w:vAlign w:val="center"/>
          </w:tcPr>
          <w:p>
            <w:pPr>
              <w:spacing w:after="0" w:line="250"/>
              <w:jc w:val="left"/>
            </w:pPr>
            <w:r>
              <w:rPr>
                <w:sz w:val="20"/>
                <w:szCs w:val="20"/>
              </w:rPr>
              <w:t xml:space="preserve">No (no supervisado)</w:t>
            </w:r>
          </w:p>
        </w:tc>
        <w:tc>
          <w:tcPr>
            <w:tcW w:type="dxa" w:w="2360"/>
            <w:tcMar>
              <w:top w:type="dxa" w:w="90"/>
              <w:left w:type="dxa" w:w="130"/>
              <w:bottom w:type="dxa" w:w="90"/>
              <w:right w:type="dxa" w:w="130"/>
            </w:tcMar>
            <w:vAlign w:val="center"/>
          </w:tcPr>
          <w:p>
            <w:pPr>
              <w:spacing w:after="0" w:line="250"/>
              <w:jc w:val="left"/>
            </w:pPr>
            <w:r>
              <w:rPr>
                <w:sz w:val="20"/>
                <w:szCs w:val="20"/>
              </w:rPr>
              <w:t xml:space="preserve">¿Este APU se aparta del comportamiento del histórico?</w:t>
            </w:r>
          </w:p>
        </w:tc>
      </w:tr>
    </w:tbl>
    <w:p>
      <w:pPr>
        <w:spacing w:after="60" w:line="276"/>
        <w:jc w:val="both"/>
      </w:pPr>
      <w:r>
        <w:rPr>
          <w:sz w:val="22"/>
          <w:szCs w:val="22"/>
        </w:rPr>
        <w:t xml:space="preserve"/>
      </w:r>
    </w:p>
    <w:p>
      <w:pPr>
        <w:spacing w:after="120" w:line="276"/>
        <w:jc w:val="both"/>
      </w:pPr>
      <w:r>
        <w:rPr>
          <w:sz w:val="22"/>
          <w:szCs w:val="22"/>
        </w:rPr>
        <w:t xml:space="preserve">El orden de implementación previsto es normalización, detección de anomalías y finalmente predicción, por ser este último el único con dependencia crítica de la disponibilidad de datos.</w:t>
      </w:r>
    </w:p>
    <w:p>
      <w:pPr>
        <w:pStyle w:val="Heading2"/>
        <w:spacing w:after="140" w:before="260"/>
      </w:pPr>
      <w:r>
        <w:t xml:space="preserve">9.5 Sistema de verificación automática</w:t>
      </w:r>
    </w:p>
    <w:p>
      <w:pPr>
        <w:spacing w:after="120" w:line="276"/>
        <w:jc w:val="both"/>
      </w:pPr>
      <w:r>
        <w:rPr>
          <w:sz w:val="22"/>
          <w:szCs w:val="22"/>
        </w:rPr>
        <w:t xml:space="preserve">Constituye el componente diferenciador respecto de los softwares de presupuesto disponibles, los cuales, al desconocer la geometría del proyecto, no pueden ejecutar estas comprobaciones:</w:t>
      </w:r>
    </w:p>
    <w:p>
      <w:pPr>
        <w:pStyle w:val="ListParagraph"/>
        <w:numPr>
          <w:ilvl w:val="0"/>
          <w:numId w:val="2"/>
        </w:numPr>
        <w:spacing w:after="90" w:line="276"/>
        <w:jc w:val="both"/>
      </w:pPr>
      <w:r>
        <w:rPr>
          <w:sz w:val="22"/>
          <w:szCs w:val="22"/>
        </w:rPr>
        <w:t xml:space="preserve">Cierre de la curva de inversión: el gasto acumulado debe coincidir exactamente con el presupuesto total. Detecta el hallazgo 3.</w:t>
      </w:r>
    </w:p>
    <w:p>
      <w:pPr>
        <w:pStyle w:val="ListParagraph"/>
        <w:numPr>
          <w:ilvl w:val="0"/>
          <w:numId w:val="2"/>
        </w:numPr>
        <w:spacing w:after="90" w:line="276"/>
        <w:jc w:val="both"/>
      </w:pPr>
      <w:r>
        <w:rPr>
          <w:sz w:val="22"/>
          <w:szCs w:val="22"/>
        </w:rPr>
        <w:t xml:space="preserve">Coherencia dimensional: la unidad del cómputo métrico debe coincidir con la unidad declarada en el APU. Detecta el hallazgo 4.</w:t>
      </w:r>
    </w:p>
    <w:p>
      <w:pPr>
        <w:pStyle w:val="ListParagraph"/>
        <w:numPr>
          <w:ilvl w:val="0"/>
          <w:numId w:val="2"/>
        </w:numPr>
        <w:spacing w:after="90" w:line="276"/>
        <w:jc w:val="both"/>
      </w:pPr>
      <w:r>
        <w:rPr>
          <w:sz w:val="22"/>
          <w:szCs w:val="22"/>
        </w:rPr>
        <w:t xml:space="preserve">Balance volumétrico: la suma del relleno y los volúmenes ocupados debe igualar la excavación total. Detecta el hallazgo 6.</w:t>
      </w:r>
    </w:p>
    <w:p>
      <w:pPr>
        <w:pStyle w:val="ListParagraph"/>
        <w:numPr>
          <w:ilvl w:val="0"/>
          <w:numId w:val="2"/>
        </w:numPr>
        <w:spacing w:after="90" w:line="276"/>
        <w:jc w:val="both"/>
      </w:pPr>
      <w:r>
        <w:rPr>
          <w:sz w:val="22"/>
          <w:szCs w:val="22"/>
        </w:rPr>
        <w:t xml:space="preserve">Correspondencia de especificaciones: los diámetros, materiales y espesores del cómputo deben coincidir con los del modelo. Detecta el hallazgo 5.</w:t>
      </w:r>
    </w:p>
    <w:p>
      <w:pPr>
        <w:pStyle w:val="ListParagraph"/>
        <w:numPr>
          <w:ilvl w:val="0"/>
          <w:numId w:val="2"/>
        </w:numPr>
        <w:spacing w:after="90" w:line="276"/>
        <w:jc w:val="both"/>
      </w:pPr>
      <w:r>
        <w:rPr>
          <w:sz w:val="22"/>
          <w:szCs w:val="22"/>
        </w:rPr>
        <w:t xml:space="preserve">Trazabilidad de cantidades: toda cantidad del presupuesto debe ser derivable de un objeto del modelo mediante una regla declarada. Detecta los hallazgos 1 y 2.</w:t>
      </w:r>
    </w:p>
    <w:p>
      <w:r>
        <w:br w:type="page"/>
      </w:r>
    </w:p>
    <w:p>
      <w:pPr>
        <w:pStyle w:val="Heading1"/>
        <w:spacing w:after="180" w:before="360"/>
      </w:pPr>
      <w:r>
        <w:t xml:space="preserve">10. Plan de trabajo</w:t>
      </w:r>
    </w:p>
    <w:p>
      <w:pPr>
        <w:spacing w:after="120" w:line="276"/>
        <w:jc w:val="both"/>
      </w:pPr>
      <w:r>
        <w:rPr>
          <w:sz w:val="22"/>
          <w:szCs w:val="22"/>
        </w:rPr>
        <w:t xml:space="preserve">El orden de ejecución propuesto altera deliberadamente la secuencia intuitiva: la Fase II se inicia por el desarrollo de la rutina de extracción antes de completar el modelado detallado. La razón es de gestión de riesgo: si la extracción automática de cantidades desde IFC no resulta viable, es preferible constatarlo en la cuarta semana que después de invertir meses en modelado.</w:t>
      </w:r>
    </w:p>
    <w:p>
      <w:pPr>
        <w:spacing w:after="60" w:line="276"/>
        <w:jc w:val="both"/>
      </w:pPr>
      <w:r>
        <w:rPr>
          <w:sz w:val="22"/>
          <w:szCs w:val="22"/>
        </w:rPr>
        <w:t xml:space="preserve"/>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900"/>
        <w:gridCol w:w="3800"/>
        <w:gridCol w:w="1500"/>
        <w:gridCol w:w="3160"/>
      </w:tblGrid>
      <w:tr>
        <w:tc>
          <w:tcPr>
            <w:tcW w:type="dxa" w:w="9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Fase</w:t>
            </w:r>
          </w:p>
        </w:tc>
        <w:tc>
          <w:tcPr>
            <w:tcW w:type="dxa" w:w="38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Actividad</w:t>
            </w:r>
          </w:p>
        </w:tc>
        <w:tc>
          <w:tcPr>
            <w:tcW w:type="dxa" w:w="15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Semanas</w:t>
            </w:r>
          </w:p>
        </w:tc>
        <w:tc>
          <w:tcPr>
            <w:tcW w:type="dxa" w:w="31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Producto verificable</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0</w:t>
            </w:r>
          </w:p>
        </w:tc>
        <w:tc>
          <w:tcPr>
            <w:tcW w:type="dxa" w:w="3800"/>
            <w:tcMar>
              <w:top w:type="dxa" w:w="90"/>
              <w:left w:type="dxa" w:w="130"/>
              <w:bottom w:type="dxa" w:w="90"/>
              <w:right w:type="dxa" w:w="130"/>
            </w:tcMar>
            <w:vAlign w:val="center"/>
          </w:tcPr>
          <w:p>
            <w:pPr>
              <w:spacing w:after="0" w:line="250"/>
              <w:jc w:val="left"/>
            </w:pPr>
            <w:r>
              <w:rPr>
                <w:sz w:val="20"/>
                <w:szCs w:val="20"/>
              </w:rPr>
              <w:t xml:space="preserve">Gestión de fuentes de datos: autorización de uso de MaPreX, recopilación de trabajos de grado con APU en anexos.</w:t>
            </w:r>
          </w:p>
        </w:tc>
        <w:tc>
          <w:tcPr>
            <w:tcW w:type="dxa" w:w="1500"/>
            <w:tcMar>
              <w:top w:type="dxa" w:w="90"/>
              <w:left w:type="dxa" w:w="130"/>
              <w:bottom w:type="dxa" w:w="90"/>
              <w:right w:type="dxa" w:w="130"/>
            </w:tcMar>
            <w:vAlign w:val="center"/>
          </w:tcPr>
          <w:p>
            <w:pPr>
              <w:spacing w:after="0" w:line="250"/>
              <w:jc w:val="center"/>
            </w:pPr>
            <w:r>
              <w:rPr>
                <w:sz w:val="20"/>
                <w:szCs w:val="20"/>
              </w:rPr>
              <w:t xml:space="preserve">1 – 2</w:t>
            </w:r>
          </w:p>
        </w:tc>
        <w:tc>
          <w:tcPr>
            <w:tcW w:type="dxa" w:w="3160"/>
            <w:tcMar>
              <w:top w:type="dxa" w:w="90"/>
              <w:left w:type="dxa" w:w="130"/>
              <w:bottom w:type="dxa" w:w="90"/>
              <w:right w:type="dxa" w:w="130"/>
            </w:tcMar>
            <w:vAlign w:val="center"/>
          </w:tcPr>
          <w:p>
            <w:pPr>
              <w:spacing w:after="0" w:line="250"/>
              <w:jc w:val="left"/>
            </w:pPr>
            <w:r>
              <w:rPr>
                <w:sz w:val="20"/>
                <w:szCs w:val="20"/>
              </w:rPr>
              <w:t xml:space="preserve">Conjunto de datos inicial consolidado.</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I</w:t>
            </w:r>
          </w:p>
        </w:tc>
        <w:tc>
          <w:tcPr>
            <w:tcW w:type="dxa" w:w="3800"/>
            <w:tcMar>
              <w:top w:type="dxa" w:w="90"/>
              <w:left w:type="dxa" w:w="130"/>
              <w:bottom w:type="dxa" w:w="90"/>
              <w:right w:type="dxa" w:w="130"/>
            </w:tcMar>
            <w:vAlign w:val="center"/>
          </w:tcPr>
          <w:p>
            <w:pPr>
              <w:spacing w:after="0" w:line="250"/>
              <w:jc w:val="left"/>
            </w:pPr>
            <w:r>
              <w:rPr>
                <w:sz w:val="20"/>
                <w:szCs w:val="20"/>
              </w:rPr>
              <w:t xml:space="preserve">Auditoría del presupuesto manual y recálculo del cómputo métrico desde la geometría.</w:t>
            </w:r>
          </w:p>
        </w:tc>
        <w:tc>
          <w:tcPr>
            <w:tcW w:type="dxa" w:w="1500"/>
            <w:tcMar>
              <w:top w:type="dxa" w:w="90"/>
              <w:left w:type="dxa" w:w="130"/>
              <w:bottom w:type="dxa" w:w="90"/>
              <w:right w:type="dxa" w:w="130"/>
            </w:tcMar>
            <w:vAlign w:val="center"/>
          </w:tcPr>
          <w:p>
            <w:pPr>
              <w:spacing w:after="0" w:line="250"/>
              <w:jc w:val="center"/>
            </w:pPr>
            <w:r>
              <w:rPr>
                <w:sz w:val="20"/>
                <w:szCs w:val="20"/>
              </w:rPr>
              <w:t xml:space="preserve">2 – 4</w:t>
            </w:r>
          </w:p>
        </w:tc>
        <w:tc>
          <w:tcPr>
            <w:tcW w:type="dxa" w:w="3160"/>
            <w:tcMar>
              <w:top w:type="dxa" w:w="90"/>
              <w:left w:type="dxa" w:w="130"/>
              <w:bottom w:type="dxa" w:w="90"/>
              <w:right w:type="dxa" w:w="130"/>
            </w:tcMar>
            <w:vAlign w:val="center"/>
          </w:tcPr>
          <w:p>
            <w:pPr>
              <w:spacing w:after="0" w:line="250"/>
              <w:jc w:val="left"/>
            </w:pPr>
            <w:r>
              <w:rPr>
                <w:sz w:val="20"/>
                <w:szCs w:val="20"/>
              </w:rPr>
              <w:t xml:space="preserve">Línea base auditada.</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II</w:t>
            </w:r>
          </w:p>
        </w:tc>
        <w:tc>
          <w:tcPr>
            <w:tcW w:type="dxa" w:w="3800"/>
            <w:tcMar>
              <w:top w:type="dxa" w:w="90"/>
              <w:left w:type="dxa" w:w="130"/>
              <w:bottom w:type="dxa" w:w="90"/>
              <w:right w:type="dxa" w:w="130"/>
            </w:tcMar>
            <w:vAlign w:val="center"/>
          </w:tcPr>
          <w:p>
            <w:pPr>
              <w:spacing w:after="0" w:line="250"/>
              <w:jc w:val="left"/>
            </w:pPr>
            <w:r>
              <w:rPr>
                <w:sz w:val="20"/>
                <w:szCs w:val="20"/>
              </w:rPr>
              <w:t xml:space="preserve">Prueba de concepto de extracción IFC. Familias paramétricas y modelado del sistema.</w:t>
            </w:r>
          </w:p>
        </w:tc>
        <w:tc>
          <w:tcPr>
            <w:tcW w:type="dxa" w:w="1500"/>
            <w:tcMar>
              <w:top w:type="dxa" w:w="90"/>
              <w:left w:type="dxa" w:w="130"/>
              <w:bottom w:type="dxa" w:w="90"/>
              <w:right w:type="dxa" w:w="130"/>
            </w:tcMar>
            <w:vAlign w:val="center"/>
          </w:tcPr>
          <w:p>
            <w:pPr>
              <w:spacing w:after="0" w:line="250"/>
              <w:jc w:val="center"/>
            </w:pPr>
            <w:r>
              <w:rPr>
                <w:sz w:val="20"/>
                <w:szCs w:val="20"/>
              </w:rPr>
              <w:t xml:space="preserve">4 – 9</w:t>
            </w:r>
          </w:p>
        </w:tc>
        <w:tc>
          <w:tcPr>
            <w:tcW w:type="dxa" w:w="3160"/>
            <w:tcMar>
              <w:top w:type="dxa" w:w="90"/>
              <w:left w:type="dxa" w:w="130"/>
              <w:bottom w:type="dxa" w:w="90"/>
              <w:right w:type="dxa" w:w="130"/>
            </w:tcMar>
            <w:vAlign w:val="center"/>
          </w:tcPr>
          <w:p>
            <w:pPr>
              <w:spacing w:after="0" w:line="250"/>
              <w:jc w:val="left"/>
            </w:pPr>
            <w:r>
              <w:rPr>
                <w:sz w:val="20"/>
                <w:szCs w:val="20"/>
              </w:rPr>
              <w:t xml:space="preserve">Modelo IFC y rutina de cómputo automatizado.</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III</w:t>
            </w:r>
          </w:p>
        </w:tc>
        <w:tc>
          <w:tcPr>
            <w:tcW w:type="dxa" w:w="3800"/>
            <w:tcMar>
              <w:top w:type="dxa" w:w="90"/>
              <w:left w:type="dxa" w:w="130"/>
              <w:bottom w:type="dxa" w:w="90"/>
              <w:right w:type="dxa" w:w="130"/>
            </w:tcMar>
            <w:vAlign w:val="center"/>
          </w:tcPr>
          <w:p>
            <w:pPr>
              <w:spacing w:after="0" w:line="250"/>
              <w:jc w:val="left"/>
            </w:pPr>
            <w:r>
              <w:rPr>
                <w:sz w:val="20"/>
                <w:szCs w:val="20"/>
              </w:rPr>
              <w:t xml:space="preserve">Esquema de base de datos, carga de partidas y motor de costos con FCAS.</w:t>
            </w:r>
          </w:p>
        </w:tc>
        <w:tc>
          <w:tcPr>
            <w:tcW w:type="dxa" w:w="1500"/>
            <w:tcMar>
              <w:top w:type="dxa" w:w="90"/>
              <w:left w:type="dxa" w:w="130"/>
              <w:bottom w:type="dxa" w:w="90"/>
              <w:right w:type="dxa" w:w="130"/>
            </w:tcMar>
            <w:vAlign w:val="center"/>
          </w:tcPr>
          <w:p>
            <w:pPr>
              <w:spacing w:after="0" w:line="250"/>
              <w:jc w:val="center"/>
            </w:pPr>
            <w:r>
              <w:rPr>
                <w:sz w:val="20"/>
                <w:szCs w:val="20"/>
              </w:rPr>
              <w:t xml:space="preserve">9 – 13</w:t>
            </w:r>
          </w:p>
        </w:tc>
        <w:tc>
          <w:tcPr>
            <w:tcW w:type="dxa" w:w="3160"/>
            <w:tcMar>
              <w:top w:type="dxa" w:w="90"/>
              <w:left w:type="dxa" w:w="130"/>
              <w:bottom w:type="dxa" w:w="90"/>
              <w:right w:type="dxa" w:w="130"/>
            </w:tcMar>
            <w:vAlign w:val="center"/>
          </w:tcPr>
          <w:p>
            <w:pPr>
              <w:spacing w:after="0" w:line="250"/>
              <w:jc w:val="left"/>
            </w:pPr>
            <w:r>
              <w:rPr>
                <w:sz w:val="20"/>
                <w:szCs w:val="20"/>
              </w:rPr>
              <w:t xml:space="preserve">Presupuesto y curva de inversión generados automáticamente.</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V</w:t>
            </w:r>
          </w:p>
        </w:tc>
        <w:tc>
          <w:tcPr>
            <w:tcW w:type="dxa" w:w="3800"/>
            <w:tcMar>
              <w:top w:type="dxa" w:w="90"/>
              <w:left w:type="dxa" w:w="130"/>
              <w:bottom w:type="dxa" w:w="90"/>
              <w:right w:type="dxa" w:w="130"/>
            </w:tcMar>
            <w:vAlign w:val="center"/>
          </w:tcPr>
          <w:p>
            <w:pPr>
              <w:spacing w:after="0" w:line="250"/>
              <w:jc w:val="left"/>
            </w:pPr>
            <w:r>
              <w:rPr>
                <w:sz w:val="20"/>
                <w:szCs w:val="20"/>
              </w:rPr>
              <w:t xml:space="preserve">Sistema de verificación automática de consistencia.</w:t>
            </w:r>
          </w:p>
        </w:tc>
        <w:tc>
          <w:tcPr>
            <w:tcW w:type="dxa" w:w="1500"/>
            <w:tcMar>
              <w:top w:type="dxa" w:w="90"/>
              <w:left w:type="dxa" w:w="130"/>
              <w:bottom w:type="dxa" w:w="90"/>
              <w:right w:type="dxa" w:w="130"/>
            </w:tcMar>
            <w:vAlign w:val="center"/>
          </w:tcPr>
          <w:p>
            <w:pPr>
              <w:spacing w:after="0" w:line="250"/>
              <w:jc w:val="center"/>
            </w:pPr>
            <w:r>
              <w:rPr>
                <w:sz w:val="20"/>
                <w:szCs w:val="20"/>
              </w:rPr>
              <w:t xml:space="preserve">13 – 15</w:t>
            </w:r>
          </w:p>
        </w:tc>
        <w:tc>
          <w:tcPr>
            <w:tcW w:type="dxa" w:w="3160"/>
            <w:tcMar>
              <w:top w:type="dxa" w:w="90"/>
              <w:left w:type="dxa" w:w="130"/>
              <w:bottom w:type="dxa" w:w="90"/>
              <w:right w:type="dxa" w:w="130"/>
            </w:tcMar>
            <w:vAlign w:val="center"/>
          </w:tcPr>
          <w:p>
            <w:pPr>
              <w:spacing w:after="0" w:line="250"/>
              <w:jc w:val="left"/>
            </w:pPr>
            <w:r>
              <w:rPr>
                <w:sz w:val="20"/>
                <w:szCs w:val="20"/>
              </w:rPr>
              <w:t xml:space="preserve">Informe de auditoría automática.</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IV</w:t>
            </w:r>
          </w:p>
        </w:tc>
        <w:tc>
          <w:tcPr>
            <w:tcW w:type="dxa" w:w="3800"/>
            <w:tcMar>
              <w:top w:type="dxa" w:w="90"/>
              <w:left w:type="dxa" w:w="130"/>
              <w:bottom w:type="dxa" w:w="90"/>
              <w:right w:type="dxa" w:w="130"/>
            </w:tcMar>
            <w:vAlign w:val="center"/>
          </w:tcPr>
          <w:p>
            <w:pPr>
              <w:spacing w:after="0" w:line="250"/>
              <w:jc w:val="left"/>
            </w:pPr>
            <w:r>
              <w:rPr>
                <w:sz w:val="20"/>
                <w:szCs w:val="20"/>
              </w:rPr>
              <w:t xml:space="preserve">Módulos de aprendizaje automático, en orden: normalización, anomalías, predicción.</w:t>
            </w:r>
          </w:p>
        </w:tc>
        <w:tc>
          <w:tcPr>
            <w:tcW w:type="dxa" w:w="1500"/>
            <w:tcMar>
              <w:top w:type="dxa" w:w="90"/>
              <w:left w:type="dxa" w:w="130"/>
              <w:bottom w:type="dxa" w:w="90"/>
              <w:right w:type="dxa" w:w="130"/>
            </w:tcMar>
            <w:vAlign w:val="center"/>
          </w:tcPr>
          <w:p>
            <w:pPr>
              <w:spacing w:after="0" w:line="250"/>
              <w:jc w:val="center"/>
            </w:pPr>
            <w:r>
              <w:rPr>
                <w:sz w:val="20"/>
                <w:szCs w:val="20"/>
              </w:rPr>
              <w:t xml:space="preserve">15 – 20</w:t>
            </w:r>
          </w:p>
        </w:tc>
        <w:tc>
          <w:tcPr>
            <w:tcW w:type="dxa" w:w="3160"/>
            <w:tcMar>
              <w:top w:type="dxa" w:w="90"/>
              <w:left w:type="dxa" w:w="130"/>
              <w:bottom w:type="dxa" w:w="90"/>
              <w:right w:type="dxa" w:w="130"/>
            </w:tcMar>
            <w:vAlign w:val="center"/>
          </w:tcPr>
          <w:p>
            <w:pPr>
              <w:spacing w:after="0" w:line="250"/>
              <w:jc w:val="left"/>
            </w:pPr>
            <w:r>
              <w:rPr>
                <w:sz w:val="20"/>
                <w:szCs w:val="20"/>
              </w:rPr>
              <w:t xml:space="preserve">Modelos entrenados y métricas de desempeño.</w:t>
            </w:r>
          </w:p>
        </w:tc>
      </w:tr>
      <w:tr>
        <w:tc>
          <w:tcPr>
            <w:tcW w:type="dxa" w:w="900"/>
            <w:shd w:fill="EEF2F7" w:color="auto" w:val="clear"/>
            <w:tcMar>
              <w:top w:type="dxa" w:w="90"/>
              <w:left w:type="dxa" w:w="130"/>
              <w:bottom w:type="dxa" w:w="90"/>
              <w:right w:type="dxa" w:w="130"/>
            </w:tcMar>
            <w:vAlign w:val="center"/>
          </w:tcPr>
          <w:p>
            <w:pPr>
              <w:spacing w:after="0" w:line="250"/>
              <w:jc w:val="center"/>
            </w:pPr>
            <w:r>
              <w:rPr>
                <w:b/>
                <w:bCs/>
                <w:sz w:val="20"/>
                <w:szCs w:val="20"/>
              </w:rPr>
              <w:t xml:space="preserve">VI</w:t>
            </w:r>
          </w:p>
        </w:tc>
        <w:tc>
          <w:tcPr>
            <w:tcW w:type="dxa" w:w="3800"/>
            <w:tcMar>
              <w:top w:type="dxa" w:w="90"/>
              <w:left w:type="dxa" w:w="130"/>
              <w:bottom w:type="dxa" w:w="90"/>
              <w:right w:type="dxa" w:w="130"/>
            </w:tcMar>
            <w:vAlign w:val="center"/>
          </w:tcPr>
          <w:p>
            <w:pPr>
              <w:spacing w:after="0" w:line="250"/>
              <w:jc w:val="left"/>
            </w:pPr>
            <w:r>
              <w:rPr>
                <w:sz w:val="20"/>
                <w:szCs w:val="20"/>
              </w:rPr>
              <w:t xml:space="preserve">Evaluación, juicio de expertos y redacción del informe final.</w:t>
            </w:r>
          </w:p>
        </w:tc>
        <w:tc>
          <w:tcPr>
            <w:tcW w:type="dxa" w:w="1500"/>
            <w:tcMar>
              <w:top w:type="dxa" w:w="90"/>
              <w:left w:type="dxa" w:w="130"/>
              <w:bottom w:type="dxa" w:w="90"/>
              <w:right w:type="dxa" w:w="130"/>
            </w:tcMar>
            <w:vAlign w:val="center"/>
          </w:tcPr>
          <w:p>
            <w:pPr>
              <w:spacing w:after="0" w:line="250"/>
              <w:jc w:val="center"/>
            </w:pPr>
            <w:r>
              <w:rPr>
                <w:sz w:val="20"/>
                <w:szCs w:val="20"/>
              </w:rPr>
              <w:t xml:space="preserve">20 – 24</w:t>
            </w:r>
          </w:p>
        </w:tc>
        <w:tc>
          <w:tcPr>
            <w:tcW w:type="dxa" w:w="3160"/>
            <w:tcMar>
              <w:top w:type="dxa" w:w="90"/>
              <w:left w:type="dxa" w:w="130"/>
              <w:bottom w:type="dxa" w:w="90"/>
              <w:right w:type="dxa" w:w="130"/>
            </w:tcMar>
            <w:vAlign w:val="center"/>
          </w:tcPr>
          <w:p>
            <w:pPr>
              <w:spacing w:after="0" w:line="250"/>
              <w:jc w:val="left"/>
            </w:pPr>
            <w:r>
              <w:rPr>
                <w:sz w:val="20"/>
                <w:szCs w:val="20"/>
              </w:rPr>
              <w:t xml:space="preserve">Trabajo de grado.</w:t>
            </w:r>
          </w:p>
        </w:tc>
      </w:tr>
    </w:tbl>
    <w:p>
      <w:pPr>
        <w:spacing w:after="60" w:line="276"/>
        <w:jc w:val="both"/>
      </w:pPr>
      <w:r>
        <w:rPr>
          <w:sz w:val="22"/>
          <w:szCs w:val="22"/>
        </w:rPr>
        <w:t xml:space="preserve"/>
      </w:r>
    </w:p>
    <w:p>
      <w:pPr>
        <w:spacing w:after="120" w:line="276"/>
        <w:jc w:val="both"/>
      </w:pPr>
      <w:r>
        <w:rPr>
          <w:i/>
          <w:iCs/>
          <w:sz w:val="20"/>
          <w:szCs w:val="20"/>
        </w:rPr>
        <w:t xml:space="preserve">Nota: la Fase V se ejecuta antes que la Fase IV. La verificación automática no depende del aprendizaje automático y constituye por sí sola un resultado defendible; anteponerla asegura que exista un producto válido aun si el módulo predictivo resulta comprometido por insuficiencia de datos.</w:t>
      </w:r>
    </w:p>
    <w:p>
      <w:r>
        <w:br w:type="page"/>
      </w:r>
    </w:p>
    <w:p>
      <w:pPr>
        <w:pStyle w:val="Heading1"/>
        <w:spacing w:after="180" w:before="360"/>
      </w:pPr>
      <w:r>
        <w:t xml:space="preserve">11. Riesgos y previsiones</w:t>
      </w:r>
    </w:p>
    <w:tbl>
      <w:tblPr>
        <w:tblW w:type="dxa" w:w="9360"/>
        <w:tblBorders>
          <w:top w:val="single" w:color="9AA5B1" w:sz="2"/>
          <w:left w:val="single" w:color="9AA5B1" w:sz="2"/>
          <w:bottom w:val="single" w:color="9AA5B1" w:sz="2"/>
          <w:right w:val="single" w:color="9AA5B1" w:sz="2"/>
          <w:insideH w:val="single" w:color="C7CDD4" w:sz="1"/>
          <w:insideV w:val="single" w:color="C7CDD4" w:sz="1"/>
        </w:tblBorders>
      </w:tblPr>
      <w:tblGrid>
        <w:gridCol w:w="2600"/>
        <w:gridCol w:w="900"/>
        <w:gridCol w:w="2900"/>
        <w:gridCol w:w="2960"/>
      </w:tblGrid>
      <w:tr>
        <w:tc>
          <w:tcPr>
            <w:tcW w:type="dxa" w:w="26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Riesgo</w:t>
            </w:r>
          </w:p>
        </w:tc>
        <w:tc>
          <w:tcPr>
            <w:tcW w:type="dxa" w:w="9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Nivel</w:t>
            </w:r>
          </w:p>
        </w:tc>
        <w:tc>
          <w:tcPr>
            <w:tcW w:type="dxa" w:w="290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Consecuencia</w:t>
            </w:r>
          </w:p>
        </w:tc>
        <w:tc>
          <w:tcPr>
            <w:tcW w:type="dxa" w:w="2960"/>
            <w:shd w:fill="1F3864" w:color="auto" w:val="clear"/>
            <w:tcMar>
              <w:top w:type="dxa" w:w="90"/>
              <w:left w:type="dxa" w:w="130"/>
              <w:bottom w:type="dxa" w:w="90"/>
              <w:right w:type="dxa" w:w="130"/>
            </w:tcMar>
            <w:vAlign w:val="center"/>
          </w:tcPr>
          <w:p>
            <w:pPr>
              <w:spacing w:after="0" w:line="250"/>
              <w:jc w:val="left"/>
            </w:pPr>
            <w:r>
              <w:rPr>
                <w:b/>
                <w:bCs/>
                <w:color w:val="FFFFFF"/>
                <w:sz w:val="20"/>
                <w:szCs w:val="20"/>
              </w:rPr>
              <w:t xml:space="preserve">Previsión</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Insuficiencia de datos para el modelo predictivo</w:t>
            </w:r>
          </w:p>
        </w:tc>
        <w:tc>
          <w:tcPr>
            <w:tcW w:type="dxa" w:w="900"/>
            <w:tcMar>
              <w:top w:type="dxa" w:w="90"/>
              <w:left w:type="dxa" w:w="130"/>
              <w:bottom w:type="dxa" w:w="90"/>
              <w:right w:type="dxa" w:w="130"/>
            </w:tcMar>
            <w:vAlign w:val="center"/>
          </w:tcPr>
          <w:p>
            <w:pPr>
              <w:spacing w:after="0" w:line="250"/>
              <w:jc w:val="center"/>
            </w:pPr>
            <w:r>
              <w:rPr>
                <w:sz w:val="20"/>
                <w:szCs w:val="20"/>
              </w:rPr>
              <w:t xml:space="preserve">Alto</w:t>
            </w:r>
          </w:p>
        </w:tc>
        <w:tc>
          <w:tcPr>
            <w:tcW w:type="dxa" w:w="2900"/>
            <w:tcMar>
              <w:top w:type="dxa" w:w="90"/>
              <w:left w:type="dxa" w:w="130"/>
              <w:bottom w:type="dxa" w:w="90"/>
              <w:right w:type="dxa" w:w="130"/>
            </w:tcMar>
            <w:vAlign w:val="center"/>
          </w:tcPr>
          <w:p>
            <w:pPr>
              <w:spacing w:after="0" w:line="250"/>
              <w:jc w:val="left"/>
            </w:pPr>
            <w:r>
              <w:rPr>
                <w:sz w:val="20"/>
                <w:szCs w:val="20"/>
              </w:rPr>
              <w:t xml:space="preserve">El objetivo específico 4 no puede cumplirse en su componente de predicción.</w:t>
            </w:r>
          </w:p>
        </w:tc>
        <w:tc>
          <w:tcPr>
            <w:tcW w:type="dxa" w:w="2960"/>
            <w:tcMar>
              <w:top w:type="dxa" w:w="90"/>
              <w:left w:type="dxa" w:w="130"/>
              <w:bottom w:type="dxa" w:w="90"/>
              <w:right w:type="dxa" w:w="130"/>
            </w:tcMar>
            <w:vAlign w:val="center"/>
          </w:tcPr>
          <w:p>
            <w:pPr>
              <w:spacing w:after="0" w:line="250"/>
              <w:jc w:val="left"/>
            </w:pPr>
            <w:r>
              <w:rPr>
                <w:sz w:val="20"/>
                <w:szCs w:val="20"/>
              </w:rPr>
              <w:t xml:space="preserve">Reformular ese componente como sistema basado en reglas con análisis de sensibilidad. Los módulos de normalización y detección de anomalías no requieren datos etiquetados y permanecen viables.</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Negativa de autorización de uso de la base de datos comercial</w:t>
            </w:r>
          </w:p>
        </w:tc>
        <w:tc>
          <w:tcPr>
            <w:tcW w:type="dxa" w:w="900"/>
            <w:tcMar>
              <w:top w:type="dxa" w:w="90"/>
              <w:left w:type="dxa" w:w="130"/>
              <w:bottom w:type="dxa" w:w="90"/>
              <w:right w:type="dxa" w:w="130"/>
            </w:tcMar>
            <w:vAlign w:val="center"/>
          </w:tcPr>
          <w:p>
            <w:pPr>
              <w:spacing w:after="0" w:line="250"/>
              <w:jc w:val="center"/>
            </w:pPr>
            <w:r>
              <w:rPr>
                <w:sz w:val="20"/>
                <w:szCs w:val="20"/>
              </w:rPr>
              <w:t xml:space="preserve">Medio</w:t>
            </w:r>
          </w:p>
        </w:tc>
        <w:tc>
          <w:tcPr>
            <w:tcW w:type="dxa" w:w="2900"/>
            <w:tcMar>
              <w:top w:type="dxa" w:w="90"/>
              <w:left w:type="dxa" w:w="130"/>
              <w:bottom w:type="dxa" w:w="90"/>
              <w:right w:type="dxa" w:w="130"/>
            </w:tcMar>
            <w:vAlign w:val="center"/>
          </w:tcPr>
          <w:p>
            <w:pPr>
              <w:spacing w:after="0" w:line="250"/>
              <w:jc w:val="left"/>
            </w:pPr>
            <w:r>
              <w:rPr>
                <w:sz w:val="20"/>
                <w:szCs w:val="20"/>
              </w:rPr>
              <w:t xml:space="preserve">Pérdida del catálogo normalizado y de los precios de referencia.</w:t>
            </w:r>
          </w:p>
        </w:tc>
        <w:tc>
          <w:tcPr>
            <w:tcW w:type="dxa" w:w="2960"/>
            <w:tcMar>
              <w:top w:type="dxa" w:w="90"/>
              <w:left w:type="dxa" w:w="130"/>
              <w:bottom w:type="dxa" w:w="90"/>
              <w:right w:type="dxa" w:w="130"/>
            </w:tcMar>
            <w:vAlign w:val="center"/>
          </w:tcPr>
          <w:p>
            <w:pPr>
              <w:spacing w:after="0" w:line="250"/>
              <w:jc w:val="left"/>
            </w:pPr>
            <w:r>
              <w:rPr>
                <w:sz w:val="20"/>
                <w:szCs w:val="20"/>
              </w:rPr>
              <w:t xml:space="preserve">Construir un catálogo reducido a partir de la norma COVENIN 2000 y de los APU obtenidos de trabajos previos.</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Pérdida de información en la exportación a IFC</w:t>
            </w:r>
          </w:p>
        </w:tc>
        <w:tc>
          <w:tcPr>
            <w:tcW w:type="dxa" w:w="900"/>
            <w:tcMar>
              <w:top w:type="dxa" w:w="90"/>
              <w:left w:type="dxa" w:w="130"/>
              <w:bottom w:type="dxa" w:w="90"/>
              <w:right w:type="dxa" w:w="130"/>
            </w:tcMar>
            <w:vAlign w:val="center"/>
          </w:tcPr>
          <w:p>
            <w:pPr>
              <w:spacing w:after="0" w:line="250"/>
              <w:jc w:val="center"/>
            </w:pPr>
            <w:r>
              <w:rPr>
                <w:sz w:val="20"/>
                <w:szCs w:val="20"/>
              </w:rPr>
              <w:t xml:space="preserve">Medio</w:t>
            </w:r>
          </w:p>
        </w:tc>
        <w:tc>
          <w:tcPr>
            <w:tcW w:type="dxa" w:w="2900"/>
            <w:tcMar>
              <w:top w:type="dxa" w:w="90"/>
              <w:left w:type="dxa" w:w="130"/>
              <w:bottom w:type="dxa" w:w="90"/>
              <w:right w:type="dxa" w:w="130"/>
            </w:tcMar>
            <w:vAlign w:val="center"/>
          </w:tcPr>
          <w:p>
            <w:pPr>
              <w:spacing w:after="0" w:line="250"/>
              <w:jc w:val="left"/>
            </w:pPr>
            <w:r>
              <w:rPr>
                <w:sz w:val="20"/>
                <w:szCs w:val="20"/>
              </w:rPr>
              <w:t xml:space="preserve">Las cantidades extraídas no coinciden con las del modelo nativo.</w:t>
            </w:r>
          </w:p>
        </w:tc>
        <w:tc>
          <w:tcPr>
            <w:tcW w:type="dxa" w:w="2960"/>
            <w:tcMar>
              <w:top w:type="dxa" w:w="90"/>
              <w:left w:type="dxa" w:w="130"/>
              <w:bottom w:type="dxa" w:w="90"/>
              <w:right w:type="dxa" w:w="130"/>
            </w:tcMar>
            <w:vAlign w:val="center"/>
          </w:tcPr>
          <w:p>
            <w:pPr>
              <w:spacing w:after="0" w:line="250"/>
              <w:jc w:val="left"/>
            </w:pPr>
            <w:r>
              <w:rPr>
                <w:sz w:val="20"/>
                <w:szCs w:val="20"/>
              </w:rPr>
              <w:t xml:space="preserve">Verificar en la semana 4 mediante la prueba de concepto. De persistir, emplear la interfaz de programación nativa como respaldo, documentando la pérdida de independencia tecnológica.</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Objeción del jurado por uso impreciso del término "gemelo digital"</w:t>
            </w:r>
          </w:p>
        </w:tc>
        <w:tc>
          <w:tcPr>
            <w:tcW w:type="dxa" w:w="900"/>
            <w:tcMar>
              <w:top w:type="dxa" w:w="90"/>
              <w:left w:type="dxa" w:w="130"/>
              <w:bottom w:type="dxa" w:w="90"/>
              <w:right w:type="dxa" w:w="130"/>
            </w:tcMar>
            <w:vAlign w:val="center"/>
          </w:tcPr>
          <w:p>
            <w:pPr>
              <w:spacing w:after="0" w:line="250"/>
              <w:jc w:val="center"/>
            </w:pPr>
            <w:r>
              <w:rPr>
                <w:sz w:val="20"/>
                <w:szCs w:val="20"/>
              </w:rPr>
              <w:t xml:space="preserve">Medio</w:t>
            </w:r>
          </w:p>
        </w:tc>
        <w:tc>
          <w:tcPr>
            <w:tcW w:type="dxa" w:w="2900"/>
            <w:tcMar>
              <w:top w:type="dxa" w:w="90"/>
              <w:left w:type="dxa" w:w="130"/>
              <w:bottom w:type="dxa" w:w="90"/>
              <w:right w:type="dxa" w:w="130"/>
            </w:tcMar>
            <w:vAlign w:val="center"/>
          </w:tcPr>
          <w:p>
            <w:pPr>
              <w:spacing w:after="0" w:line="250"/>
              <w:jc w:val="left"/>
            </w:pPr>
            <w:r>
              <w:rPr>
                <w:sz w:val="20"/>
                <w:szCs w:val="20"/>
              </w:rPr>
              <w:t xml:space="preserve">Cuestionamiento del marco conceptual.</w:t>
            </w:r>
          </w:p>
        </w:tc>
        <w:tc>
          <w:tcPr>
            <w:tcW w:type="dxa" w:w="2960"/>
            <w:tcMar>
              <w:top w:type="dxa" w:w="90"/>
              <w:left w:type="dxa" w:w="130"/>
              <w:bottom w:type="dxa" w:w="90"/>
              <w:right w:type="dxa" w:w="130"/>
            </w:tcMar>
            <w:vAlign w:val="center"/>
          </w:tcPr>
          <w:p>
            <w:pPr>
              <w:spacing w:after="0" w:line="250"/>
              <w:jc w:val="left"/>
            </w:pPr>
            <w:r>
              <w:rPr>
                <w:sz w:val="20"/>
                <w:szCs w:val="20"/>
              </w:rPr>
              <w:t xml:space="preserve">Delimitación explícita en la sección 6.3 y en el título. No emplear el término sin la calificación correspondiente.</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Objeción de que el aporte replica software existente</w:t>
            </w:r>
          </w:p>
        </w:tc>
        <w:tc>
          <w:tcPr>
            <w:tcW w:type="dxa" w:w="900"/>
            <w:tcMar>
              <w:top w:type="dxa" w:w="90"/>
              <w:left w:type="dxa" w:w="130"/>
              <w:bottom w:type="dxa" w:w="90"/>
              <w:right w:type="dxa" w:w="130"/>
            </w:tcMar>
            <w:vAlign w:val="center"/>
          </w:tcPr>
          <w:p>
            <w:pPr>
              <w:spacing w:after="0" w:line="250"/>
              <w:jc w:val="center"/>
            </w:pPr>
            <w:r>
              <w:rPr>
                <w:sz w:val="20"/>
                <w:szCs w:val="20"/>
              </w:rPr>
              <w:t xml:space="preserve">Medio</w:t>
            </w:r>
          </w:p>
        </w:tc>
        <w:tc>
          <w:tcPr>
            <w:tcW w:type="dxa" w:w="2900"/>
            <w:tcMar>
              <w:top w:type="dxa" w:w="90"/>
              <w:left w:type="dxa" w:w="130"/>
              <w:bottom w:type="dxa" w:w="90"/>
              <w:right w:type="dxa" w:w="130"/>
            </w:tcMar>
            <w:vAlign w:val="center"/>
          </w:tcPr>
          <w:p>
            <w:pPr>
              <w:spacing w:after="0" w:line="250"/>
              <w:jc w:val="left"/>
            </w:pPr>
            <w:r>
              <w:rPr>
                <w:sz w:val="20"/>
                <w:szCs w:val="20"/>
              </w:rPr>
              <w:t xml:space="preserve">Cuestionamiento de la originalidad.</w:t>
            </w:r>
          </w:p>
        </w:tc>
        <w:tc>
          <w:tcPr>
            <w:tcW w:type="dxa" w:w="2960"/>
            <w:tcMar>
              <w:top w:type="dxa" w:w="90"/>
              <w:left w:type="dxa" w:w="130"/>
              <w:bottom w:type="dxa" w:w="90"/>
              <w:right w:type="dxa" w:w="130"/>
            </w:tcMar>
            <w:vAlign w:val="center"/>
          </w:tcPr>
          <w:p>
            <w:pPr>
              <w:spacing w:after="0" w:line="250"/>
              <w:jc w:val="left"/>
            </w:pPr>
            <w:r>
              <w:rPr>
                <w:sz w:val="20"/>
                <w:szCs w:val="20"/>
              </w:rPr>
              <w:t xml:space="preserve">Sostener la respuesta en la sección 9.5: ningún software de presupuesto conoce la geometría y por tanto ninguno puede ejecutar las verificaciones propuestas.</w:t>
            </w:r>
          </w:p>
        </w:tc>
      </w:tr>
      <w:tr>
        <w:tc>
          <w:tcPr>
            <w:tcW w:type="dxa" w:w="2600"/>
            <w:shd w:fill="EEF2F7" w:color="auto" w:val="clear"/>
            <w:tcMar>
              <w:top w:type="dxa" w:w="90"/>
              <w:left w:type="dxa" w:w="130"/>
              <w:bottom w:type="dxa" w:w="90"/>
              <w:right w:type="dxa" w:w="130"/>
            </w:tcMar>
            <w:vAlign w:val="center"/>
          </w:tcPr>
          <w:p>
            <w:pPr>
              <w:spacing w:after="0" w:line="250"/>
              <w:jc w:val="left"/>
            </w:pPr>
            <w:r>
              <w:rPr>
                <w:b/>
                <w:bCs/>
                <w:sz w:val="20"/>
                <w:szCs w:val="20"/>
              </w:rPr>
              <w:t xml:space="preserve">Volatilidad de precios durante la ejecución</w:t>
            </w:r>
          </w:p>
        </w:tc>
        <w:tc>
          <w:tcPr>
            <w:tcW w:type="dxa" w:w="900"/>
            <w:tcMar>
              <w:top w:type="dxa" w:w="90"/>
              <w:left w:type="dxa" w:w="130"/>
              <w:bottom w:type="dxa" w:w="90"/>
              <w:right w:type="dxa" w:w="130"/>
            </w:tcMar>
            <w:vAlign w:val="center"/>
          </w:tcPr>
          <w:p>
            <w:pPr>
              <w:spacing w:after="0" w:line="250"/>
              <w:jc w:val="center"/>
            </w:pPr>
            <w:r>
              <w:rPr>
                <w:sz w:val="20"/>
                <w:szCs w:val="20"/>
              </w:rPr>
              <w:t xml:space="preserve">Bajo</w:t>
            </w:r>
          </w:p>
        </w:tc>
        <w:tc>
          <w:tcPr>
            <w:tcW w:type="dxa" w:w="2900"/>
            <w:tcMar>
              <w:top w:type="dxa" w:w="90"/>
              <w:left w:type="dxa" w:w="130"/>
              <w:bottom w:type="dxa" w:w="90"/>
              <w:right w:type="dxa" w:w="130"/>
            </w:tcMar>
            <w:vAlign w:val="center"/>
          </w:tcPr>
          <w:p>
            <w:pPr>
              <w:spacing w:after="0" w:line="250"/>
              <w:jc w:val="left"/>
            </w:pPr>
            <w:r>
              <w:rPr>
                <w:sz w:val="20"/>
                <w:szCs w:val="20"/>
              </w:rPr>
              <w:t xml:space="preserve">Los precios de referencia pierden vigencia.</w:t>
            </w:r>
          </w:p>
        </w:tc>
        <w:tc>
          <w:tcPr>
            <w:tcW w:type="dxa" w:w="2960"/>
            <w:tcMar>
              <w:top w:type="dxa" w:w="90"/>
              <w:left w:type="dxa" w:w="130"/>
              <w:bottom w:type="dxa" w:w="90"/>
              <w:right w:type="dxa" w:w="130"/>
            </w:tcMar>
            <w:vAlign w:val="center"/>
          </w:tcPr>
          <w:p>
            <w:pPr>
              <w:spacing w:after="0" w:line="250"/>
              <w:jc w:val="left"/>
            </w:pPr>
            <w:r>
              <w:rPr>
                <w:sz w:val="20"/>
                <w:szCs w:val="20"/>
              </w:rPr>
              <w:t xml:space="preserve">Fijar fecha de corte, expresar los montos en divisas y documentar el factor de actualización empleado.</w:t>
            </w:r>
          </w:p>
        </w:tc>
      </w:tr>
    </w:tbl>
    <w:p>
      <w:r>
        <w:br w:type="page"/>
      </w:r>
    </w:p>
    <w:p>
      <w:pPr>
        <w:pStyle w:val="Heading1"/>
        <w:spacing w:after="180" w:before="360"/>
      </w:pPr>
      <w:r>
        <w:t xml:space="preserve">12. Referencias preliminares</w:t>
      </w:r>
    </w:p>
    <w:p>
      <w:pPr>
        <w:spacing w:after="200" w:line="276"/>
        <w:jc w:val="both"/>
      </w:pPr>
      <w:r>
        <w:rPr>
          <w:sz w:val="22"/>
          <w:szCs w:val="22"/>
        </w:rPr>
        <w:t xml:space="preserve">Se presentan las fuentes que sustentan el marco teórico y los antecedentes. La lista debe ampliarse y ajustarse a la norma de citación exigida por la institución.</w:t>
      </w:r>
    </w:p>
    <w:p>
      <w:pPr>
        <w:pStyle w:val="Heading2"/>
        <w:spacing w:after="140" w:before="260"/>
      </w:pPr>
      <w:r>
        <w:t xml:space="preserve">12.1 Fuente metodológica principal</w:t>
      </w:r>
    </w:p>
    <w:p>
      <w:pPr>
        <w:spacing w:after="140" w:line="260"/>
        <w:ind w:left="720" w:hanging="720"/>
        <w:jc w:val="left"/>
      </w:pPr>
      <w:r>
        <w:rPr>
          <w:sz w:val="21"/>
          <w:szCs w:val="21"/>
        </w:rPr>
        <w:t xml:space="preserve">Miranda Miranda, J. J. (4ª ed.). Gestión de proyectos: identificación, formulación, evaluación financiera, económica, social y ambiental. MM Editores.</w:t>
      </w:r>
    </w:p>
    <w:p>
      <w:pPr>
        <w:pStyle w:val="Heading2"/>
        <w:spacing w:after="140" w:before="260"/>
      </w:pPr>
      <w:r>
        <w:t xml:space="preserve">12.2 BIM, cómputo métrico y dimensión de costos</w:t>
      </w:r>
    </w:p>
    <w:p>
      <w:pPr>
        <w:spacing w:after="140" w:line="260"/>
        <w:ind w:left="720" w:hanging="720"/>
        <w:jc w:val="left"/>
      </w:pPr>
      <w:r>
        <w:rPr>
          <w:sz w:val="21"/>
          <w:szCs w:val="21"/>
        </w:rPr>
        <w:t xml:space="preserve">Ma, Z., Wei, Z., Wu, S. y Zhe, L. (2011). Application and extension of the IFC standard in construction cost estimating for tendering in China. Automation in Construction, 20(2), 196-207.</w:t>
      </w:r>
    </w:p>
    <w:p>
      <w:pPr>
        <w:spacing w:after="140" w:line="260"/>
        <w:ind w:left="720" w:hanging="720"/>
        <w:jc w:val="left"/>
      </w:pPr>
      <w:r>
        <w:rPr>
          <w:sz w:val="21"/>
          <w:szCs w:val="21"/>
        </w:rPr>
        <w:t xml:space="preserve">Khosakitchalert, C., Yabuki, N. y Fukuda, T. (2020). Improving the accuracy of BIM-based quantity takeoff for compound elements. Automation in Construction, 106, 102891.</w:t>
      </w:r>
    </w:p>
    <w:p>
      <w:pPr>
        <w:spacing w:after="140" w:line="260"/>
        <w:ind w:left="720" w:hanging="720"/>
        <w:jc w:val="left"/>
      </w:pPr>
      <w:r>
        <w:rPr>
          <w:sz w:val="21"/>
          <w:szCs w:val="21"/>
        </w:rPr>
        <w:t xml:space="preserve">Pishdad, P. et al. (2024). Analysis of 5D BIM for cost estimation, cost control and payments. Journal of Information Technology in Construction (ITcon), 29.</w:t>
      </w:r>
    </w:p>
    <w:p>
      <w:pPr>
        <w:spacing w:after="140" w:line="260"/>
        <w:ind w:left="720" w:hanging="720"/>
        <w:jc w:val="left"/>
      </w:pPr>
      <w:r>
        <w:rPr>
          <w:sz w:val="21"/>
          <w:szCs w:val="21"/>
        </w:rPr>
        <w:t xml:space="preserve">Wahab, A. y Wang, J. (2022). Factors-driven comparison between BIM-based and traditional 2D quantity takeoff. Engineering, Construction and Architectural Management, 29(2), 702-715.</w:t>
      </w:r>
    </w:p>
    <w:p>
      <w:pPr>
        <w:spacing w:after="140" w:line="260"/>
        <w:ind w:left="720" w:hanging="720"/>
        <w:jc w:val="left"/>
      </w:pPr>
      <w:r>
        <w:rPr>
          <w:sz w:val="21"/>
          <w:szCs w:val="21"/>
        </w:rPr>
        <w:t xml:space="preserve">Yang, S. W., Moon, S. W., Jang, H., Choo, S. y Kim, S. A. (2022). Parametric method and BIM-based cost estimation model. Applied Sciences, 12(19), 9553.</w:t>
      </w:r>
    </w:p>
    <w:p>
      <w:pPr>
        <w:pStyle w:val="Heading2"/>
        <w:spacing w:after="140" w:before="260"/>
      </w:pPr>
      <w:r>
        <w:t xml:space="preserve">12.3 Aprendizaje automático aplicado a costos</w:t>
      </w:r>
    </w:p>
    <w:p>
      <w:pPr>
        <w:spacing w:after="140" w:line="260"/>
        <w:ind w:left="720" w:hanging="720"/>
        <w:jc w:val="left"/>
      </w:pPr>
      <w:r>
        <w:rPr>
          <w:sz w:val="21"/>
          <w:szCs w:val="21"/>
        </w:rPr>
        <w:t xml:space="preserve">Elmousalami, H. H. (2020). Artificial intelligence and parametric construction cost estimate modeling: State-of-the-art review. Journal of Construction Engineering and Management, 146(1), 03119008. DOI: 10.1061/(ASCE)CO.1943-7862.0001678</w:t>
      </w:r>
    </w:p>
    <w:p>
      <w:pPr>
        <w:spacing w:after="140" w:line="260"/>
        <w:ind w:left="720" w:hanging="720"/>
        <w:jc w:val="left"/>
      </w:pPr>
      <w:r>
        <w:rPr>
          <w:sz w:val="21"/>
          <w:szCs w:val="21"/>
        </w:rPr>
        <w:t xml:space="preserve">Tayefeh Hashemi, S., Ebadati, O. M. y Kaur, H. (2020). Cost estimation and prediction in construction projects: A systematic review on machine learning techniques. SN Applied Sciences, 2, 1703.</w:t>
      </w:r>
    </w:p>
    <w:p>
      <w:pPr>
        <w:spacing w:after="140" w:line="260"/>
        <w:ind w:left="720" w:hanging="720"/>
        <w:jc w:val="left"/>
      </w:pPr>
      <w:r>
        <w:rPr>
          <w:sz w:val="21"/>
          <w:szCs w:val="21"/>
        </w:rPr>
        <w:t xml:space="preserve">Kim, G. H., An, S. H. y Kang, K. I. (2004). Comparison of construction cost estimating models based on regression analysis, neural networks, and case-based reasoning. Building and Environment, 39(10), 1235-1242.</w:t>
      </w:r>
    </w:p>
    <w:p>
      <w:pPr>
        <w:spacing w:after="140" w:line="260"/>
        <w:ind w:left="720" w:hanging="720"/>
        <w:jc w:val="left"/>
      </w:pPr>
      <w:r>
        <w:rPr>
          <w:sz w:val="21"/>
          <w:szCs w:val="21"/>
        </w:rPr>
        <w:t xml:space="preserve">Huang, C. y Hsieh, S. (2020). Predicting BIM labor cost with random forest and simple linear regression. Automation in Construction, 120, 103276.</w:t>
      </w:r>
    </w:p>
    <w:p>
      <w:pPr>
        <w:pStyle w:val="Heading2"/>
        <w:spacing w:after="140" w:before="260"/>
      </w:pPr>
      <w:r>
        <w:t xml:space="preserve">12.4 Gemelos digitales</w:t>
      </w:r>
    </w:p>
    <w:p>
      <w:pPr>
        <w:spacing w:after="140" w:line="260"/>
        <w:ind w:left="720" w:hanging="720"/>
        <w:jc w:val="left"/>
      </w:pPr>
      <w:r>
        <w:rPr>
          <w:sz w:val="21"/>
          <w:szCs w:val="21"/>
        </w:rPr>
        <w:t xml:space="preserve">Sacks, R., Brilakis, I., Pikas, E., Xie, H. S. y Girolami, M. (2020). Construction with digital twin information systems. Data-Centric Engineering, 1, e14. DOI: 10.1017/dce.2020.16</w:t>
      </w:r>
    </w:p>
    <w:p>
      <w:pPr>
        <w:pStyle w:val="Heading2"/>
        <w:spacing w:after="140" w:before="260"/>
      </w:pPr>
      <w:r>
        <w:t xml:space="preserve">12.5 Procesamiento de lenguaje natural y clasificación de partidas</w:t>
      </w:r>
    </w:p>
    <w:p>
      <w:pPr>
        <w:spacing w:after="140" w:line="260"/>
        <w:ind w:left="720" w:hanging="720"/>
        <w:jc w:val="left"/>
      </w:pPr>
      <w:r>
        <w:rPr>
          <w:sz w:val="21"/>
          <w:szCs w:val="21"/>
        </w:rPr>
        <w:t xml:space="preserve">Moon, S., Lee, G. y Chi, S. (2022). Automated system for construction specification review using natural language processing. Automation in Construction, 142, 104465.</w:t>
      </w:r>
    </w:p>
    <w:p>
      <w:pPr>
        <w:pStyle w:val="Heading2"/>
        <w:spacing w:after="140" w:before="260"/>
      </w:pPr>
      <w:r>
        <w:t xml:space="preserve">12.6 Antecedentes regionales y nacionales</w:t>
      </w:r>
    </w:p>
    <w:p>
      <w:pPr>
        <w:spacing w:after="140" w:line="260"/>
        <w:ind w:left="720" w:hanging="720"/>
        <w:jc w:val="left"/>
      </w:pPr>
      <w:r>
        <w:rPr>
          <w:sz w:val="21"/>
          <w:szCs w:val="21"/>
        </w:rPr>
        <w:t xml:space="preserve">Quiñones, A. y Uzcátegui, M. (2023). Gerencia BIM como sistema de optimización de recursos en un proyecto de edificación. Revista Ciencia e Ingeniería, 44(1). Universidad de Los Andes, Mérida.</w:t>
      </w:r>
    </w:p>
    <w:p>
      <w:pPr>
        <w:spacing w:after="140" w:line="260"/>
        <w:ind w:left="720" w:hanging="720"/>
        <w:jc w:val="left"/>
      </w:pPr>
      <w:r>
        <w:rPr>
          <w:sz w:val="21"/>
          <w:szCs w:val="21"/>
        </w:rPr>
        <w:t xml:space="preserve">Rozo-Martínez, D. A. y Tumay-Gamba, G. I. (2024). Aplicación de la metodología BIM 5D para la gestión del costo: proyecto de vivienda Vasily [Trabajo de grado]. Universidad Católica de Colombia.</w:t>
      </w:r>
    </w:p>
    <w:p>
      <w:pPr>
        <w:spacing w:after="140" w:line="260"/>
        <w:ind w:left="720" w:hanging="720"/>
        <w:jc w:val="left"/>
      </w:pPr>
      <w:r>
        <w:rPr>
          <w:sz w:val="21"/>
          <w:szCs w:val="21"/>
        </w:rPr>
        <w:t xml:space="preserve">Garnica, A. Diseño de metodología integral orientada a la gestión de construcción eficiente (GCE) usando BIM [Trabajo de grado]. Universidad Católica Andrés Bello. VERIFICAR año y datos completos.</w:t>
      </w:r>
    </w:p>
    <w:p>
      <w:pPr>
        <w:pStyle w:val="Heading2"/>
        <w:spacing w:after="140" w:before="260"/>
      </w:pPr>
      <w:r>
        <w:t xml:space="preserve">12.7 Normativa y referencias técnicas</w:t>
      </w:r>
    </w:p>
    <w:p>
      <w:pPr>
        <w:spacing w:after="140" w:line="260"/>
        <w:ind w:left="720" w:hanging="720"/>
        <w:jc w:val="left"/>
      </w:pPr>
      <w:r>
        <w:rPr>
          <w:sz w:val="21"/>
          <w:szCs w:val="21"/>
        </w:rPr>
        <w:t xml:space="preserve">COVENIN 2000. Sector construcción: especificaciones, codificación y mediciones. Parte II: Edificaciones. Fondonorma / SENCAMER.</w:t>
      </w:r>
    </w:p>
    <w:p>
      <w:pPr>
        <w:spacing w:after="140" w:line="260"/>
        <w:ind w:left="720" w:hanging="720"/>
        <w:jc w:val="left"/>
      </w:pPr>
      <w:r>
        <w:rPr>
          <w:sz w:val="21"/>
          <w:szCs w:val="21"/>
        </w:rPr>
        <w:t xml:space="preserve">AACE International. Recommended Practice 18R-97: Cost estimate classification system as applied in engineering, procurement, and construction for the process industries.</w:t>
      </w:r>
    </w:p>
    <w:p>
      <w:pPr>
        <w:spacing w:after="140" w:line="260"/>
        <w:ind w:left="720" w:hanging="720"/>
        <w:jc w:val="left"/>
      </w:pPr>
      <w:r>
        <w:rPr>
          <w:sz w:val="21"/>
          <w:szCs w:val="21"/>
        </w:rPr>
        <w:t xml:space="preserve">Convención Colectiva de Trabajo de la Industria de la Construcción vigente. VERIFICAR período de vigencia y valores del FCAS con las guías referenciales del Colegio de Ingenieros de Venezuela.</w:t>
      </w:r>
    </w:p>
    <w:p>
      <w:r>
        <w:br w:type="page"/>
      </w:r>
    </w:p>
    <w:p>
      <w:pPr>
        <w:pStyle w:val="Heading1"/>
        <w:spacing w:after="180" w:before="360"/>
      </w:pPr>
      <w:r>
        <w:t xml:space="preserve">13. Acciones inmediatas</w:t>
      </w:r>
    </w:p>
    <w:p>
      <w:pPr>
        <w:spacing w:after="120" w:line="276"/>
        <w:jc w:val="both"/>
      </w:pPr>
      <w:r>
        <w:rPr>
          <w:sz w:val="22"/>
          <w:szCs w:val="22"/>
        </w:rPr>
        <w:t xml:space="preserve">Antes de redactar el anteproyecto formal deben resolverse las siguientes cuestiones, ordenadas por criticidad:</w:t>
      </w:r>
    </w:p>
    <w:p>
      <w:pPr>
        <w:pStyle w:val="ListParagraph"/>
        <w:numPr>
          <w:ilvl w:val="0"/>
          <w:numId w:val="3"/>
        </w:numPr>
        <w:spacing w:after="90" w:line="276"/>
        <w:jc w:val="both"/>
      </w:pPr>
      <w:r>
        <w:rPr>
          <w:b/>
          <w:bCs/>
          <w:sz w:val="22"/>
          <w:szCs w:val="22"/>
        </w:rPr>
        <w:t xml:space="preserve">Resolver la fuente de datos. </w:t>
      </w:r>
      <w:r>
        <w:rPr>
          <w:sz w:val="22"/>
          <w:szCs w:val="22"/>
        </w:rPr>
        <w:t xml:space="preserve">Es la condición que determina la viabilidad del objetivo específico 4. Gestionar autorización de uso académico de la base de datos de partidas y recopilar trabajos de grado que contengan APU desglosados en sus anexos.</w:t>
      </w:r>
    </w:p>
    <w:p>
      <w:pPr>
        <w:pStyle w:val="ListParagraph"/>
        <w:numPr>
          <w:ilvl w:val="0"/>
          <w:numId w:val="3"/>
        </w:numPr>
        <w:spacing w:after="90" w:line="276"/>
        <w:jc w:val="both"/>
      </w:pPr>
      <w:r>
        <w:rPr>
          <w:b/>
          <w:bCs/>
          <w:sz w:val="22"/>
          <w:szCs w:val="22"/>
        </w:rPr>
        <w:t xml:space="preserve">Ejecutar la prueba de concepto de extracción IFC. </w:t>
      </w:r>
      <w:r>
        <w:rPr>
          <w:sz w:val="22"/>
          <w:szCs w:val="22"/>
        </w:rPr>
        <w:t xml:space="preserve">Modelar un único objeto, exportarlo y verificar que las cantidades se recuperan correctamente. Confirma o descarta la viabilidad técnica del conjunto.</w:t>
      </w:r>
    </w:p>
    <w:p>
      <w:pPr>
        <w:pStyle w:val="ListParagraph"/>
        <w:numPr>
          <w:ilvl w:val="0"/>
          <w:numId w:val="3"/>
        </w:numPr>
        <w:spacing w:after="90" w:line="276"/>
        <w:jc w:val="both"/>
      </w:pPr>
      <w:r>
        <w:rPr>
          <w:b/>
          <w:bCs/>
          <w:sz w:val="22"/>
          <w:szCs w:val="22"/>
        </w:rPr>
        <w:t xml:space="preserve">Rehacer el cómputo métrico corregido </w:t>
      </w:r>
      <w:r>
        <w:rPr>
          <w:sz w:val="22"/>
          <w:szCs w:val="22"/>
        </w:rPr>
        <w:t xml:space="preserve">del caso de estudio, con memoria de cálculo trazable. Constituye la línea base contra la cual se medirán todos los resultados.</w:t>
      </w:r>
    </w:p>
    <w:p>
      <w:pPr>
        <w:pStyle w:val="ListParagraph"/>
        <w:numPr>
          <w:ilvl w:val="0"/>
          <w:numId w:val="3"/>
        </w:numPr>
        <w:spacing w:after="90" w:line="276"/>
        <w:jc w:val="both"/>
      </w:pPr>
      <w:r>
        <w:rPr>
          <w:b/>
          <w:bCs/>
          <w:sz w:val="22"/>
          <w:szCs w:val="22"/>
        </w:rPr>
        <w:t xml:space="preserve">Verificar las referencias marcadas. </w:t>
      </w:r>
      <w:r>
        <w:rPr>
          <w:sz w:val="22"/>
          <w:szCs w:val="22"/>
        </w:rPr>
        <w:t xml:space="preserve">Confirmar en los repositorios institucionales los datos de los antecedentes nacionales y obtener los valores vigentes del FCAS de fuente primaria.</w:t>
      </w:r>
    </w:p>
    <w:p>
      <w:pPr>
        <w:pStyle w:val="ListParagraph"/>
        <w:numPr>
          <w:ilvl w:val="0"/>
          <w:numId w:val="3"/>
        </w:numPr>
        <w:spacing w:after="90" w:line="276"/>
        <w:jc w:val="both"/>
      </w:pPr>
      <w:r>
        <w:rPr>
          <w:b/>
          <w:bCs/>
          <w:sz w:val="22"/>
          <w:szCs w:val="22"/>
        </w:rPr>
        <w:t xml:space="preserve">Formalizar la asesoría técnica. </w:t>
      </w:r>
      <w:r>
        <w:rPr>
          <w:sz w:val="22"/>
          <w:szCs w:val="22"/>
        </w:rPr>
        <w:t xml:space="preserve">La incorporación de un ingeniero con experiencia en costos como tutor técnico fortalece la validación por juicio de expertos y facilita el acceso a presupuestos reales.</w:t>
      </w:r>
    </w:p>
    <w:p>
      <w:pPr>
        <w:pStyle w:val="ListParagraph"/>
        <w:numPr>
          <w:ilvl w:val="0"/>
          <w:numId w:val="3"/>
        </w:numPr>
        <w:spacing w:after="90" w:line="276"/>
        <w:jc w:val="both"/>
      </w:pPr>
      <w:r>
        <w:rPr>
          <w:b/>
          <w:bCs/>
          <w:sz w:val="22"/>
          <w:szCs w:val="22"/>
        </w:rPr>
        <w:t xml:space="preserve">Consultar el formato institucional </w:t>
      </w:r>
      <w:r>
        <w:rPr>
          <w:sz w:val="22"/>
          <w:szCs w:val="22"/>
        </w:rPr>
        <w:t xml:space="preserve">de presentación de anteproyectos y ajustar la estructura de este documento a los requerimientos específicos de la escuela o facultad.</w:t>
      </w:r>
    </w:p>
    <w:p>
      <w:pPr>
        <w:spacing w:after="60" w:line="276"/>
        <w:jc w:val="both"/>
      </w:pPr>
      <w:r>
        <w:rPr>
          <w:sz w:val="22"/>
          <w:szCs w:val="22"/>
        </w:rPr>
        <w:t xml:space="preserve"/>
      </w:r>
    </w:p>
    <w:p>
      <w:pPr>
        <w:spacing w:after="60" w:line="276"/>
        <w:jc w:val="both"/>
      </w:pPr>
      <w:r>
        <w:rPr>
          <w:sz w:val="22"/>
          <w:szCs w:val="22"/>
        </w:rPr>
        <w:t xml:space="preserve"/>
      </w:r>
    </w:p>
    <w:p>
      <w:pPr>
        <w:pBdr>
          <w:top w:val="single" w:color="BBBBBB" w:sz="6"/>
        </w:pBdr>
        <w:spacing w:before="200"/>
        <w:jc w:val="both"/>
      </w:pPr>
      <w:r>
        <w:rPr>
          <w:i/>
          <w:iCs/>
          <w:color w:val="555555"/>
          <w:sz w:val="21"/>
          <w:szCs w:val="21"/>
        </w:rPr>
        <w:t xml:space="preserve">Los apartados 2, 3, 5, 6.3, 8 y 9 de este documento pueden trasladarse al anteproyecto formal con ajustes menores de redacción. Los apartados 7 y 12 requieren completarse con la verificación de fuentes indicada. Los apartados 10, 11 y 13 son instrumentos de gestión interna y no forman parte del anteproyecto.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2E5C8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para el anteproyecto de trabajo de grado</dc:title>
  <dc:creator>Anteproyecto</dc:creator>
  <cp:lastModifiedBy>Un-named</cp:lastModifiedBy>
  <cp:revision>1</cp:revision>
  <dcterms:created xsi:type="dcterms:W3CDTF">2026-07-26T15:35:20.514Z</dcterms:created>
  <dcterms:modified xsi:type="dcterms:W3CDTF">2026-07-26T15:35:20.527Z</dcterms:modified>
</cp:coreProperties>
</file>

<file path=docProps/custom.xml><?xml version="1.0" encoding="utf-8"?>
<Properties xmlns="http://schemas.openxmlformats.org/officeDocument/2006/custom-properties" xmlns:vt="http://schemas.openxmlformats.org/officeDocument/2006/docPropsVTypes"/>
</file>