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5F84D" w14:textId="11120EE6" w:rsidR="00A36F55" w:rsidRPr="00C5168B" w:rsidRDefault="00A36F55" w:rsidP="00A36F55">
      <w:pPr>
        <w:spacing w:line="360" w:lineRule="auto"/>
        <w:jc w:val="center"/>
        <w:rPr>
          <w:rFonts w:ascii="Times New Roman" w:hAnsi="Times New Roman" w:cs="Times New Roman"/>
        </w:rPr>
      </w:pPr>
      <w:r w:rsidRPr="00C5168B">
        <w:rPr>
          <w:rFonts w:ascii="Times New Roman" w:hAnsi="Times New Roman" w:cs="Times New Roman"/>
        </w:rPr>
        <w:t>UNIVERSITATEA BABEȘ-BOLYAI CLUJ-NAPOCA</w:t>
      </w:r>
    </w:p>
    <w:p w14:paraId="28AB51DE" w14:textId="63B1B7DB" w:rsidR="00A36F55" w:rsidRPr="00C5168B" w:rsidRDefault="00A36F55" w:rsidP="00A36F55">
      <w:pPr>
        <w:spacing w:line="360" w:lineRule="auto"/>
        <w:jc w:val="center"/>
        <w:rPr>
          <w:rFonts w:ascii="Times New Roman" w:hAnsi="Times New Roman" w:cs="Times New Roman"/>
        </w:rPr>
      </w:pPr>
      <w:r w:rsidRPr="00C5168B">
        <w:rPr>
          <w:rFonts w:ascii="Times New Roman" w:hAnsi="Times New Roman" w:cs="Times New Roman"/>
        </w:rPr>
        <w:t>FACULTATEA DE BUSINESS</w:t>
      </w:r>
    </w:p>
    <w:p w14:paraId="4950BF58" w14:textId="20F7EC20" w:rsidR="00A36F55" w:rsidRPr="00C5168B" w:rsidRDefault="00A36F55" w:rsidP="00A36F55">
      <w:pPr>
        <w:spacing w:line="360" w:lineRule="auto"/>
        <w:jc w:val="center"/>
        <w:rPr>
          <w:rFonts w:ascii="Times New Roman" w:hAnsi="Times New Roman" w:cs="Times New Roman"/>
        </w:rPr>
      </w:pPr>
      <w:r w:rsidRPr="00C5168B">
        <w:rPr>
          <w:rFonts w:ascii="Times New Roman" w:hAnsi="Times New Roman" w:cs="Times New Roman"/>
        </w:rPr>
        <w:t>ADMINISTRAREA AFACERILOR</w:t>
      </w:r>
    </w:p>
    <w:p w14:paraId="0D68B53C" w14:textId="15FBE6B1" w:rsidR="00A36F55" w:rsidRPr="00C5168B" w:rsidRDefault="00A36F55" w:rsidP="00A36F55">
      <w:pPr>
        <w:spacing w:line="360" w:lineRule="auto"/>
        <w:jc w:val="center"/>
        <w:rPr>
          <w:rFonts w:ascii="Times New Roman" w:hAnsi="Times New Roman" w:cs="Times New Roman"/>
        </w:rPr>
      </w:pPr>
      <w:r w:rsidRPr="00C5168B">
        <w:rPr>
          <w:rFonts w:ascii="Times New Roman" w:hAnsi="Times New Roman" w:cs="Times New Roman"/>
        </w:rPr>
        <w:t>MASTER II</w:t>
      </w:r>
    </w:p>
    <w:p w14:paraId="2E652AC0" w14:textId="77777777" w:rsidR="00A36F55" w:rsidRPr="00C5168B" w:rsidRDefault="00A36F55" w:rsidP="00A36F55">
      <w:pPr>
        <w:spacing w:line="360" w:lineRule="auto"/>
        <w:rPr>
          <w:rFonts w:ascii="Times New Roman" w:hAnsi="Times New Roman" w:cs="Times New Roman"/>
        </w:rPr>
      </w:pPr>
    </w:p>
    <w:p w14:paraId="16E256D8" w14:textId="77777777" w:rsidR="00A36F55" w:rsidRPr="00C5168B" w:rsidRDefault="00A36F55" w:rsidP="00A36F55">
      <w:pPr>
        <w:spacing w:line="360" w:lineRule="auto"/>
        <w:rPr>
          <w:rFonts w:ascii="Times New Roman" w:hAnsi="Times New Roman" w:cs="Times New Roman"/>
        </w:rPr>
      </w:pPr>
    </w:p>
    <w:p w14:paraId="258AA5A4" w14:textId="77777777" w:rsidR="00A36F55" w:rsidRPr="00C5168B" w:rsidRDefault="00A36F55" w:rsidP="00A36F55">
      <w:pPr>
        <w:spacing w:line="360" w:lineRule="auto"/>
        <w:rPr>
          <w:rFonts w:ascii="Times New Roman" w:hAnsi="Times New Roman" w:cs="Times New Roman"/>
        </w:rPr>
      </w:pPr>
    </w:p>
    <w:p w14:paraId="681BC63A" w14:textId="77777777" w:rsidR="00A36F55" w:rsidRPr="00C5168B" w:rsidRDefault="00A36F55" w:rsidP="00A36F55">
      <w:pPr>
        <w:spacing w:line="360" w:lineRule="auto"/>
        <w:rPr>
          <w:rFonts w:ascii="Times New Roman" w:hAnsi="Times New Roman" w:cs="Times New Roman"/>
        </w:rPr>
      </w:pPr>
    </w:p>
    <w:p w14:paraId="6A041DA6" w14:textId="75095084" w:rsidR="00A36F55" w:rsidRPr="00C5168B" w:rsidRDefault="00A36F55" w:rsidP="00A36F55">
      <w:pPr>
        <w:spacing w:line="360" w:lineRule="auto"/>
        <w:jc w:val="center"/>
        <w:rPr>
          <w:rFonts w:ascii="Times New Roman" w:hAnsi="Times New Roman" w:cs="Times New Roman"/>
          <w:sz w:val="48"/>
          <w:szCs w:val="48"/>
        </w:rPr>
      </w:pPr>
      <w:r w:rsidRPr="00C5168B">
        <w:rPr>
          <w:rFonts w:ascii="Times New Roman" w:hAnsi="Times New Roman" w:cs="Times New Roman"/>
          <w:sz w:val="48"/>
          <w:szCs w:val="48"/>
        </w:rPr>
        <w:t>PROIECT</w:t>
      </w:r>
    </w:p>
    <w:p w14:paraId="456D867C" w14:textId="68CC7465" w:rsidR="00A36F55" w:rsidRPr="00C5168B" w:rsidRDefault="00A36F55" w:rsidP="00A36F55">
      <w:pPr>
        <w:spacing w:line="360" w:lineRule="auto"/>
        <w:jc w:val="center"/>
        <w:rPr>
          <w:rFonts w:ascii="Times New Roman" w:hAnsi="Times New Roman" w:cs="Times New Roman"/>
          <w:sz w:val="32"/>
          <w:szCs w:val="32"/>
        </w:rPr>
      </w:pPr>
      <w:r w:rsidRPr="00C5168B">
        <w:rPr>
          <w:rFonts w:ascii="Times New Roman" w:hAnsi="Times New Roman" w:cs="Times New Roman"/>
          <w:sz w:val="32"/>
          <w:szCs w:val="32"/>
        </w:rPr>
        <w:t>TEORIA JOCURILOR ÎN AFACERI</w:t>
      </w:r>
    </w:p>
    <w:p w14:paraId="665137B8" w14:textId="77777777" w:rsidR="00A36F55" w:rsidRPr="00C5168B" w:rsidRDefault="00A36F55" w:rsidP="00A36F55">
      <w:pPr>
        <w:spacing w:line="360" w:lineRule="auto"/>
        <w:jc w:val="center"/>
        <w:rPr>
          <w:rFonts w:ascii="Times New Roman" w:hAnsi="Times New Roman" w:cs="Times New Roman"/>
          <w:sz w:val="32"/>
          <w:szCs w:val="32"/>
        </w:rPr>
      </w:pPr>
    </w:p>
    <w:p w14:paraId="527EB9B9" w14:textId="77777777" w:rsidR="00A36F55" w:rsidRPr="00C5168B" w:rsidRDefault="00A36F55" w:rsidP="00A36F55">
      <w:pPr>
        <w:spacing w:line="360" w:lineRule="auto"/>
        <w:jc w:val="center"/>
        <w:rPr>
          <w:rFonts w:ascii="Times New Roman" w:hAnsi="Times New Roman" w:cs="Times New Roman"/>
          <w:sz w:val="32"/>
          <w:szCs w:val="32"/>
        </w:rPr>
      </w:pPr>
    </w:p>
    <w:p w14:paraId="580E98E9" w14:textId="77777777" w:rsidR="00A36F55" w:rsidRPr="00C5168B" w:rsidRDefault="00A36F55" w:rsidP="00A36F55">
      <w:pPr>
        <w:spacing w:line="360" w:lineRule="auto"/>
        <w:jc w:val="center"/>
        <w:rPr>
          <w:rFonts w:ascii="Times New Roman" w:hAnsi="Times New Roman" w:cs="Times New Roman"/>
          <w:sz w:val="32"/>
          <w:szCs w:val="32"/>
        </w:rPr>
      </w:pPr>
    </w:p>
    <w:p w14:paraId="62B9493F" w14:textId="77777777" w:rsidR="00A36F55" w:rsidRPr="00C5168B" w:rsidRDefault="00A36F55" w:rsidP="00A36F55">
      <w:pPr>
        <w:spacing w:line="360" w:lineRule="auto"/>
        <w:rPr>
          <w:rFonts w:ascii="Times New Roman" w:hAnsi="Times New Roman" w:cs="Times New Roman"/>
        </w:rPr>
      </w:pPr>
    </w:p>
    <w:p w14:paraId="0B59EDAC" w14:textId="5428E2C7" w:rsidR="00A36F55" w:rsidRPr="00C5168B" w:rsidRDefault="00A36F55" w:rsidP="00A36F55">
      <w:pPr>
        <w:spacing w:line="360" w:lineRule="auto"/>
        <w:jc w:val="right"/>
        <w:rPr>
          <w:rFonts w:ascii="Times New Roman" w:hAnsi="Times New Roman" w:cs="Times New Roman"/>
        </w:rPr>
      </w:pPr>
      <w:r w:rsidRPr="00C5168B">
        <w:rPr>
          <w:rFonts w:ascii="Times New Roman" w:hAnsi="Times New Roman" w:cs="Times New Roman"/>
        </w:rPr>
        <w:t>Studenți:</w:t>
      </w:r>
    </w:p>
    <w:p w14:paraId="7C97D885" w14:textId="0C90A0A0" w:rsidR="00A36F55" w:rsidRPr="00C5168B" w:rsidRDefault="00A36F55" w:rsidP="00A36F55">
      <w:pPr>
        <w:spacing w:line="360" w:lineRule="auto"/>
        <w:jc w:val="right"/>
        <w:rPr>
          <w:rFonts w:ascii="Times New Roman" w:hAnsi="Times New Roman" w:cs="Times New Roman"/>
        </w:rPr>
      </w:pPr>
      <w:r w:rsidRPr="00C5168B">
        <w:rPr>
          <w:rFonts w:ascii="Times New Roman" w:hAnsi="Times New Roman" w:cs="Times New Roman"/>
        </w:rPr>
        <w:t>Gorun Crina</w:t>
      </w:r>
      <w:r w:rsidRPr="00C5168B">
        <w:rPr>
          <w:rFonts w:ascii="Times New Roman" w:hAnsi="Times New Roman" w:cs="Times New Roman"/>
        </w:rPr>
        <w:br/>
        <w:t>Rus Miruna-Alexia</w:t>
      </w:r>
      <w:r w:rsidRPr="00C5168B">
        <w:rPr>
          <w:rFonts w:ascii="Times New Roman" w:hAnsi="Times New Roman" w:cs="Times New Roman"/>
        </w:rPr>
        <w:br/>
        <w:t>Dimassi Salah-Andrei</w:t>
      </w:r>
      <w:r w:rsidRPr="00C5168B">
        <w:rPr>
          <w:rFonts w:ascii="Times New Roman" w:hAnsi="Times New Roman" w:cs="Times New Roman"/>
        </w:rPr>
        <w:br/>
        <w:t>Cojocaru Eugeniu</w:t>
      </w:r>
    </w:p>
    <w:p w14:paraId="6E9A73F5" w14:textId="77777777" w:rsidR="00A36F55" w:rsidRPr="00C5168B" w:rsidRDefault="00A36F55" w:rsidP="00A36F55">
      <w:pPr>
        <w:spacing w:line="360" w:lineRule="auto"/>
        <w:rPr>
          <w:rFonts w:ascii="Times New Roman" w:hAnsi="Times New Roman" w:cs="Times New Roman"/>
        </w:rPr>
      </w:pPr>
    </w:p>
    <w:p w14:paraId="03CADF02" w14:textId="77777777" w:rsidR="00A36F55" w:rsidRPr="00C5168B" w:rsidRDefault="00A36F55" w:rsidP="00A36F55">
      <w:pPr>
        <w:spacing w:line="360" w:lineRule="auto"/>
        <w:rPr>
          <w:rFonts w:ascii="Times New Roman" w:hAnsi="Times New Roman" w:cs="Times New Roman"/>
        </w:rPr>
      </w:pPr>
    </w:p>
    <w:p w14:paraId="5E289DD3" w14:textId="77777777" w:rsidR="00A36F55" w:rsidRPr="00C5168B" w:rsidRDefault="00A36F55" w:rsidP="00A36F55">
      <w:pPr>
        <w:spacing w:line="360" w:lineRule="auto"/>
        <w:rPr>
          <w:rFonts w:ascii="Times New Roman" w:hAnsi="Times New Roman" w:cs="Times New Roman"/>
        </w:rPr>
      </w:pPr>
    </w:p>
    <w:p w14:paraId="7F9149DC" w14:textId="77777777" w:rsidR="00A36F55" w:rsidRPr="00C5168B" w:rsidRDefault="00A36F55" w:rsidP="00A36F55">
      <w:pPr>
        <w:spacing w:line="360" w:lineRule="auto"/>
        <w:rPr>
          <w:rFonts w:ascii="Times New Roman" w:hAnsi="Times New Roman" w:cs="Times New Roman"/>
        </w:rPr>
      </w:pPr>
    </w:p>
    <w:p w14:paraId="0D8FFD6D" w14:textId="6E13338E" w:rsidR="00A36F55" w:rsidRPr="00C5168B" w:rsidRDefault="00A36F55" w:rsidP="00A36F55">
      <w:pPr>
        <w:spacing w:line="360" w:lineRule="auto"/>
        <w:jc w:val="center"/>
        <w:rPr>
          <w:rFonts w:ascii="Times New Roman" w:hAnsi="Times New Roman" w:cs="Times New Roman"/>
        </w:rPr>
      </w:pPr>
      <w:r w:rsidRPr="00C5168B">
        <w:rPr>
          <w:rFonts w:ascii="Times New Roman" w:hAnsi="Times New Roman" w:cs="Times New Roman"/>
        </w:rPr>
        <w:t>Cluj-Napoca</w:t>
      </w:r>
    </w:p>
    <w:p w14:paraId="575EEA22" w14:textId="77777777" w:rsidR="00A36F55" w:rsidRPr="00C5168B" w:rsidRDefault="00A36F55" w:rsidP="00A36F55">
      <w:pPr>
        <w:spacing w:line="360" w:lineRule="auto"/>
        <w:jc w:val="center"/>
        <w:rPr>
          <w:rFonts w:ascii="Times New Roman" w:hAnsi="Times New Roman" w:cs="Times New Roman"/>
        </w:rPr>
      </w:pPr>
    </w:p>
    <w:p w14:paraId="20D810F7" w14:textId="31BF837E" w:rsidR="00A36F55" w:rsidRDefault="00A36F55" w:rsidP="00A36F55">
      <w:pPr>
        <w:spacing w:line="360" w:lineRule="auto"/>
        <w:rPr>
          <w:rFonts w:ascii="Times New Roman" w:hAnsi="Times New Roman" w:cs="Times New Roman"/>
        </w:rPr>
      </w:pPr>
      <w:r w:rsidRPr="007212E6">
        <w:rPr>
          <w:rFonts w:ascii="Times New Roman" w:hAnsi="Times New Roman" w:cs="Times New Roman"/>
          <w:b/>
          <w:bCs/>
        </w:rPr>
        <w:lastRenderedPageBreak/>
        <w:t>Studiu de caz 1</w:t>
      </w:r>
      <w:r w:rsidRPr="00C5168B">
        <w:rPr>
          <w:rFonts w:ascii="Times New Roman" w:hAnsi="Times New Roman" w:cs="Times New Roman"/>
        </w:rPr>
        <w:t xml:space="preserve">: </w:t>
      </w:r>
      <w:r w:rsidRPr="007212E6">
        <w:rPr>
          <w:rFonts w:ascii="Times New Roman" w:hAnsi="Times New Roman" w:cs="Times New Roman"/>
          <w:b/>
          <w:bCs/>
        </w:rPr>
        <w:t xml:space="preserve">Jocul ultimatumului – </w:t>
      </w:r>
      <w:r w:rsidR="007212E6" w:rsidRPr="007212E6">
        <w:rPr>
          <w:rFonts w:ascii="Times New Roman" w:hAnsi="Times New Roman" w:cs="Times New Roman"/>
          <w:b/>
          <w:bCs/>
        </w:rPr>
        <w:t xml:space="preserve">Disney – </w:t>
      </w:r>
      <w:proofErr w:type="spellStart"/>
      <w:r w:rsidR="007212E6" w:rsidRPr="007212E6">
        <w:rPr>
          <w:rFonts w:ascii="Times New Roman" w:hAnsi="Times New Roman" w:cs="Times New Roman"/>
          <w:b/>
          <w:bCs/>
        </w:rPr>
        <w:t>Pixar</w:t>
      </w:r>
      <w:proofErr w:type="spellEnd"/>
      <w:r w:rsidR="007212E6">
        <w:rPr>
          <w:rFonts w:ascii="Times New Roman" w:hAnsi="Times New Roman" w:cs="Times New Roman"/>
        </w:rPr>
        <w:t xml:space="preserve"> </w:t>
      </w:r>
    </w:p>
    <w:p w14:paraId="7D4C70B4" w14:textId="15C19D9C" w:rsidR="007212E6" w:rsidRDefault="007212E6" w:rsidP="007212E6">
      <w:pPr>
        <w:spacing w:line="360" w:lineRule="auto"/>
        <w:ind w:firstLine="720"/>
        <w:jc w:val="both"/>
      </w:pPr>
      <w:r>
        <w:t xml:space="preserve">Perioada 1991-2004 a fost una foarte profitabilă pentru Disney și </w:t>
      </w:r>
      <w:proofErr w:type="spellStart"/>
      <w:r>
        <w:t>Pixar</w:t>
      </w:r>
      <w:proofErr w:type="spellEnd"/>
      <w:r>
        <w:t xml:space="preserve">, datorită producerii și distribuției filmelor de animație </w:t>
      </w:r>
      <w:proofErr w:type="spellStart"/>
      <w:r>
        <w:t>Toy</w:t>
      </w:r>
      <w:proofErr w:type="spellEnd"/>
      <w:r>
        <w:t xml:space="preserve"> Story, </w:t>
      </w:r>
      <w:proofErr w:type="spellStart"/>
      <w:r>
        <w:t>Monsters</w:t>
      </w:r>
      <w:proofErr w:type="spellEnd"/>
      <w:r>
        <w:t xml:space="preserve">, Inc., respectiv </w:t>
      </w:r>
      <w:proofErr w:type="spellStart"/>
      <w:r>
        <w:t>Finding</w:t>
      </w:r>
      <w:proofErr w:type="spellEnd"/>
      <w:r>
        <w:t xml:space="preserve"> Nemo. În contractul inițial, cele două companii s-au înțeles că Disney se ocupă cu finanțarea și distribuția filmelor, în timp ce </w:t>
      </w:r>
      <w:proofErr w:type="spellStart"/>
      <w:r>
        <w:t>Pixar</w:t>
      </w:r>
      <w:proofErr w:type="spellEnd"/>
      <w:r>
        <w:t xml:space="preserve"> este responsabilă de producerea lor </w:t>
      </w:r>
      <w:r w:rsidRPr="00FD3D0D">
        <w:rPr>
          <w:noProof/>
        </w:rPr>
        <w:t>(Disney's Acquisition of Pixar, 2006</w:t>
      </w:r>
      <w:r w:rsidRPr="007212E6">
        <w:rPr>
          <w:noProof/>
        </w:rPr>
        <w:t xml:space="preserve">; </w:t>
      </w:r>
      <w:r w:rsidRPr="00CF5CF2">
        <w:rPr>
          <w:noProof/>
        </w:rPr>
        <w:t>Gasparini, Vieira, &amp; Dias, 2025)</w:t>
      </w:r>
      <w:r>
        <w:t xml:space="preserve">. Ulterior, profitul era împărțit, dar Disney obținea o parte mai consistentă. Totuși, în 2004, situația s-a schimbat, deoarece </w:t>
      </w:r>
      <w:proofErr w:type="spellStart"/>
      <w:r>
        <w:t>Pixar</w:t>
      </w:r>
      <w:proofErr w:type="spellEnd"/>
      <w:r>
        <w:t xml:space="preserve"> a început să protesteze. Această reacție a provenit din considerentul că Disney subevaluează contribuția din punct de vedere creativ a lui </w:t>
      </w:r>
      <w:proofErr w:type="spellStart"/>
      <w:r>
        <w:t>Pixar</w:t>
      </w:r>
      <w:proofErr w:type="spellEnd"/>
      <w:r>
        <w:t xml:space="preserve">, deținând controlul asupra personajelor, acest lucru fiind observabil și din împărțirea profitului </w:t>
      </w:r>
      <w:sdt>
        <w:sdtPr>
          <w:id w:val="-609821333"/>
          <w:citation/>
        </w:sdtPr>
        <w:sdtContent>
          <w:r>
            <w:fldChar w:fldCharType="begin"/>
          </w:r>
          <w:r w:rsidRPr="00F8737B">
            <w:instrText xml:space="preserve"> CITATION Dis06 \l 1033 </w:instrText>
          </w:r>
          <w:r>
            <w:fldChar w:fldCharType="separate"/>
          </w:r>
          <w:r w:rsidRPr="00F8737B">
            <w:rPr>
              <w:noProof/>
            </w:rPr>
            <w:t>(Disney's Acquisition of Pixar, 2006)</w:t>
          </w:r>
          <w:r>
            <w:fldChar w:fldCharType="end"/>
          </w:r>
        </w:sdtContent>
      </w:sdt>
      <w:r>
        <w:t xml:space="preserve">. De aceea, Disney a propus o soluție finală și anume achiziționarea completă a </w:t>
      </w:r>
      <w:proofErr w:type="spellStart"/>
      <w:r>
        <w:t>Pixar</w:t>
      </w:r>
      <w:proofErr w:type="spellEnd"/>
      <w:r>
        <w:t>. Încetarea colaborării, deci refuzul ofertei, ar fi însemnat un risc major pentru ambele companii.</w:t>
      </w:r>
    </w:p>
    <w:p w14:paraId="4719808D" w14:textId="57D34D20" w:rsidR="007212E6" w:rsidRDefault="007212E6" w:rsidP="007212E6">
      <w:pPr>
        <w:spacing w:line="360" w:lineRule="auto"/>
        <w:ind w:firstLine="720"/>
        <w:jc w:val="both"/>
      </w:pPr>
      <w:r>
        <w:t xml:space="preserve">Astfel, denumirea jocului utilizat de cele două companii este </w:t>
      </w:r>
      <w:r w:rsidRPr="00C45FBF">
        <w:rPr>
          <w:b/>
          <w:bCs/>
        </w:rPr>
        <w:t>Jocul ultimatumului</w:t>
      </w:r>
      <w:r>
        <w:t xml:space="preserve">. Din punct de vedere al </w:t>
      </w:r>
      <w:r w:rsidRPr="0091554C">
        <w:rPr>
          <w:b/>
          <w:bCs/>
        </w:rPr>
        <w:t>tipului</w:t>
      </w:r>
      <w:r>
        <w:t xml:space="preserve"> de joc, acesta este cu o singură rundă – decizia de achiziție. În ceea ce privește </w:t>
      </w:r>
      <w:r w:rsidRPr="0091554C">
        <w:rPr>
          <w:b/>
          <w:bCs/>
          <w:i/>
          <w:iCs/>
        </w:rPr>
        <w:t>informația</w:t>
      </w:r>
      <w:r>
        <w:t xml:space="preserve">, aceasta este </w:t>
      </w:r>
      <w:r w:rsidRPr="00EF5394">
        <w:rPr>
          <w:i/>
          <w:iCs/>
        </w:rPr>
        <w:t>incompletă</w:t>
      </w:r>
      <w:r>
        <w:t xml:space="preserve">, căci firmele pot estima doar nivelul minim acceptabil al celeilalte, respectiv </w:t>
      </w:r>
      <w:r w:rsidRPr="00EF5394">
        <w:rPr>
          <w:i/>
          <w:iCs/>
        </w:rPr>
        <w:t>imperfectă</w:t>
      </w:r>
      <w:r>
        <w:t>, pentru că nu se cunosc exact opțiunile celeilalte părți.</w:t>
      </w:r>
      <w:r>
        <w:t xml:space="preserve"> </w:t>
      </w:r>
      <w:r>
        <w:t xml:space="preserve">În acest exemplu, </w:t>
      </w:r>
      <w:r w:rsidRPr="00EF5394">
        <w:rPr>
          <w:i/>
          <w:iCs/>
        </w:rPr>
        <w:t>elementele</w:t>
      </w:r>
      <w:r>
        <w:t xml:space="preserve"> jocului sunt foarte ușor de recunoscut, după cum urmează. </w:t>
      </w:r>
      <w:r w:rsidRPr="0091554C">
        <w:rPr>
          <w:b/>
          <w:bCs/>
          <w:i/>
          <w:iCs/>
        </w:rPr>
        <w:t>Jucătorii</w:t>
      </w:r>
      <w:r>
        <w:t xml:space="preserve"> sunt Disney (</w:t>
      </w:r>
      <w:proofErr w:type="spellStart"/>
      <w:r>
        <w:t>proposer-ul</w:t>
      </w:r>
      <w:proofErr w:type="spellEnd"/>
      <w:r>
        <w:t xml:space="preserve">), respectiv </w:t>
      </w:r>
      <w:proofErr w:type="spellStart"/>
      <w:r>
        <w:t>Pixar</w:t>
      </w:r>
      <w:proofErr w:type="spellEnd"/>
      <w:r>
        <w:t xml:space="preserve"> (</w:t>
      </w:r>
      <w:proofErr w:type="spellStart"/>
      <w:r>
        <w:t>responder-ul</w:t>
      </w:r>
      <w:proofErr w:type="spellEnd"/>
      <w:r>
        <w:t xml:space="preserve">). În plus, </w:t>
      </w:r>
      <w:r w:rsidRPr="0091554C">
        <w:rPr>
          <w:b/>
          <w:bCs/>
          <w:i/>
          <w:iCs/>
        </w:rPr>
        <w:t>informațiile</w:t>
      </w:r>
      <w:r>
        <w:t xml:space="preserve"> jucătorilor sunt clare, căci Disney era </w:t>
      </w:r>
      <w:proofErr w:type="spellStart"/>
      <w:r>
        <w:t>depedentă</w:t>
      </w:r>
      <w:proofErr w:type="spellEnd"/>
      <w:r>
        <w:t xml:space="preserve"> de </w:t>
      </w:r>
      <w:proofErr w:type="spellStart"/>
      <w:r>
        <w:t>Pixar</w:t>
      </w:r>
      <w:proofErr w:type="spellEnd"/>
      <w:r>
        <w:t xml:space="preserve"> din punct de vedere al creativității, respectiv al conținutului. Era cunoscut și faptul că odată cu pierderea colaborării cu </w:t>
      </w:r>
      <w:proofErr w:type="spellStart"/>
      <w:r>
        <w:t>Pixar</w:t>
      </w:r>
      <w:proofErr w:type="spellEnd"/>
      <w:r>
        <w:t xml:space="preserve">, i-ar fi fost afectat statutul în industrie. Pe de altă parte, </w:t>
      </w:r>
      <w:proofErr w:type="spellStart"/>
      <w:r>
        <w:t>Pixar</w:t>
      </w:r>
      <w:proofErr w:type="spellEnd"/>
      <w:r>
        <w:t xml:space="preserve"> era o companie valoroasă și importantă din perspectiva creativă, având posibilitatea de a colabora și cu alți distribuitori, cum ar fi </w:t>
      </w:r>
      <w:proofErr w:type="spellStart"/>
      <w:r>
        <w:t>Warner</w:t>
      </w:r>
      <w:proofErr w:type="spellEnd"/>
      <w:r>
        <w:t xml:space="preserve"> </w:t>
      </w:r>
      <w:proofErr w:type="spellStart"/>
      <w:r>
        <w:t>Bros</w:t>
      </w:r>
      <w:proofErr w:type="spellEnd"/>
      <w:r>
        <w:t xml:space="preserve"> sau Fox.</w:t>
      </w:r>
    </w:p>
    <w:p w14:paraId="2A065147" w14:textId="41D14127" w:rsidR="007212E6" w:rsidRDefault="007212E6" w:rsidP="007212E6">
      <w:pPr>
        <w:spacing w:line="360" w:lineRule="auto"/>
        <w:ind w:firstLine="720"/>
        <w:jc w:val="both"/>
      </w:pPr>
      <w:r>
        <w:t xml:space="preserve">Ca </w:t>
      </w:r>
      <w:proofErr w:type="spellStart"/>
      <w:r>
        <w:t>proposer</w:t>
      </w:r>
      <w:proofErr w:type="spellEnd"/>
      <w:r>
        <w:t xml:space="preserve">, Disney ar fi putut alege 2 </w:t>
      </w:r>
      <w:r w:rsidRPr="0091554C">
        <w:rPr>
          <w:b/>
          <w:bCs/>
          <w:i/>
          <w:iCs/>
        </w:rPr>
        <w:t>strategii</w:t>
      </w:r>
      <w:r>
        <w:t xml:space="preserve">. </w:t>
      </w:r>
      <w:r w:rsidRPr="00356660">
        <w:t>Prima</w:t>
      </w:r>
      <w:r>
        <w:t xml:space="preserve">, cu un grad de risc destul de mare, </w:t>
      </w:r>
      <w:r w:rsidRPr="00356660">
        <w:t xml:space="preserve">presupunea </w:t>
      </w:r>
      <w:r>
        <w:t>formularea unei oferte</w:t>
      </w:r>
      <w:r w:rsidRPr="007212E6">
        <w:rPr>
          <w:lang w:val="fr-FR"/>
        </w:rPr>
        <w:t xml:space="preserve"> </w:t>
      </w:r>
      <w:r w:rsidRPr="00A93818">
        <w:t>scăzut</w:t>
      </w:r>
      <w:r>
        <w:t xml:space="preserve">e, în timp ce a doua ar fi presupus o ofertă echitabilă, care să reflecte valoarea reală. Dacă ar fi vrut să se asigure că </w:t>
      </w:r>
      <w:proofErr w:type="spellStart"/>
      <w:r>
        <w:t>Pixar</w:t>
      </w:r>
      <w:proofErr w:type="spellEnd"/>
      <w:r>
        <w:t xml:space="preserve"> nu poate refuza continuarea colaborării, Disney ar fi putut înainta o ofertă generoasă. Totuși, aceasta ar fi reprezentat un cost foarte mare pentru companie, dar i-ar fi conferit stabilitate maximă și risc minim de refuz. Ca </w:t>
      </w:r>
      <w:proofErr w:type="spellStart"/>
      <w:r>
        <w:t>responder</w:t>
      </w:r>
      <w:proofErr w:type="spellEnd"/>
      <w:r>
        <w:t xml:space="preserve">, </w:t>
      </w:r>
      <w:proofErr w:type="spellStart"/>
      <w:r>
        <w:t>Pixar</w:t>
      </w:r>
      <w:proofErr w:type="spellEnd"/>
      <w:r>
        <w:t xml:space="preserve"> avea doar 2 strategii posibile – acceptarea ofertei, respectiv refuzul. Astfel, </w:t>
      </w:r>
      <w:r w:rsidRPr="0091554C">
        <w:rPr>
          <w:b/>
          <w:bCs/>
          <w:i/>
          <w:iCs/>
        </w:rPr>
        <w:t>rezultatele</w:t>
      </w:r>
      <w:r>
        <w:t xml:space="preserve"> jocului ar fi fost fie continuarea colaborării sub o altă formă, fie încetarea acesteia.</w:t>
      </w:r>
      <w:r>
        <w:t xml:space="preserve"> </w:t>
      </w:r>
      <w:r>
        <w:t xml:space="preserve">În final, Disney a ales strategia propunerii unei oferte echitabile, achiziționând </w:t>
      </w:r>
      <w:proofErr w:type="spellStart"/>
      <w:r>
        <w:t>Pixar</w:t>
      </w:r>
      <w:proofErr w:type="spellEnd"/>
      <w:r>
        <w:t xml:space="preserve">, în 2006, pentru suma de 7,4 miliarde USD </w:t>
      </w:r>
      <w:sdt>
        <w:sdtPr>
          <w:id w:val="-834918086"/>
          <w:citation/>
        </w:sdtPr>
        <w:sdtContent>
          <w:r>
            <w:fldChar w:fldCharType="begin"/>
          </w:r>
          <w:r w:rsidRPr="00FD3D0D">
            <w:instrText xml:space="preserve"> CITATION Dis06 \l 1033 </w:instrText>
          </w:r>
          <w:r>
            <w:fldChar w:fldCharType="separate"/>
          </w:r>
          <w:r w:rsidRPr="00FD3D0D">
            <w:rPr>
              <w:noProof/>
            </w:rPr>
            <w:t xml:space="preserve">(Disney's Acquisition of Pixar, </w:t>
          </w:r>
          <w:r w:rsidRPr="00FD3D0D">
            <w:rPr>
              <w:noProof/>
            </w:rPr>
            <w:lastRenderedPageBreak/>
            <w:t>2006)</w:t>
          </w:r>
          <w:r>
            <w:fldChar w:fldCharType="end"/>
          </w:r>
        </w:sdtContent>
      </w:sdt>
      <w:r>
        <w:t xml:space="preserve">. Au fost impuse și câteva condiții, cum ar fi menținerea independenței creative a </w:t>
      </w:r>
      <w:proofErr w:type="spellStart"/>
      <w:r>
        <w:t>Pixar</w:t>
      </w:r>
      <w:proofErr w:type="spellEnd"/>
      <w:r>
        <w:t xml:space="preserve">, respectiv numirea lui John </w:t>
      </w:r>
      <w:proofErr w:type="spellStart"/>
      <w:r>
        <w:t>Lasseter</w:t>
      </w:r>
      <w:proofErr w:type="spellEnd"/>
      <w:r>
        <w:t xml:space="preserve"> (directorul de creație al </w:t>
      </w:r>
      <w:proofErr w:type="spellStart"/>
      <w:r>
        <w:t>Pixar</w:t>
      </w:r>
      <w:proofErr w:type="spellEnd"/>
      <w:r>
        <w:t xml:space="preserve">) într-o poziție de conducere la Disney </w:t>
      </w:r>
      <w:sdt>
        <w:sdtPr>
          <w:id w:val="-1839067211"/>
          <w:citation/>
        </w:sdtPr>
        <w:sdtContent>
          <w:r>
            <w:fldChar w:fldCharType="begin"/>
          </w:r>
          <w:r>
            <w:instrText xml:space="preserve"> CITATION Day06 \l 1048 </w:instrText>
          </w:r>
          <w:r>
            <w:fldChar w:fldCharType="separate"/>
          </w:r>
          <w:r>
            <w:rPr>
              <w:noProof/>
            </w:rPr>
            <w:t>(Press, 2006)</w:t>
          </w:r>
          <w:r>
            <w:fldChar w:fldCharType="end"/>
          </w:r>
        </w:sdtContent>
      </w:sdt>
      <w:r>
        <w:t xml:space="preserve">. Așadar, </w:t>
      </w:r>
      <w:r w:rsidRPr="0091554C">
        <w:rPr>
          <w:b/>
          <w:bCs/>
          <w:i/>
          <w:iCs/>
        </w:rPr>
        <w:t>soluția</w:t>
      </w:r>
      <w:r>
        <w:t xml:space="preserve"> jocului a fost acceptarea ofertei, ofertă care a depășit pragul minim de acceptare gândit de </w:t>
      </w:r>
      <w:proofErr w:type="spellStart"/>
      <w:r>
        <w:t>responder</w:t>
      </w:r>
      <w:proofErr w:type="spellEnd"/>
      <w:r>
        <w:t>.</w:t>
      </w:r>
    </w:p>
    <w:p w14:paraId="4F68D281" w14:textId="77777777" w:rsidR="007212E6" w:rsidRDefault="007212E6" w:rsidP="007212E6">
      <w:pPr>
        <w:spacing w:line="360" w:lineRule="auto"/>
        <w:ind w:firstLine="720"/>
        <w:jc w:val="both"/>
      </w:pPr>
      <w:r>
        <w:t>Acest joc este exemplul perfect pentru a ilustra faptul că echitatea este o strategie rațională, în timp ce respectul și aprecierea valorii partenerului sunt esențiale. Chiar și pentru un jucător de mărimea lui Disney exista riscul refuzului, urmat de încetarea unei colaborări importante, în cazul unei oferte necorespunzătoare.</w:t>
      </w:r>
    </w:p>
    <w:p w14:paraId="7277E9AC" w14:textId="77777777" w:rsidR="007212E6" w:rsidRPr="00C5168B" w:rsidRDefault="007212E6" w:rsidP="00A36F55">
      <w:pPr>
        <w:spacing w:line="360" w:lineRule="auto"/>
        <w:rPr>
          <w:rFonts w:ascii="Times New Roman" w:hAnsi="Times New Roman" w:cs="Times New Roman"/>
        </w:rPr>
      </w:pPr>
    </w:p>
    <w:p w14:paraId="1AA87D73" w14:textId="77777777" w:rsidR="00A36F55" w:rsidRPr="00C5168B" w:rsidRDefault="00A36F55" w:rsidP="00A36F55">
      <w:pPr>
        <w:spacing w:line="360" w:lineRule="auto"/>
        <w:rPr>
          <w:rFonts w:ascii="Times New Roman" w:hAnsi="Times New Roman" w:cs="Times New Roman"/>
          <w:b/>
          <w:bCs/>
        </w:rPr>
      </w:pPr>
      <w:r w:rsidRPr="00C5168B">
        <w:rPr>
          <w:rFonts w:ascii="Times New Roman" w:hAnsi="Times New Roman" w:cs="Times New Roman"/>
          <w:b/>
          <w:bCs/>
        </w:rPr>
        <w:t>Studiu de caz 2: Skanderbeg: Malice in Dallas</w:t>
      </w:r>
    </w:p>
    <w:p w14:paraId="6532572B" w14:textId="77777777" w:rsidR="00A36F55" w:rsidRPr="00C5168B"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rPr>
        <w:t>Conflictele privind drepturile de proprietate intelectuală reprezintă o problemă frecvent întâlnită în mediul de afaceri contemporan, în special în industrii caracterizate de concurență intensă și diferențiere prin branding (Dixit &amp; Nalebuff, 2010). Un exemplu relevant în acest sens este conflictul apărut în anul 1992 în industria aviatică din Statele Unite ale Americii, între companiile Southwest Airlines și Stevens Aviation.</w:t>
      </w:r>
    </w:p>
    <w:p w14:paraId="45A10E8A" w14:textId="77777777" w:rsidR="00A36F55" w:rsidRPr="00C5168B"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rPr>
        <w:t>Southwest Airlines a început să utilizeze sloganul „Just Plane Smart”, în timp ce Stevens Aviation folosea deja sloganul „Plane Smart”, considerând că noua formulare reprezintă o încălcare a drepturilor sale de marcă. În mod tradițional, un asemenea conflict ar fi fost soluționat prin intermediul unui proces juridic, implicând costuri financiare ridicate, consum semnificativ de timp și riscuri reputaționale pentru ambele părți.</w:t>
      </w:r>
    </w:p>
    <w:p w14:paraId="6AA28829" w14:textId="77777777" w:rsidR="00A36F55" w:rsidRPr="00C5168B"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rPr>
        <w:t>Într-o abordare strategică neconvențională, CEO-ul Stevens Aviation, Kurt Herwald, i-a propus CEO-ului Southwest Airlines, Herb Kelleher, rezolvarea disputei printr-un meci de skanderbeg, eveniment denumit simbolic „Malice in Dallas”. Această soluție a transformat conflictul într-un instrument de comunicare strategică și relații publice, generând o expunere mediatică considerabilă pentru ambele companii (Brandenburger &amp; Nalebuff, 1996).</w:t>
      </w:r>
    </w:p>
    <w:p w14:paraId="6D88323C" w14:textId="77777777" w:rsidR="00A36F55" w:rsidRPr="00C5168B"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rPr>
        <w:t xml:space="preserve">Din perspectiva teoriei jocurilor, acest caz poate fi clasificat ca un </w:t>
      </w:r>
      <w:r w:rsidRPr="00A36F55">
        <w:rPr>
          <w:rFonts w:ascii="Times New Roman" w:hAnsi="Times New Roman" w:cs="Times New Roman"/>
          <w:b/>
          <w:bCs/>
        </w:rPr>
        <w:t>joc cu o singură rundă</w:t>
      </w:r>
      <w:r w:rsidRPr="00A36F55">
        <w:rPr>
          <w:rFonts w:ascii="Times New Roman" w:hAnsi="Times New Roman" w:cs="Times New Roman"/>
        </w:rPr>
        <w:t xml:space="preserve">, non-cooperativ, </w:t>
      </w:r>
      <w:r w:rsidRPr="00A36F55">
        <w:rPr>
          <w:rFonts w:ascii="Times New Roman" w:hAnsi="Times New Roman" w:cs="Times New Roman"/>
          <w:b/>
          <w:bCs/>
        </w:rPr>
        <w:t>cu informație completă și informație imperfectă</w:t>
      </w:r>
      <w:r w:rsidRPr="00A36F55">
        <w:rPr>
          <w:rFonts w:ascii="Times New Roman" w:hAnsi="Times New Roman" w:cs="Times New Roman"/>
        </w:rPr>
        <w:t>. Informația este completă deoarece ambii jucători cunosc regulile, mizele și strategiile disponibile, însă este imperfectă întrucât rezultatul confruntării fizice nu poate fi anticipat cu certitudine (Dixit &amp; Nalebuff, 2010).</w:t>
      </w:r>
    </w:p>
    <w:p w14:paraId="246B333B" w14:textId="74409B06" w:rsidR="00A36F55" w:rsidRPr="00A36F55"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rPr>
        <w:t xml:space="preserve">Jocul implică </w:t>
      </w:r>
      <w:r w:rsidRPr="00A36F55">
        <w:rPr>
          <w:rFonts w:ascii="Times New Roman" w:hAnsi="Times New Roman" w:cs="Times New Roman"/>
          <w:b/>
          <w:bCs/>
        </w:rPr>
        <w:t>doi jucători raționali</w:t>
      </w:r>
      <w:r w:rsidRPr="00A36F55">
        <w:rPr>
          <w:rFonts w:ascii="Times New Roman" w:hAnsi="Times New Roman" w:cs="Times New Roman"/>
        </w:rPr>
        <w:t>, care acționează în interesul companiilor pe care le reprezintă:</w:t>
      </w:r>
    </w:p>
    <w:p w14:paraId="3F9935CD" w14:textId="77777777" w:rsidR="00A36F55" w:rsidRPr="00A36F55" w:rsidRDefault="00A36F55" w:rsidP="007212E6">
      <w:pPr>
        <w:numPr>
          <w:ilvl w:val="0"/>
          <w:numId w:val="1"/>
        </w:numPr>
        <w:spacing w:line="360" w:lineRule="auto"/>
        <w:jc w:val="both"/>
        <w:rPr>
          <w:rFonts w:ascii="Times New Roman" w:hAnsi="Times New Roman" w:cs="Times New Roman"/>
        </w:rPr>
      </w:pPr>
      <w:r w:rsidRPr="00A36F55">
        <w:rPr>
          <w:rFonts w:ascii="Times New Roman" w:hAnsi="Times New Roman" w:cs="Times New Roman"/>
        </w:rPr>
        <w:lastRenderedPageBreak/>
        <w:t>Stevens Aviation, reprezentată de CEO-ul Kurt Herwald;</w:t>
      </w:r>
    </w:p>
    <w:p w14:paraId="4C640497" w14:textId="77777777" w:rsidR="00A36F55" w:rsidRPr="00C5168B" w:rsidRDefault="00A36F55" w:rsidP="007212E6">
      <w:pPr>
        <w:numPr>
          <w:ilvl w:val="0"/>
          <w:numId w:val="1"/>
        </w:numPr>
        <w:spacing w:line="360" w:lineRule="auto"/>
        <w:jc w:val="both"/>
        <w:rPr>
          <w:rFonts w:ascii="Times New Roman" w:hAnsi="Times New Roman" w:cs="Times New Roman"/>
        </w:rPr>
      </w:pPr>
      <w:r w:rsidRPr="00A36F55">
        <w:rPr>
          <w:rFonts w:ascii="Times New Roman" w:hAnsi="Times New Roman" w:cs="Times New Roman"/>
        </w:rPr>
        <w:t>Southwest Airlines, reprezentată de CEO-ul Herb Kelleher.</w:t>
      </w:r>
    </w:p>
    <w:p w14:paraId="17041636" w14:textId="77777777" w:rsidR="00A36F55" w:rsidRPr="00C5168B"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rPr>
        <w:t xml:space="preserve">Ambii </w:t>
      </w:r>
      <w:r w:rsidRPr="00A36F55">
        <w:rPr>
          <w:rFonts w:ascii="Times New Roman" w:hAnsi="Times New Roman" w:cs="Times New Roman"/>
          <w:b/>
          <w:bCs/>
        </w:rPr>
        <w:t>jucători dețin informații complete</w:t>
      </w:r>
      <w:r w:rsidRPr="00A36F55">
        <w:rPr>
          <w:rFonts w:ascii="Times New Roman" w:hAnsi="Times New Roman" w:cs="Times New Roman"/>
        </w:rPr>
        <w:t xml:space="preserve"> cu privire la natura conflictului, costurile unui litigiu juridic și impactul potențial al expunerii publice. Totuși, incertitudinea legată de rezultatul meciului de skanderbeg introduce un element aleatoriu în joc, caracteristic jocurilor cu informație imperfectă (McAfee &amp; McMillan, 1996).</w:t>
      </w:r>
    </w:p>
    <w:p w14:paraId="73EDD5E5" w14:textId="6022181E" w:rsidR="00A36F55" w:rsidRPr="00A36F55"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b/>
          <w:bCs/>
        </w:rPr>
        <w:t>Strategiile</w:t>
      </w:r>
      <w:r w:rsidRPr="00A36F55">
        <w:rPr>
          <w:rFonts w:ascii="Times New Roman" w:hAnsi="Times New Roman" w:cs="Times New Roman"/>
        </w:rPr>
        <w:t xml:space="preserve"> disponibile pentru fiecare jucător pot fi formulate astfel:</w:t>
      </w:r>
    </w:p>
    <w:p w14:paraId="0633A1FD" w14:textId="77777777" w:rsidR="00A36F55" w:rsidRPr="00A36F55" w:rsidRDefault="00A36F55" w:rsidP="007212E6">
      <w:pPr>
        <w:numPr>
          <w:ilvl w:val="0"/>
          <w:numId w:val="2"/>
        </w:numPr>
        <w:spacing w:line="360" w:lineRule="auto"/>
        <w:jc w:val="both"/>
        <w:rPr>
          <w:rFonts w:ascii="Times New Roman" w:hAnsi="Times New Roman" w:cs="Times New Roman"/>
        </w:rPr>
      </w:pPr>
      <w:r w:rsidRPr="00A36F55">
        <w:rPr>
          <w:rFonts w:ascii="Times New Roman" w:hAnsi="Times New Roman" w:cs="Times New Roman"/>
        </w:rPr>
        <w:t>Stevens Aviation poate alege între inițierea unui proces juridic sau acceptarea confruntării simbolice.</w:t>
      </w:r>
    </w:p>
    <w:p w14:paraId="654E3ADF" w14:textId="77777777" w:rsidR="00A36F55" w:rsidRPr="00C5168B" w:rsidRDefault="00A36F55" w:rsidP="007212E6">
      <w:pPr>
        <w:numPr>
          <w:ilvl w:val="0"/>
          <w:numId w:val="2"/>
        </w:numPr>
        <w:spacing w:line="360" w:lineRule="auto"/>
        <w:jc w:val="both"/>
        <w:rPr>
          <w:rFonts w:ascii="Times New Roman" w:hAnsi="Times New Roman" w:cs="Times New Roman"/>
        </w:rPr>
      </w:pPr>
      <w:r w:rsidRPr="00A36F55">
        <w:rPr>
          <w:rFonts w:ascii="Times New Roman" w:hAnsi="Times New Roman" w:cs="Times New Roman"/>
        </w:rPr>
        <w:t>Southwest Airlines poate opta fie pentru apărarea juridică a poziției sale, fie pentru acceptarea soluției alternative propuse.</w:t>
      </w:r>
    </w:p>
    <w:p w14:paraId="0A026C38" w14:textId="77777777" w:rsidR="00A36F55" w:rsidRPr="00C5168B"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rPr>
        <w:t>Alegerea ambelor părți de a evita litigiul reflectă o strategie orientată spre maximizarea utilității totale, incluzând beneficii de imagine și notorietate (Dixit &amp; Nalebuff, 2010).</w:t>
      </w:r>
    </w:p>
    <w:p w14:paraId="7CC6B17A" w14:textId="77777777" w:rsidR="00A36F55" w:rsidRPr="00C5168B"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rPr>
        <w:t xml:space="preserve">Rezultatele jocului depășesc dimensiunea strict economică și includ beneficii reputaționale semnificative. Deși </w:t>
      </w:r>
      <w:r w:rsidRPr="00A36F55">
        <w:rPr>
          <w:rFonts w:ascii="Times New Roman" w:hAnsi="Times New Roman" w:cs="Times New Roman"/>
          <w:b/>
          <w:bCs/>
        </w:rPr>
        <w:t>Stevens Aviation a câștigat confruntarea fizică</w:t>
      </w:r>
      <w:r w:rsidRPr="00A36F55">
        <w:rPr>
          <w:rFonts w:ascii="Times New Roman" w:hAnsi="Times New Roman" w:cs="Times New Roman"/>
        </w:rPr>
        <w:t xml:space="preserve">, compania a permis </w:t>
      </w:r>
      <w:r w:rsidRPr="00A36F55">
        <w:rPr>
          <w:rFonts w:ascii="Times New Roman" w:hAnsi="Times New Roman" w:cs="Times New Roman"/>
          <w:b/>
          <w:bCs/>
        </w:rPr>
        <w:t>Southwest Airlines să continue utilizarea sloganului</w:t>
      </w:r>
      <w:r w:rsidRPr="00A36F55">
        <w:rPr>
          <w:rFonts w:ascii="Times New Roman" w:hAnsi="Times New Roman" w:cs="Times New Roman"/>
        </w:rPr>
        <w:t>, deoarece valoarea publicității generate a fost superioară avantajului exclusiv asupra mărcii (Kelleher, 1998).</w:t>
      </w:r>
    </w:p>
    <w:p w14:paraId="2D03FB3B" w14:textId="77777777" w:rsidR="00A36F55" w:rsidRPr="00C5168B" w:rsidRDefault="00A36F55" w:rsidP="007212E6">
      <w:pPr>
        <w:spacing w:line="360" w:lineRule="auto"/>
        <w:ind w:firstLine="720"/>
        <w:jc w:val="both"/>
        <w:rPr>
          <w:rFonts w:ascii="Times New Roman" w:hAnsi="Times New Roman" w:cs="Times New Roman"/>
        </w:rPr>
      </w:pPr>
      <w:r w:rsidRPr="00A36F55">
        <w:rPr>
          <w:rFonts w:ascii="Times New Roman" w:hAnsi="Times New Roman" w:cs="Times New Roman"/>
        </w:rPr>
        <w:t xml:space="preserve">Finalitatea jocului poate fi interpretată ca un echilibru strategic informal, în care </w:t>
      </w:r>
      <w:r w:rsidRPr="00A36F55">
        <w:rPr>
          <w:rFonts w:ascii="Times New Roman" w:hAnsi="Times New Roman" w:cs="Times New Roman"/>
          <w:b/>
          <w:bCs/>
        </w:rPr>
        <w:t>ambii jucători obțin un câștig net superior scenariului unui conflict juridic clasic</w:t>
      </w:r>
      <w:r w:rsidRPr="00A36F55">
        <w:rPr>
          <w:rFonts w:ascii="Times New Roman" w:hAnsi="Times New Roman" w:cs="Times New Roman"/>
        </w:rPr>
        <w:t>. Redefinirea regulilor jocului a permis atingerea unui rezultat eficient din punct de vedere strategic (Dixit &amp; Nalebuff, 2010).</w:t>
      </w:r>
    </w:p>
    <w:p w14:paraId="37134D6A" w14:textId="417B29EB" w:rsidR="00A36F55" w:rsidRPr="00C5168B" w:rsidRDefault="00A36F55" w:rsidP="007212E6">
      <w:pPr>
        <w:spacing w:line="360" w:lineRule="auto"/>
        <w:ind w:firstLine="720"/>
        <w:jc w:val="both"/>
        <w:rPr>
          <w:rFonts w:ascii="Times New Roman" w:hAnsi="Times New Roman" w:cs="Times New Roman"/>
        </w:rPr>
      </w:pPr>
      <w:r w:rsidRPr="00C5168B">
        <w:rPr>
          <w:rFonts w:ascii="Times New Roman" w:hAnsi="Times New Roman" w:cs="Times New Roman"/>
        </w:rPr>
        <w:t>Cazul „Malice in Dallas” demonstrează modul în care principiile teoriei jocurilor pot fi aplicate în situații reale de afaceri, evidențiind faptul că strategiile neconvenționale pot conduce la rezultate superioare celor tradiționale. Prin transformarea unui conflict juridic într-un eveniment de comunicare strategică, cele două companii au reușit să obțină beneficii reciproce și să evite costurile asociate unui litigiu prelungit (McAfee &amp; McMillan, 1996).</w:t>
      </w:r>
    </w:p>
    <w:p w14:paraId="206DD1F6" w14:textId="77777777" w:rsidR="00C5168B" w:rsidRPr="00C5168B" w:rsidRDefault="00C5168B" w:rsidP="00A36F55">
      <w:pPr>
        <w:spacing w:line="360" w:lineRule="auto"/>
        <w:ind w:firstLine="720"/>
        <w:rPr>
          <w:rFonts w:ascii="Times New Roman" w:hAnsi="Times New Roman" w:cs="Times New Roman"/>
        </w:rPr>
      </w:pPr>
    </w:p>
    <w:p w14:paraId="7FBD4758" w14:textId="109553C1" w:rsidR="00C5168B" w:rsidRPr="00C5168B" w:rsidRDefault="00C5168B" w:rsidP="00C5168B">
      <w:pPr>
        <w:spacing w:line="360" w:lineRule="auto"/>
        <w:rPr>
          <w:rFonts w:ascii="Times New Roman" w:hAnsi="Times New Roman" w:cs="Times New Roman"/>
          <w:b/>
          <w:bCs/>
        </w:rPr>
      </w:pPr>
      <w:r w:rsidRPr="00C5168B">
        <w:rPr>
          <w:rFonts w:ascii="Times New Roman" w:hAnsi="Times New Roman" w:cs="Times New Roman"/>
          <w:b/>
          <w:bCs/>
        </w:rPr>
        <w:t>Studiu de caz 3: Aruncarea monedei pentru numirea orașului Portland</w:t>
      </w:r>
    </w:p>
    <w:p w14:paraId="3DCF5CA4" w14:textId="77777777" w:rsidR="00C5168B" w:rsidRPr="00C5168B" w:rsidRDefault="00C5168B" w:rsidP="007212E6">
      <w:pPr>
        <w:spacing w:line="360" w:lineRule="auto"/>
        <w:jc w:val="both"/>
        <w:rPr>
          <w:rFonts w:ascii="Times New Roman" w:hAnsi="Times New Roman" w:cs="Times New Roman"/>
        </w:rPr>
      </w:pPr>
      <w:r w:rsidRPr="00C5168B">
        <w:rPr>
          <w:rFonts w:ascii="Times New Roman" w:hAnsi="Times New Roman" w:cs="Times New Roman"/>
        </w:rPr>
        <w:tab/>
        <w:t xml:space="preserve">Contextul desfășurării acestui joc este situat în anul 1845, în statul Oregon din Statele Unite ale Americii. Disputa a apărut între doi proprietari de terenuri din regiunea New England, respectiv </w:t>
      </w:r>
      <w:r w:rsidRPr="00C5168B">
        <w:rPr>
          <w:rFonts w:ascii="Times New Roman" w:hAnsi="Times New Roman" w:cs="Times New Roman"/>
        </w:rPr>
        <w:lastRenderedPageBreak/>
        <w:t>Asa Lovejoy și Francis Pettygrove. Ambii bărbați dețineau controlul asupra terenului care urma să devină o așezare urbană majoră și, neputând ajunge la un consens verbal, fiecare dorea să numească noul oraș după localitatea sa natală.</w:t>
      </w:r>
    </w:p>
    <w:p w14:paraId="5721DD16" w14:textId="77777777" w:rsidR="00C5168B" w:rsidRPr="00C5168B" w:rsidRDefault="00C5168B" w:rsidP="007212E6">
      <w:pPr>
        <w:spacing w:line="360" w:lineRule="auto"/>
        <w:ind w:firstLine="720"/>
        <w:jc w:val="both"/>
        <w:rPr>
          <w:rFonts w:ascii="Times New Roman" w:hAnsi="Times New Roman" w:cs="Times New Roman"/>
        </w:rPr>
      </w:pPr>
      <w:r w:rsidRPr="00C5168B">
        <w:rPr>
          <w:rFonts w:ascii="Times New Roman" w:hAnsi="Times New Roman" w:cs="Times New Roman"/>
        </w:rPr>
        <w:t xml:space="preserve">Denumirea jocului este </w:t>
      </w:r>
      <w:r w:rsidRPr="00C5168B">
        <w:rPr>
          <w:rFonts w:ascii="Times New Roman" w:hAnsi="Times New Roman" w:cs="Times New Roman"/>
          <w:b/>
          <w:bCs/>
        </w:rPr>
        <w:t>„Aruncarea monedei”</w:t>
      </w:r>
      <w:r w:rsidRPr="00C5168B">
        <w:rPr>
          <w:rFonts w:ascii="Times New Roman" w:hAnsi="Times New Roman" w:cs="Times New Roman"/>
        </w:rPr>
        <w:t xml:space="preserve"> (The Portland Penny Toss), fiind în esență un joc de noroc utilizat ca mecanism de arbitraj. Din perspectiva teoriei jocurilor, acesta este un </w:t>
      </w:r>
      <w:r w:rsidRPr="00C5168B">
        <w:rPr>
          <w:rFonts w:ascii="Times New Roman" w:hAnsi="Times New Roman" w:cs="Times New Roman"/>
          <w:b/>
          <w:bCs/>
        </w:rPr>
        <w:t>joc cu mai multe runde</w:t>
      </w:r>
      <w:r w:rsidRPr="00C5168B">
        <w:rPr>
          <w:rFonts w:ascii="Times New Roman" w:hAnsi="Times New Roman" w:cs="Times New Roman"/>
        </w:rPr>
        <w:t xml:space="preserve">, de tipul „cel mai bun din trei”. Din punctul de vedere al fluxului informațional, acesta este un </w:t>
      </w:r>
      <w:r w:rsidRPr="00C5168B">
        <w:rPr>
          <w:rFonts w:ascii="Times New Roman" w:hAnsi="Times New Roman" w:cs="Times New Roman"/>
          <w:b/>
          <w:bCs/>
        </w:rPr>
        <w:t>joc cu informație completă și perfectă</w:t>
      </w:r>
      <w:r w:rsidRPr="00C5168B">
        <w:rPr>
          <w:rFonts w:ascii="Times New Roman" w:hAnsi="Times New Roman" w:cs="Times New Roman"/>
        </w:rPr>
        <w:t>, deoarece ambii jucători cunosc regulile, miza și rezultatul fiecărei etape imediat după producerea sa.</w:t>
      </w:r>
    </w:p>
    <w:p w14:paraId="492B8935" w14:textId="77777777" w:rsidR="00C5168B" w:rsidRPr="00C5168B" w:rsidRDefault="00C5168B" w:rsidP="007212E6">
      <w:pPr>
        <w:spacing w:line="360" w:lineRule="auto"/>
        <w:ind w:firstLine="720"/>
        <w:jc w:val="both"/>
        <w:rPr>
          <w:rFonts w:ascii="Times New Roman" w:hAnsi="Times New Roman" w:cs="Times New Roman"/>
        </w:rPr>
      </w:pPr>
      <w:r w:rsidRPr="00C5168B">
        <w:rPr>
          <w:rFonts w:ascii="Times New Roman" w:hAnsi="Times New Roman" w:cs="Times New Roman"/>
        </w:rPr>
        <w:t xml:space="preserve">Elementele fundamentale ale jocului sunt bine definite prin contextul istoric. </w:t>
      </w:r>
      <w:r w:rsidRPr="00C5168B">
        <w:rPr>
          <w:rFonts w:ascii="Times New Roman" w:hAnsi="Times New Roman" w:cs="Times New Roman"/>
          <w:b/>
          <w:bCs/>
        </w:rPr>
        <w:t>Jucătorii sunt</w:t>
      </w:r>
      <w:r w:rsidRPr="00C5168B">
        <w:rPr>
          <w:rFonts w:ascii="Times New Roman" w:hAnsi="Times New Roman" w:cs="Times New Roman"/>
        </w:rPr>
        <w:t xml:space="preserve"> reprezentați de către </w:t>
      </w:r>
      <w:r w:rsidRPr="00C5168B">
        <w:rPr>
          <w:rFonts w:ascii="Times New Roman" w:hAnsi="Times New Roman" w:cs="Times New Roman"/>
          <w:b/>
          <w:bCs/>
        </w:rPr>
        <w:t>Asa Lovejoy și Francis Pettygrove</w:t>
      </w:r>
      <w:r w:rsidRPr="00C5168B">
        <w:rPr>
          <w:rFonts w:ascii="Times New Roman" w:hAnsi="Times New Roman" w:cs="Times New Roman"/>
        </w:rPr>
        <w:t xml:space="preserve">. </w:t>
      </w:r>
      <w:r w:rsidRPr="00C5168B">
        <w:rPr>
          <w:rFonts w:ascii="Times New Roman" w:hAnsi="Times New Roman" w:cs="Times New Roman"/>
          <w:b/>
          <w:bCs/>
        </w:rPr>
        <w:t>Informațiile jucătorilor sunt simetrice</w:t>
      </w:r>
      <w:r w:rsidRPr="00C5168B">
        <w:rPr>
          <w:rFonts w:ascii="Times New Roman" w:hAnsi="Times New Roman" w:cs="Times New Roman"/>
        </w:rPr>
        <w:t xml:space="preserve">, ambii fiind conștienți de probabilitatea egală pentru fiecare față a monedei. Strategiile acestora au constat în </w:t>
      </w:r>
      <w:r w:rsidRPr="00C5168B">
        <w:rPr>
          <w:rFonts w:ascii="Times New Roman" w:hAnsi="Times New Roman" w:cs="Times New Roman"/>
          <w:b/>
          <w:bCs/>
        </w:rPr>
        <w:t>acceptarea voluntară a unei reguli de tip „totul sau nimic”</w:t>
      </w:r>
      <w:r w:rsidRPr="00C5168B">
        <w:rPr>
          <w:rFonts w:ascii="Times New Roman" w:hAnsi="Times New Roman" w:cs="Times New Roman"/>
        </w:rPr>
        <w:t>, unde singura variabilă strategică a fost alegerea feței monedei înainte de fiecare aruncare. Rezultatele posibile ale jocului erau binar definite: fie victoria lui Lovejoy și denumirea orașului sub numele de Boston, fie victoria lui Pettygrove și denumirea sub numele de Portland.</w:t>
      </w:r>
    </w:p>
    <w:p w14:paraId="263B8588" w14:textId="77777777" w:rsidR="00C5168B" w:rsidRPr="00C5168B" w:rsidRDefault="00C5168B" w:rsidP="007212E6">
      <w:pPr>
        <w:spacing w:line="360" w:lineRule="auto"/>
        <w:ind w:firstLine="720"/>
        <w:jc w:val="both"/>
        <w:rPr>
          <w:rFonts w:ascii="Times New Roman" w:hAnsi="Times New Roman" w:cs="Times New Roman"/>
        </w:rPr>
      </w:pPr>
      <w:r w:rsidRPr="00C5168B">
        <w:rPr>
          <w:rFonts w:ascii="Times New Roman" w:hAnsi="Times New Roman" w:cs="Times New Roman"/>
        </w:rPr>
        <w:t xml:space="preserve">Soluția jocului, reprezentând finalitatea acestuia, a fost </w:t>
      </w:r>
      <w:r w:rsidRPr="00C5168B">
        <w:rPr>
          <w:rFonts w:ascii="Times New Roman" w:hAnsi="Times New Roman" w:cs="Times New Roman"/>
          <w:b/>
          <w:bCs/>
        </w:rPr>
        <w:t>victoria lui Francis Pettygrove</w:t>
      </w:r>
      <w:r w:rsidRPr="00C5168B">
        <w:rPr>
          <w:rFonts w:ascii="Times New Roman" w:hAnsi="Times New Roman" w:cs="Times New Roman"/>
        </w:rPr>
        <w:t xml:space="preserve">, care a reușit să câștige două dintre cele trei aruncări ale monedei. Ca urmare directă, </w:t>
      </w:r>
      <w:r w:rsidRPr="00C5168B">
        <w:rPr>
          <w:rFonts w:ascii="Times New Roman" w:hAnsi="Times New Roman" w:cs="Times New Roman"/>
          <w:b/>
          <w:bCs/>
        </w:rPr>
        <w:t>orașul a primit numele de Portland</w:t>
      </w:r>
      <w:r w:rsidRPr="00C5168B">
        <w:rPr>
          <w:rFonts w:ascii="Times New Roman" w:hAnsi="Times New Roman" w:cs="Times New Roman"/>
        </w:rPr>
        <w:t>, iar moneda originală utilizată în procesul decizional a rămas un simbol istoric al finalizării acestui conflict de interese.</w:t>
      </w:r>
    </w:p>
    <w:p w14:paraId="5758C0EA" w14:textId="7D6F9B38" w:rsidR="00C5168B" w:rsidRDefault="00C5168B" w:rsidP="007212E6">
      <w:pPr>
        <w:spacing w:line="360" w:lineRule="auto"/>
        <w:ind w:firstLine="720"/>
        <w:jc w:val="both"/>
        <w:rPr>
          <w:rFonts w:ascii="Times New Roman" w:hAnsi="Times New Roman" w:cs="Times New Roman"/>
        </w:rPr>
      </w:pPr>
      <w:r w:rsidRPr="00C5168B">
        <w:rPr>
          <w:rFonts w:ascii="Times New Roman" w:hAnsi="Times New Roman" w:cs="Times New Roman"/>
        </w:rPr>
        <w:t>În concluzie, acest joc subliniază utilitatea mecanismelor de hazard în mediul de afaceri pentru a debloca situațiile de impas decizional. Deși decizia nu a fost bazată pe un calcul economic rațional, acceptarea regulilor jocului a oferit o soluție rapidă și definitivă, permițând dezvoltarea ulterioară a parteneriatului și a comunității fără costuri juridice suplimentare</w:t>
      </w:r>
      <w:r>
        <w:rPr>
          <w:rFonts w:ascii="Times New Roman" w:hAnsi="Times New Roman" w:cs="Times New Roman"/>
        </w:rPr>
        <w:t>.</w:t>
      </w:r>
    </w:p>
    <w:p w14:paraId="682AAA15" w14:textId="77777777" w:rsidR="00C5168B" w:rsidRDefault="00C5168B" w:rsidP="007212E6">
      <w:pPr>
        <w:spacing w:line="360" w:lineRule="auto"/>
        <w:jc w:val="both"/>
        <w:rPr>
          <w:rFonts w:ascii="Times New Roman" w:hAnsi="Times New Roman" w:cs="Times New Roman"/>
        </w:rPr>
      </w:pPr>
    </w:p>
    <w:p w14:paraId="07BE4E54" w14:textId="1D51CF85" w:rsidR="00C5168B" w:rsidRDefault="00C5168B" w:rsidP="007212E6">
      <w:pPr>
        <w:spacing w:line="360" w:lineRule="auto"/>
        <w:jc w:val="both"/>
        <w:rPr>
          <w:rFonts w:ascii="Times New Roman" w:hAnsi="Times New Roman" w:cs="Times New Roman"/>
          <w:b/>
          <w:bCs/>
        </w:rPr>
      </w:pPr>
      <w:r w:rsidRPr="00C5168B">
        <w:rPr>
          <w:rFonts w:ascii="Times New Roman" w:hAnsi="Times New Roman" w:cs="Times New Roman"/>
          <w:b/>
          <w:bCs/>
        </w:rPr>
        <w:t xml:space="preserve">Studiu de caz </w:t>
      </w:r>
      <w:r>
        <w:rPr>
          <w:rFonts w:ascii="Times New Roman" w:hAnsi="Times New Roman" w:cs="Times New Roman"/>
          <w:b/>
          <w:bCs/>
        </w:rPr>
        <w:t>4</w:t>
      </w:r>
      <w:r w:rsidRPr="00C5168B">
        <w:rPr>
          <w:rFonts w:ascii="Times New Roman" w:hAnsi="Times New Roman" w:cs="Times New Roman"/>
          <w:b/>
          <w:bCs/>
        </w:rPr>
        <w:t>: Piatră, Hârtie, Foarfecă: Ordinul Curții Federale</w:t>
      </w:r>
    </w:p>
    <w:p w14:paraId="610FFBA1" w14:textId="77777777" w:rsidR="00C5168B" w:rsidRPr="00C5168B" w:rsidRDefault="00C5168B" w:rsidP="007212E6">
      <w:pPr>
        <w:spacing w:line="360" w:lineRule="auto"/>
        <w:ind w:firstLine="720"/>
        <w:jc w:val="both"/>
        <w:rPr>
          <w:rFonts w:ascii="Times New Roman" w:hAnsi="Times New Roman" w:cs="Times New Roman"/>
        </w:rPr>
      </w:pPr>
      <w:r w:rsidRPr="00C5168B">
        <w:rPr>
          <w:rFonts w:ascii="Times New Roman" w:hAnsi="Times New Roman" w:cs="Times New Roman"/>
        </w:rPr>
        <w:t xml:space="preserve">Cazul </w:t>
      </w:r>
      <w:r w:rsidRPr="00C5168B">
        <w:rPr>
          <w:rFonts w:ascii="Times New Roman" w:hAnsi="Times New Roman" w:cs="Times New Roman"/>
          <w:b/>
          <w:bCs/>
        </w:rPr>
        <w:t>Avista Management vs. Wausau Underwriters Insurance Co. (2006)</w:t>
      </w:r>
      <w:r w:rsidRPr="00C5168B">
        <w:rPr>
          <w:rFonts w:ascii="Times New Roman" w:hAnsi="Times New Roman" w:cs="Times New Roman"/>
        </w:rPr>
        <w:t xml:space="preserve"> reprezintă un exemplu memorabil al modului în care teoria jocurilor poate clarifica dinamica unor conflicte juridice aparent minore, dar amplificate de comportamente strategice iraționale. Litigiul a pornit de la o dispută banală privind stabilirea locației pentru depoziția unui martor, însă </w:t>
      </w:r>
      <w:r w:rsidRPr="00C5168B">
        <w:rPr>
          <w:rFonts w:ascii="Times New Roman" w:hAnsi="Times New Roman" w:cs="Times New Roman"/>
          <w:b/>
          <w:bCs/>
        </w:rPr>
        <w:t>avocații</w:t>
      </w:r>
      <w:r w:rsidRPr="00C5168B">
        <w:rPr>
          <w:rFonts w:ascii="Times New Roman" w:hAnsi="Times New Roman" w:cs="Times New Roman"/>
        </w:rPr>
        <w:t xml:space="preserve"> celor două părți au transformat această chestiune procedurală într-un impas alimentat de</w:t>
      </w:r>
      <w:r w:rsidRPr="00C5168B">
        <w:rPr>
          <w:rFonts w:ascii="Times New Roman" w:hAnsi="Times New Roman" w:cs="Times New Roman"/>
          <w:b/>
          <w:bCs/>
        </w:rPr>
        <w:t xml:space="preserve"> orgoliu și rigiditate</w:t>
      </w:r>
      <w:r w:rsidRPr="00C5168B">
        <w:rPr>
          <w:rFonts w:ascii="Times New Roman" w:hAnsi="Times New Roman" w:cs="Times New Roman"/>
        </w:rPr>
        <w:t>. Schimburile agresive de corespondență și moțiunile depuse au consumat inutil resursele instanței, demonstrând cum lipsa cooperării poate escalada chiar și în situații lipsite de miză juridică reală.</w:t>
      </w:r>
    </w:p>
    <w:p w14:paraId="3D3536D1" w14:textId="77777777" w:rsidR="00C5168B" w:rsidRPr="00C5168B" w:rsidRDefault="00C5168B" w:rsidP="007212E6">
      <w:pPr>
        <w:spacing w:line="360" w:lineRule="auto"/>
        <w:ind w:firstLine="720"/>
        <w:jc w:val="both"/>
        <w:rPr>
          <w:rFonts w:ascii="Times New Roman" w:hAnsi="Times New Roman" w:cs="Times New Roman"/>
        </w:rPr>
      </w:pPr>
      <w:r w:rsidRPr="00C5168B">
        <w:rPr>
          <w:rFonts w:ascii="Times New Roman" w:hAnsi="Times New Roman" w:cs="Times New Roman"/>
        </w:rPr>
        <w:lastRenderedPageBreak/>
        <w:t xml:space="preserve">Intervenția judecătorului Gregory A. Presnell a schimbat radical cursul negocierii. Exasperat de incapacitatea avocaților de a rezolva o problemă trivială, acesta a emis un ordin neobișnuit: dacă părțile nu ajung la un acord, reprezentanții lor vor trebui să joace </w:t>
      </w:r>
      <w:r w:rsidRPr="00C5168B">
        <w:rPr>
          <w:rFonts w:ascii="Times New Roman" w:hAnsi="Times New Roman" w:cs="Times New Roman"/>
          <w:b/>
          <w:bCs/>
        </w:rPr>
        <w:t>„Piatră-Hârtie-Foarfecă”</w:t>
      </w:r>
      <w:r w:rsidRPr="00C5168B">
        <w:rPr>
          <w:rFonts w:ascii="Times New Roman" w:hAnsi="Times New Roman" w:cs="Times New Roman"/>
        </w:rPr>
        <w:t xml:space="preserve"> pe treptele tribunalului, sub supravegherea unui oficial, </w:t>
      </w:r>
      <w:r w:rsidRPr="00C5168B">
        <w:rPr>
          <w:rFonts w:ascii="Times New Roman" w:hAnsi="Times New Roman" w:cs="Times New Roman"/>
          <w:b/>
          <w:bCs/>
        </w:rPr>
        <w:t>joc cu o singură rundă și mutări simultane</w:t>
      </w:r>
      <w:r w:rsidRPr="00C5168B">
        <w:rPr>
          <w:rFonts w:ascii="Times New Roman" w:hAnsi="Times New Roman" w:cs="Times New Roman"/>
        </w:rPr>
        <w:t>. Deși aparent ludică, această soluție a fost o mișcare strategică sofisticată. Totuși, adevărata miză nu era câștigarea jocului, ci evitarea lui, deoarece costul reputațional al participării publice depășea orice beneficiu procedural.</w:t>
      </w:r>
    </w:p>
    <w:p w14:paraId="3D84B5E9" w14:textId="77777777" w:rsidR="00C5168B" w:rsidRPr="00C5168B" w:rsidRDefault="00C5168B" w:rsidP="007212E6">
      <w:pPr>
        <w:spacing w:line="360" w:lineRule="auto"/>
        <w:ind w:firstLine="720"/>
        <w:jc w:val="both"/>
        <w:rPr>
          <w:rFonts w:ascii="Times New Roman" w:hAnsi="Times New Roman" w:cs="Times New Roman"/>
        </w:rPr>
      </w:pPr>
      <w:r w:rsidRPr="00C5168B">
        <w:rPr>
          <w:rFonts w:ascii="Times New Roman" w:hAnsi="Times New Roman" w:cs="Times New Roman"/>
        </w:rPr>
        <w:t xml:space="preserve">În acest context, jocul s-a transformat într-un exemplu de brinkmanship, în care amenințarea credibilă cu ridicolul a modificat matricea de recompense. </w:t>
      </w:r>
      <w:r w:rsidRPr="00C5168B">
        <w:rPr>
          <w:rFonts w:ascii="Times New Roman" w:hAnsi="Times New Roman" w:cs="Times New Roman"/>
          <w:b/>
          <w:bCs/>
        </w:rPr>
        <w:t>Avocații, conștienți de impactul negativ asupra imaginii profesionale, au realizat că menținerea poziției inițiale nu mai era rațională</w:t>
      </w:r>
      <w:r w:rsidRPr="00C5168B">
        <w:rPr>
          <w:rFonts w:ascii="Times New Roman" w:hAnsi="Times New Roman" w:cs="Times New Roman"/>
        </w:rPr>
        <w:t xml:space="preserve">. Astfel, </w:t>
      </w:r>
      <w:r w:rsidRPr="00C5168B">
        <w:rPr>
          <w:rFonts w:ascii="Times New Roman" w:hAnsi="Times New Roman" w:cs="Times New Roman"/>
          <w:b/>
          <w:bCs/>
        </w:rPr>
        <w:t>fără ca jocul să aibă loc, părțile au ajuns rapid la un acord privind desfășurarea depoziției la biroul avocatului apărării</w:t>
      </w:r>
      <w:r w:rsidRPr="00C5168B">
        <w:rPr>
          <w:rFonts w:ascii="Times New Roman" w:hAnsi="Times New Roman" w:cs="Times New Roman"/>
        </w:rPr>
        <w:t>. Episodul demonstrează un principiu fundamental al teoriei jocurilor: uneori, simpla amenințare este mai eficientă decât execuția propriu-zisă.</w:t>
      </w:r>
    </w:p>
    <w:p w14:paraId="27437826" w14:textId="77777777" w:rsidR="00C5168B" w:rsidRPr="00C5168B" w:rsidRDefault="00C5168B" w:rsidP="007212E6">
      <w:pPr>
        <w:spacing w:line="360" w:lineRule="auto"/>
        <w:ind w:firstLine="720"/>
        <w:jc w:val="both"/>
        <w:rPr>
          <w:rFonts w:ascii="Times New Roman" w:hAnsi="Times New Roman" w:cs="Times New Roman"/>
        </w:rPr>
      </w:pPr>
      <w:r w:rsidRPr="00C5168B">
        <w:rPr>
          <w:rFonts w:ascii="Times New Roman" w:hAnsi="Times New Roman" w:cs="Times New Roman"/>
        </w:rPr>
        <w:t>Cazul evidențiază și rolul judecătorului ca arbitru al bunului-simț, capabil să utilizeze soluții creative pentru a sancționa comportamente neprofesionale. Într-un sistem juridic adesea rigid, intervenția lui Presnell a funcționat ca o oglindă care a expus absurditatea situației și a restabilit cooperarea. Printr-o metodă neconvențională, instanța a reușit să readucă raționalitatea într-un conflict degenerat, demonstrând că autoritatea judiciară poate opera eficient și prin mecanisme reputaționale, nu doar prin sancțiuni formale.</w:t>
      </w:r>
    </w:p>
    <w:p w14:paraId="2AEBB68E" w14:textId="62650EBD" w:rsidR="00C5168B" w:rsidRPr="00C5168B" w:rsidRDefault="00C5168B" w:rsidP="007212E6">
      <w:pPr>
        <w:spacing w:line="360" w:lineRule="auto"/>
        <w:ind w:firstLine="720"/>
        <w:jc w:val="both"/>
        <w:rPr>
          <w:rFonts w:ascii="Times New Roman" w:hAnsi="Times New Roman" w:cs="Times New Roman"/>
          <w:b/>
          <w:bCs/>
        </w:rPr>
      </w:pPr>
      <w:r w:rsidRPr="00C5168B">
        <w:rPr>
          <w:rFonts w:ascii="Times New Roman" w:hAnsi="Times New Roman" w:cs="Times New Roman"/>
        </w:rPr>
        <w:t>În ansamblu, cazul Avista Management devine un studiu de referință pentru modul în care teoria jocurilor poate explica comportamente juridice și pentru modul în care soluțiile creative pot debloca negocieri aparent imposibile. Este o demonstrație elegantă a faptului că, uneori, pentru a rezolva un conflict, este suficient să expui absurditatea lui într-un mod inteligent și strategic.</w:t>
      </w:r>
    </w:p>
    <w:p w14:paraId="7367551C" w14:textId="77777777" w:rsidR="00C5168B" w:rsidRDefault="00C5168B" w:rsidP="00C5168B">
      <w:pPr>
        <w:spacing w:line="360" w:lineRule="auto"/>
        <w:rPr>
          <w:rFonts w:ascii="Times New Roman" w:hAnsi="Times New Roman" w:cs="Times New Roman"/>
        </w:rPr>
      </w:pPr>
    </w:p>
    <w:p w14:paraId="714EBC49" w14:textId="6DC6EA19" w:rsidR="00C5168B" w:rsidRDefault="00C5168B" w:rsidP="00C5168B">
      <w:pPr>
        <w:spacing w:line="360" w:lineRule="auto"/>
        <w:rPr>
          <w:rFonts w:ascii="Times New Roman" w:hAnsi="Times New Roman" w:cs="Times New Roman"/>
          <w:b/>
          <w:bCs/>
        </w:rPr>
      </w:pPr>
      <w:r w:rsidRPr="00C5168B">
        <w:rPr>
          <w:rFonts w:ascii="Times New Roman" w:hAnsi="Times New Roman" w:cs="Times New Roman"/>
          <w:b/>
          <w:bCs/>
        </w:rPr>
        <w:t>Bibliografie:</w:t>
      </w:r>
    </w:p>
    <w:p w14:paraId="66FA8DC4" w14:textId="6042A701" w:rsidR="00C5168B" w:rsidRDefault="00C5168B" w:rsidP="00C5168B">
      <w:pPr>
        <w:spacing w:line="360" w:lineRule="auto"/>
        <w:rPr>
          <w:rFonts w:ascii="Times New Roman" w:hAnsi="Times New Roman" w:cs="Times New Roman"/>
          <w:b/>
          <w:bCs/>
        </w:rPr>
      </w:pPr>
      <w:r>
        <w:rPr>
          <w:rFonts w:ascii="Times New Roman" w:hAnsi="Times New Roman" w:cs="Times New Roman"/>
          <w:b/>
          <w:bCs/>
        </w:rPr>
        <w:t>Caz 1:</w:t>
      </w:r>
      <w:r w:rsidR="007212E6">
        <w:rPr>
          <w:rFonts w:ascii="Times New Roman" w:hAnsi="Times New Roman" w:cs="Times New Roman"/>
          <w:b/>
          <w:bCs/>
        </w:rPr>
        <w:t xml:space="preserve"> </w:t>
      </w:r>
    </w:p>
    <w:p w14:paraId="2A7C56CA" w14:textId="48BA9A55" w:rsidR="007212E6" w:rsidRDefault="007212E6" w:rsidP="007212E6">
      <w:pPr>
        <w:jc w:val="both"/>
        <w:rPr>
          <w:lang w:val="fr-FR"/>
        </w:rPr>
      </w:pPr>
      <w:proofErr w:type="spellStart"/>
      <w:r w:rsidRPr="00222FF0">
        <w:rPr>
          <w:lang w:val="en-US"/>
        </w:rPr>
        <w:t>DayByDay</w:t>
      </w:r>
      <w:proofErr w:type="spellEnd"/>
      <w:r w:rsidRPr="00222FF0">
        <w:rPr>
          <w:lang w:val="en-US"/>
        </w:rPr>
        <w:t xml:space="preserve"> Press. (2006). </w:t>
      </w:r>
      <w:r w:rsidRPr="00222FF0">
        <w:rPr>
          <w:i/>
          <w:iCs/>
          <w:lang w:val="en-US"/>
        </w:rPr>
        <w:t>Disney to Acquire Pixar: Long-time Creative Partners Form New Worldwide Leader in Quality Family Entertainment.</w:t>
      </w:r>
      <w:r w:rsidRPr="00222FF0">
        <w:rPr>
          <w:lang w:val="en-US"/>
        </w:rPr>
        <w:br/>
      </w:r>
      <w:hyperlink r:id="rId6" w:tgtFrame="_new" w:history="1">
        <w:r w:rsidRPr="00222FF0">
          <w:rPr>
            <w:rStyle w:val="Hyperlink"/>
            <w:lang w:val="fr-FR"/>
          </w:rPr>
          <w:t>https://www.daybyday.press/article1324.html</w:t>
        </w:r>
      </w:hyperlink>
      <w:r w:rsidRPr="00222FF0">
        <w:rPr>
          <w:lang w:val="fr-FR"/>
        </w:rPr>
        <w:t xml:space="preserve"> (</w:t>
      </w:r>
      <w:proofErr w:type="spellStart"/>
      <w:r w:rsidRPr="00222FF0">
        <w:rPr>
          <w:lang w:val="fr-FR"/>
        </w:rPr>
        <w:t>Accesat</w:t>
      </w:r>
      <w:proofErr w:type="spellEnd"/>
      <w:r w:rsidRPr="00222FF0">
        <w:rPr>
          <w:lang w:val="fr-FR"/>
        </w:rPr>
        <w:t xml:space="preserve"> la data de </w:t>
      </w:r>
      <w:r>
        <w:rPr>
          <w:lang w:val="fr-FR"/>
        </w:rPr>
        <w:t>12.01.2026</w:t>
      </w:r>
      <w:r>
        <w:rPr>
          <w:lang w:val="fr-FR"/>
        </w:rPr>
        <w:t>)</w:t>
      </w:r>
    </w:p>
    <w:p w14:paraId="2354A25E" w14:textId="7EB33FBE" w:rsidR="007212E6" w:rsidRDefault="007212E6" w:rsidP="007212E6">
      <w:pPr>
        <w:jc w:val="both"/>
        <w:rPr>
          <w:lang w:val="en-US"/>
        </w:rPr>
      </w:pPr>
      <w:r w:rsidRPr="00221D40">
        <w:rPr>
          <w:i/>
          <w:iCs/>
          <w:lang w:val="en-US"/>
        </w:rPr>
        <w:t>Disney’s Acquisition of Pixar – Business Strategy Case Study</w:t>
      </w:r>
      <w:r w:rsidRPr="00221D40">
        <w:rPr>
          <w:lang w:val="en-US"/>
        </w:rPr>
        <w:t xml:space="preserve"> (Case Code: BSTR203)</w:t>
      </w:r>
    </w:p>
    <w:p w14:paraId="062EA4B2" w14:textId="7B1F15F8" w:rsidR="007212E6" w:rsidRDefault="007212E6" w:rsidP="007212E6">
      <w:pPr>
        <w:jc w:val="both"/>
      </w:pPr>
      <w:r w:rsidRPr="00853836">
        <w:rPr>
          <w:lang w:val="fr-FR"/>
        </w:rPr>
        <w:t xml:space="preserve">Gasparini, P. P., Vieira, K. B., &amp; Dias, M. (2025). </w:t>
      </w:r>
      <w:r w:rsidRPr="00853836">
        <w:rPr>
          <w:i/>
          <w:iCs/>
          <w:lang w:val="en-US"/>
        </w:rPr>
        <w:t xml:space="preserve">Disney’s Pixar Animation Studios Acquisition Case: Revitalization or </w:t>
      </w:r>
      <w:proofErr w:type="gramStart"/>
      <w:r w:rsidRPr="00853836">
        <w:rPr>
          <w:i/>
          <w:iCs/>
          <w:lang w:val="en-US"/>
        </w:rPr>
        <w:t>Trouble?</w:t>
      </w:r>
      <w:r w:rsidRPr="00853836">
        <w:rPr>
          <w:lang w:val="en-US"/>
        </w:rPr>
        <w:t>.</w:t>
      </w:r>
      <w:proofErr w:type="gramEnd"/>
      <w:r w:rsidRPr="00853836">
        <w:rPr>
          <w:lang w:val="en-US"/>
        </w:rPr>
        <w:t xml:space="preserve"> DOI:10.13140/RG.2.2.25996.01923</w:t>
      </w:r>
    </w:p>
    <w:p w14:paraId="6B58031D" w14:textId="77777777" w:rsidR="007212E6" w:rsidRPr="007212E6" w:rsidRDefault="007212E6" w:rsidP="00C5168B">
      <w:pPr>
        <w:spacing w:line="360" w:lineRule="auto"/>
        <w:rPr>
          <w:rFonts w:ascii="Times New Roman" w:hAnsi="Times New Roman" w:cs="Times New Roman"/>
          <w:b/>
          <w:bCs/>
          <w:lang w:val="fr-FR"/>
        </w:rPr>
      </w:pPr>
    </w:p>
    <w:p w14:paraId="0EB33C7B" w14:textId="0CD1C837" w:rsidR="00C5168B" w:rsidRDefault="00C5168B" w:rsidP="00C5168B">
      <w:pPr>
        <w:spacing w:line="360" w:lineRule="auto"/>
        <w:rPr>
          <w:rFonts w:ascii="Times New Roman" w:hAnsi="Times New Roman" w:cs="Times New Roman"/>
          <w:b/>
          <w:bCs/>
        </w:rPr>
      </w:pPr>
      <w:r>
        <w:rPr>
          <w:rFonts w:ascii="Times New Roman" w:hAnsi="Times New Roman" w:cs="Times New Roman"/>
          <w:b/>
          <w:bCs/>
        </w:rPr>
        <w:t>Caz 2:</w:t>
      </w:r>
    </w:p>
    <w:p w14:paraId="58249434" w14:textId="77777777" w:rsidR="001F786D" w:rsidRPr="001F786D" w:rsidRDefault="001F786D" w:rsidP="001F786D">
      <w:pPr>
        <w:spacing w:line="360" w:lineRule="auto"/>
        <w:jc w:val="both"/>
        <w:rPr>
          <w:rFonts w:ascii="Times New Roman" w:eastAsia="Aptos" w:hAnsi="Times New Roman" w:cs="Times New Roman"/>
          <w:lang w:val="en-US"/>
        </w:rPr>
      </w:pPr>
      <w:r w:rsidRPr="007212E6">
        <w:rPr>
          <w:rFonts w:ascii="Times New Roman" w:eastAsia="Aptos" w:hAnsi="Times New Roman" w:cs="Times New Roman"/>
          <w:lang w:val="fr-FR"/>
        </w:rPr>
        <w:t xml:space="preserve">Brandenburger, A. M., &amp; </w:t>
      </w:r>
      <w:proofErr w:type="spellStart"/>
      <w:r w:rsidRPr="007212E6">
        <w:rPr>
          <w:rFonts w:ascii="Times New Roman" w:eastAsia="Aptos" w:hAnsi="Times New Roman" w:cs="Times New Roman"/>
          <w:lang w:val="fr-FR"/>
        </w:rPr>
        <w:t>Nalebuff</w:t>
      </w:r>
      <w:proofErr w:type="spellEnd"/>
      <w:r w:rsidRPr="007212E6">
        <w:rPr>
          <w:rFonts w:ascii="Times New Roman" w:eastAsia="Aptos" w:hAnsi="Times New Roman" w:cs="Times New Roman"/>
          <w:lang w:val="fr-FR"/>
        </w:rPr>
        <w:t xml:space="preserve">, B. J. (1996). </w:t>
      </w:r>
      <w:r w:rsidRPr="001F786D">
        <w:rPr>
          <w:rFonts w:ascii="Times New Roman" w:eastAsia="Aptos" w:hAnsi="Times New Roman" w:cs="Times New Roman"/>
          <w:i/>
          <w:iCs/>
          <w:lang w:val="en-US"/>
        </w:rPr>
        <w:t>Co-opetition</w:t>
      </w:r>
      <w:r w:rsidRPr="001F786D">
        <w:rPr>
          <w:rFonts w:ascii="Times New Roman" w:eastAsia="Aptos" w:hAnsi="Times New Roman" w:cs="Times New Roman"/>
          <w:lang w:val="en-US"/>
        </w:rPr>
        <w:t>. New York: Doubleday.</w:t>
      </w:r>
    </w:p>
    <w:p w14:paraId="0E566C2E" w14:textId="77777777" w:rsidR="001F786D" w:rsidRPr="001F786D" w:rsidRDefault="001F786D" w:rsidP="001F786D">
      <w:pPr>
        <w:spacing w:line="360" w:lineRule="auto"/>
        <w:jc w:val="both"/>
        <w:rPr>
          <w:rFonts w:ascii="Times New Roman" w:eastAsia="Aptos" w:hAnsi="Times New Roman" w:cs="Times New Roman"/>
          <w:lang w:val="en-US"/>
        </w:rPr>
      </w:pPr>
      <w:r w:rsidRPr="007212E6">
        <w:rPr>
          <w:rFonts w:ascii="Times New Roman" w:eastAsia="Aptos" w:hAnsi="Times New Roman" w:cs="Times New Roman"/>
          <w:lang w:val="fr-FR"/>
        </w:rPr>
        <w:t xml:space="preserve">Dixit, A. K., &amp; </w:t>
      </w:r>
      <w:proofErr w:type="spellStart"/>
      <w:r w:rsidRPr="007212E6">
        <w:rPr>
          <w:rFonts w:ascii="Times New Roman" w:eastAsia="Aptos" w:hAnsi="Times New Roman" w:cs="Times New Roman"/>
          <w:lang w:val="fr-FR"/>
        </w:rPr>
        <w:t>Nalebuff</w:t>
      </w:r>
      <w:proofErr w:type="spellEnd"/>
      <w:r w:rsidRPr="007212E6">
        <w:rPr>
          <w:rFonts w:ascii="Times New Roman" w:eastAsia="Aptos" w:hAnsi="Times New Roman" w:cs="Times New Roman"/>
          <w:lang w:val="fr-FR"/>
        </w:rPr>
        <w:t xml:space="preserve">, B. J. (2010). </w:t>
      </w:r>
      <w:r w:rsidRPr="001F786D">
        <w:rPr>
          <w:rFonts w:ascii="Times New Roman" w:eastAsia="Aptos" w:hAnsi="Times New Roman" w:cs="Times New Roman"/>
          <w:i/>
          <w:iCs/>
          <w:lang w:val="en-US"/>
        </w:rPr>
        <w:t>The Art of Strategy</w:t>
      </w:r>
      <w:r w:rsidRPr="001F786D">
        <w:rPr>
          <w:rFonts w:ascii="Times New Roman" w:eastAsia="Aptos" w:hAnsi="Times New Roman" w:cs="Times New Roman"/>
          <w:lang w:val="en-US"/>
        </w:rPr>
        <w:t>. New York: W.W. Norton &amp; Company.</w:t>
      </w:r>
    </w:p>
    <w:p w14:paraId="2480D9A9" w14:textId="77777777" w:rsidR="001F786D" w:rsidRPr="001F786D" w:rsidRDefault="001F786D" w:rsidP="001F786D">
      <w:pPr>
        <w:spacing w:line="360" w:lineRule="auto"/>
        <w:jc w:val="both"/>
        <w:rPr>
          <w:rFonts w:ascii="Times New Roman" w:eastAsia="Aptos" w:hAnsi="Times New Roman" w:cs="Times New Roman"/>
          <w:lang w:val="en-US"/>
        </w:rPr>
      </w:pPr>
      <w:r w:rsidRPr="001F786D">
        <w:rPr>
          <w:rFonts w:ascii="Times New Roman" w:eastAsia="Aptos" w:hAnsi="Times New Roman" w:cs="Times New Roman"/>
          <w:lang w:val="en-US"/>
        </w:rPr>
        <w:t xml:space="preserve">Kelleher, H. (1998). </w:t>
      </w:r>
      <w:r w:rsidRPr="001F786D">
        <w:rPr>
          <w:rFonts w:ascii="Times New Roman" w:eastAsia="Aptos" w:hAnsi="Times New Roman" w:cs="Times New Roman"/>
          <w:i/>
          <w:iCs/>
          <w:lang w:val="en-US"/>
        </w:rPr>
        <w:t>A Culture of Commitment</w:t>
      </w:r>
      <w:r w:rsidRPr="001F786D">
        <w:rPr>
          <w:rFonts w:ascii="Times New Roman" w:eastAsia="Aptos" w:hAnsi="Times New Roman" w:cs="Times New Roman"/>
          <w:lang w:val="en-US"/>
        </w:rPr>
        <w:t>. New York: McGraw-Hill.</w:t>
      </w:r>
    </w:p>
    <w:p w14:paraId="02959431" w14:textId="13C361C8" w:rsidR="001F786D" w:rsidRDefault="001F786D" w:rsidP="001F786D">
      <w:pPr>
        <w:spacing w:line="360" w:lineRule="auto"/>
        <w:jc w:val="both"/>
        <w:rPr>
          <w:rFonts w:ascii="Times New Roman" w:hAnsi="Times New Roman" w:cs="Times New Roman"/>
          <w:b/>
          <w:bCs/>
        </w:rPr>
      </w:pPr>
      <w:r w:rsidRPr="001F786D">
        <w:rPr>
          <w:rFonts w:ascii="Times New Roman" w:eastAsia="Aptos" w:hAnsi="Times New Roman" w:cs="Times New Roman"/>
          <w:lang w:val="en-US"/>
        </w:rPr>
        <w:t xml:space="preserve">McAfee, R. P., &amp; McMillan, J. (1996). Strategic analysis in business. </w:t>
      </w:r>
      <w:r w:rsidRPr="001F786D">
        <w:rPr>
          <w:rFonts w:ascii="Times New Roman" w:eastAsia="Aptos" w:hAnsi="Times New Roman" w:cs="Times New Roman"/>
          <w:i/>
          <w:iCs/>
          <w:lang w:val="en-US"/>
        </w:rPr>
        <w:t>Journal of Economic Perspectives</w:t>
      </w:r>
      <w:r w:rsidRPr="001F786D">
        <w:rPr>
          <w:rFonts w:ascii="Times New Roman" w:eastAsia="Aptos" w:hAnsi="Times New Roman" w:cs="Times New Roman"/>
          <w:lang w:val="en-US"/>
        </w:rPr>
        <w:t>, 10(3), 123–145.</w:t>
      </w:r>
    </w:p>
    <w:p w14:paraId="4844E3CB" w14:textId="7EA6903A" w:rsidR="00C5168B" w:rsidRDefault="00C5168B" w:rsidP="00C5168B">
      <w:pPr>
        <w:spacing w:line="360" w:lineRule="auto"/>
        <w:rPr>
          <w:rFonts w:ascii="Times New Roman" w:hAnsi="Times New Roman" w:cs="Times New Roman"/>
          <w:b/>
          <w:bCs/>
        </w:rPr>
      </w:pPr>
      <w:r>
        <w:rPr>
          <w:rFonts w:ascii="Times New Roman" w:hAnsi="Times New Roman" w:cs="Times New Roman"/>
          <w:b/>
          <w:bCs/>
        </w:rPr>
        <w:t>Caz 3:</w:t>
      </w:r>
    </w:p>
    <w:p w14:paraId="032A3AFF" w14:textId="77777777" w:rsidR="00C5168B" w:rsidRPr="00C5168B" w:rsidRDefault="00C5168B" w:rsidP="00C5168B">
      <w:pPr>
        <w:spacing w:line="360" w:lineRule="auto"/>
        <w:rPr>
          <w:rFonts w:ascii="Times New Roman" w:hAnsi="Times New Roman" w:cs="Times New Roman"/>
          <w:lang w:val="en-US"/>
        </w:rPr>
      </w:pPr>
      <w:r w:rsidRPr="00C5168B">
        <w:rPr>
          <w:rFonts w:ascii="Times New Roman" w:hAnsi="Times New Roman" w:cs="Times New Roman"/>
          <w:lang w:val="en-US"/>
        </w:rPr>
        <w:t xml:space="preserve">The Portland Penny </w:t>
      </w:r>
      <w:hyperlink r:id="rId7" w:history="1">
        <w:r w:rsidRPr="00C5168B">
          <w:rPr>
            <w:rStyle w:val="Hyperlink"/>
            <w:rFonts w:ascii="Times New Roman" w:hAnsi="Times New Roman" w:cs="Times New Roman"/>
            <w:lang w:val="en-US"/>
          </w:rPr>
          <w:t>https://www.oregonencyclopedia.org/articles/portland_penny/</w:t>
        </w:r>
      </w:hyperlink>
      <w:r w:rsidRPr="00C5168B">
        <w:rPr>
          <w:rFonts w:ascii="Times New Roman" w:hAnsi="Times New Roman" w:cs="Times New Roman"/>
          <w:lang w:val="en-US"/>
        </w:rPr>
        <w:t xml:space="preserve"> (</w:t>
      </w:r>
      <w:proofErr w:type="spellStart"/>
      <w:r w:rsidRPr="00C5168B">
        <w:rPr>
          <w:rFonts w:ascii="Times New Roman" w:hAnsi="Times New Roman" w:cs="Times New Roman"/>
          <w:lang w:val="en-US"/>
        </w:rPr>
        <w:t>Accesat</w:t>
      </w:r>
      <w:proofErr w:type="spellEnd"/>
      <w:r w:rsidRPr="00C5168B">
        <w:rPr>
          <w:rFonts w:ascii="Times New Roman" w:hAnsi="Times New Roman" w:cs="Times New Roman"/>
          <w:lang w:val="en-US"/>
        </w:rPr>
        <w:t xml:space="preserve"> la data de 12.01.2026)</w:t>
      </w:r>
    </w:p>
    <w:p w14:paraId="3A0BB108" w14:textId="679634B1" w:rsidR="00C5168B" w:rsidRPr="00C5168B" w:rsidRDefault="00C5168B" w:rsidP="00C5168B">
      <w:pPr>
        <w:spacing w:line="360" w:lineRule="auto"/>
        <w:rPr>
          <w:rFonts w:ascii="Times New Roman" w:hAnsi="Times New Roman" w:cs="Times New Roman"/>
          <w:lang w:val="en-US"/>
        </w:rPr>
      </w:pPr>
      <w:r w:rsidRPr="00C5168B">
        <w:rPr>
          <w:rFonts w:ascii="Times New Roman" w:hAnsi="Times New Roman" w:cs="Times New Roman"/>
          <w:lang w:val="en-US"/>
        </w:rPr>
        <w:t xml:space="preserve">Portland Government       </w:t>
      </w:r>
      <w:hyperlink r:id="rId8" w:history="1">
        <w:r w:rsidRPr="00C5168B">
          <w:rPr>
            <w:rStyle w:val="Hyperlink"/>
            <w:rFonts w:ascii="Times New Roman" w:hAnsi="Times New Roman" w:cs="Times New Roman"/>
            <w:lang w:val="en-US"/>
          </w:rPr>
          <w:t>https://www.portland.gov/phb/nnehousing/framework/historical-overview</w:t>
        </w:r>
      </w:hyperlink>
      <w:r w:rsidRPr="00C5168B">
        <w:rPr>
          <w:rFonts w:ascii="Times New Roman" w:hAnsi="Times New Roman" w:cs="Times New Roman"/>
          <w:lang w:val="en-US"/>
        </w:rPr>
        <w:t xml:space="preserve"> (</w:t>
      </w:r>
      <w:proofErr w:type="spellStart"/>
      <w:r w:rsidRPr="00C5168B">
        <w:rPr>
          <w:rFonts w:ascii="Times New Roman" w:hAnsi="Times New Roman" w:cs="Times New Roman"/>
          <w:lang w:val="en-US"/>
        </w:rPr>
        <w:t>Accesat</w:t>
      </w:r>
      <w:proofErr w:type="spellEnd"/>
      <w:r w:rsidRPr="00C5168B">
        <w:rPr>
          <w:rFonts w:ascii="Times New Roman" w:hAnsi="Times New Roman" w:cs="Times New Roman"/>
          <w:lang w:val="en-US"/>
        </w:rPr>
        <w:t xml:space="preserve"> la data de 12.01.2026)</w:t>
      </w:r>
    </w:p>
    <w:p w14:paraId="01EE5C6C" w14:textId="21B32152" w:rsidR="00C5168B" w:rsidRDefault="00C5168B" w:rsidP="00C5168B">
      <w:pPr>
        <w:spacing w:line="360" w:lineRule="auto"/>
        <w:rPr>
          <w:rFonts w:ascii="Times New Roman" w:hAnsi="Times New Roman" w:cs="Times New Roman"/>
          <w:b/>
          <w:bCs/>
        </w:rPr>
      </w:pPr>
      <w:r>
        <w:rPr>
          <w:rFonts w:ascii="Times New Roman" w:hAnsi="Times New Roman" w:cs="Times New Roman"/>
          <w:b/>
          <w:bCs/>
        </w:rPr>
        <w:t>Caz 4:</w:t>
      </w:r>
    </w:p>
    <w:p w14:paraId="7F83B44C" w14:textId="456FD93C" w:rsidR="00C5168B" w:rsidRDefault="009278EC" w:rsidP="00C5168B">
      <w:pPr>
        <w:spacing w:line="360" w:lineRule="auto"/>
        <w:rPr>
          <w:rFonts w:ascii="Times New Roman" w:hAnsi="Times New Roman" w:cs="Times New Roman"/>
        </w:rPr>
      </w:pPr>
      <w:hyperlink r:id="rId9" w:history="1">
        <w:r w:rsidRPr="00AE6F2E">
          <w:rPr>
            <w:rStyle w:val="Hyperlink"/>
            <w:rFonts w:ascii="Times New Roman" w:hAnsi="Times New Roman" w:cs="Times New Roman"/>
          </w:rPr>
          <w:t>https://www.theguardian.com/world/2006/jun/09/usa.samjones</w:t>
        </w:r>
      </w:hyperlink>
      <w:r>
        <w:rPr>
          <w:rFonts w:ascii="Times New Roman" w:hAnsi="Times New Roman" w:cs="Times New Roman"/>
        </w:rPr>
        <w:t xml:space="preserve"> (Accesat la data 12.01.2026)</w:t>
      </w:r>
    </w:p>
    <w:p w14:paraId="770FA641" w14:textId="4589A758" w:rsidR="00254939" w:rsidRPr="009278EC" w:rsidRDefault="00254939" w:rsidP="00C5168B">
      <w:pPr>
        <w:spacing w:line="360" w:lineRule="auto"/>
        <w:rPr>
          <w:rFonts w:ascii="Times New Roman" w:hAnsi="Times New Roman" w:cs="Times New Roman"/>
        </w:rPr>
      </w:pPr>
      <w:hyperlink r:id="rId10" w:history="1">
        <w:r w:rsidRPr="00AE6F2E">
          <w:rPr>
            <w:rStyle w:val="Hyperlink"/>
            <w:rFonts w:ascii="Times New Roman" w:hAnsi="Times New Roman" w:cs="Times New Roman"/>
          </w:rPr>
          <w:t>https://www.nyrealestatelawblog.com/manhattan-litigation-blog/2006/june/-rock-paper-scissors-everyone-loses/</w:t>
        </w:r>
      </w:hyperlink>
      <w:r>
        <w:rPr>
          <w:rFonts w:ascii="Times New Roman" w:hAnsi="Times New Roman" w:cs="Times New Roman"/>
        </w:rPr>
        <w:t xml:space="preserve"> (Accesat la data 12.01.2026)</w:t>
      </w:r>
    </w:p>
    <w:p w14:paraId="07F5AB44" w14:textId="77777777" w:rsidR="00C5168B" w:rsidRPr="00C5168B" w:rsidRDefault="00C5168B" w:rsidP="00C5168B">
      <w:pPr>
        <w:spacing w:line="360" w:lineRule="auto"/>
        <w:rPr>
          <w:rFonts w:ascii="Times New Roman" w:hAnsi="Times New Roman" w:cs="Times New Roman"/>
          <w:b/>
          <w:bCs/>
        </w:rPr>
      </w:pPr>
    </w:p>
    <w:sectPr w:rsidR="00C5168B" w:rsidRPr="00C5168B" w:rsidSect="00A36F55">
      <w:pgSz w:w="11906" w:h="16838" w:code="9"/>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90216"/>
    <w:multiLevelType w:val="hybridMultilevel"/>
    <w:tmpl w:val="60F4F5D4"/>
    <w:lvl w:ilvl="0" w:tplc="6C8CCA8E">
      <w:start w:val="3"/>
      <w:numFmt w:val="bullet"/>
      <w:lvlText w:val="-"/>
      <w:lvlJc w:val="left"/>
      <w:pPr>
        <w:ind w:left="1080" w:hanging="360"/>
      </w:pPr>
      <w:rPr>
        <w:rFonts w:ascii="Times New Roman" w:eastAsiaTheme="minorHAnsi"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 w15:restartNumberingAfterBreak="0">
    <w:nsid w:val="6B142165"/>
    <w:multiLevelType w:val="multilevel"/>
    <w:tmpl w:val="C0C61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32063923">
    <w:abstractNumId w:val="1"/>
  </w:num>
  <w:num w:numId="2" w16cid:durableId="191898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72"/>
    <w:rsid w:val="0015323D"/>
    <w:rsid w:val="001E5F72"/>
    <w:rsid w:val="001F786D"/>
    <w:rsid w:val="00254939"/>
    <w:rsid w:val="007212E6"/>
    <w:rsid w:val="008B2BFA"/>
    <w:rsid w:val="0091554C"/>
    <w:rsid w:val="009278EC"/>
    <w:rsid w:val="00A36F55"/>
    <w:rsid w:val="00C5168B"/>
    <w:rsid w:val="00D40738"/>
    <w:rsid w:val="00DA6247"/>
    <w:rsid w:val="00E00859"/>
    <w:rsid w:val="00F07E3C"/>
    <w:rsid w:val="00FB1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C834F"/>
  <w15:chartTrackingRefBased/>
  <w15:docId w15:val="{59734F1E-549F-4B21-8083-0F1A5CAE2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68B"/>
    <w:rPr>
      <w:lang w:val="ro-RO"/>
    </w:rPr>
  </w:style>
  <w:style w:type="paragraph" w:styleId="Heading1">
    <w:name w:val="heading 1"/>
    <w:basedOn w:val="Normal"/>
    <w:next w:val="Normal"/>
    <w:link w:val="Heading1Char"/>
    <w:uiPriority w:val="9"/>
    <w:qFormat/>
    <w:rsid w:val="001E5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F72"/>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1E5F72"/>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1E5F72"/>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1E5F72"/>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1E5F72"/>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1E5F72"/>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1E5F72"/>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1E5F72"/>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1E5F72"/>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1E5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F72"/>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1E5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F72"/>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1E5F72"/>
    <w:pPr>
      <w:spacing w:before="160"/>
      <w:jc w:val="center"/>
    </w:pPr>
    <w:rPr>
      <w:i/>
      <w:iCs/>
      <w:color w:val="404040" w:themeColor="text1" w:themeTint="BF"/>
    </w:rPr>
  </w:style>
  <w:style w:type="character" w:customStyle="1" w:styleId="QuoteChar">
    <w:name w:val="Quote Char"/>
    <w:basedOn w:val="DefaultParagraphFont"/>
    <w:link w:val="Quote"/>
    <w:uiPriority w:val="29"/>
    <w:rsid w:val="001E5F72"/>
    <w:rPr>
      <w:i/>
      <w:iCs/>
      <w:color w:val="404040" w:themeColor="text1" w:themeTint="BF"/>
      <w:lang w:val="ro-RO"/>
    </w:rPr>
  </w:style>
  <w:style w:type="paragraph" w:styleId="ListParagraph">
    <w:name w:val="List Paragraph"/>
    <w:basedOn w:val="Normal"/>
    <w:uiPriority w:val="34"/>
    <w:qFormat/>
    <w:rsid w:val="001E5F72"/>
    <w:pPr>
      <w:ind w:left="720"/>
      <w:contextualSpacing/>
    </w:pPr>
  </w:style>
  <w:style w:type="character" w:styleId="IntenseEmphasis">
    <w:name w:val="Intense Emphasis"/>
    <w:basedOn w:val="DefaultParagraphFont"/>
    <w:uiPriority w:val="21"/>
    <w:qFormat/>
    <w:rsid w:val="001E5F72"/>
    <w:rPr>
      <w:i/>
      <w:iCs/>
      <w:color w:val="0F4761" w:themeColor="accent1" w:themeShade="BF"/>
    </w:rPr>
  </w:style>
  <w:style w:type="paragraph" w:styleId="IntenseQuote">
    <w:name w:val="Intense Quote"/>
    <w:basedOn w:val="Normal"/>
    <w:next w:val="Normal"/>
    <w:link w:val="IntenseQuoteChar"/>
    <w:uiPriority w:val="30"/>
    <w:qFormat/>
    <w:rsid w:val="001E5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F72"/>
    <w:rPr>
      <w:i/>
      <w:iCs/>
      <w:color w:val="0F4761" w:themeColor="accent1" w:themeShade="BF"/>
      <w:lang w:val="ro-RO"/>
    </w:rPr>
  </w:style>
  <w:style w:type="character" w:styleId="IntenseReference">
    <w:name w:val="Intense Reference"/>
    <w:basedOn w:val="DefaultParagraphFont"/>
    <w:uiPriority w:val="32"/>
    <w:qFormat/>
    <w:rsid w:val="001E5F72"/>
    <w:rPr>
      <w:b/>
      <w:bCs/>
      <w:smallCaps/>
      <w:color w:val="0F4761" w:themeColor="accent1" w:themeShade="BF"/>
      <w:spacing w:val="5"/>
    </w:rPr>
  </w:style>
  <w:style w:type="character" w:styleId="Hyperlink">
    <w:name w:val="Hyperlink"/>
    <w:basedOn w:val="DefaultParagraphFont"/>
    <w:uiPriority w:val="99"/>
    <w:unhideWhenUsed/>
    <w:rsid w:val="00C5168B"/>
    <w:rPr>
      <w:color w:val="467886" w:themeColor="hyperlink"/>
      <w:u w:val="single"/>
    </w:rPr>
  </w:style>
  <w:style w:type="character" w:styleId="UnresolvedMention">
    <w:name w:val="Unresolved Mention"/>
    <w:basedOn w:val="DefaultParagraphFont"/>
    <w:uiPriority w:val="99"/>
    <w:semiHidden/>
    <w:unhideWhenUsed/>
    <w:rsid w:val="00C5168B"/>
    <w:rPr>
      <w:color w:val="605E5C"/>
      <w:shd w:val="clear" w:color="auto" w:fill="E1DFDD"/>
    </w:rPr>
  </w:style>
  <w:style w:type="character" w:styleId="FollowedHyperlink">
    <w:name w:val="FollowedHyperlink"/>
    <w:basedOn w:val="DefaultParagraphFont"/>
    <w:uiPriority w:val="99"/>
    <w:semiHidden/>
    <w:unhideWhenUsed/>
    <w:rsid w:val="002549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rtland.gov/phb/nnehousing/framework/historical-overview"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hyperlink" Target="https://www.oregonencyclopedia.org/articles/portland_penn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aybyday.press/article1324.html?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www.nyrealestatelawblog.com/manhattan-litigation-blog/2006/june/-rock-paper-scissors-everyone-loses/" TargetMode="External"/><Relationship Id="rId4" Type="http://schemas.openxmlformats.org/officeDocument/2006/relationships/settings" Target="settings.xml"/><Relationship Id="rId9" Type="http://schemas.openxmlformats.org/officeDocument/2006/relationships/hyperlink" Target="https://www.theguardian.com/world/2006/jun/09/usa.samjones"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Dis06</b:Tag>
    <b:SourceType>Case</b:SourceType>
    <b:Guid>{DC8C4984-D789-4FBE-8513-C0857422E563}</b:Guid>
    <b:Title>Disney's Acquisition of Pixar</b:Title>
    <b:Year>2006</b:Year>
    <b:CaseNumber>BSTR203</b:CaseNumber>
    <b:RefOrder>1</b:RefOrder>
  </b:Source>
  <b:Source>
    <b:Tag>Gas25</b:Tag>
    <b:SourceType>ElectronicSource</b:SourceType>
    <b:Guid>{1D3BA150-8D2D-4064-9302-840C47436F1F}</b:Guid>
    <b:Title>Disney's Pixar Animation Studios Acquisition Case: Revitalization or Trouble?</b:Title>
    <b:Year>2025</b:Year>
    <b:Author>
      <b:Author>
        <b:NameList>
          <b:Person>
            <b:Last>Gasparini</b:Last>
            <b:First>P. P. R.</b:First>
          </b:Person>
          <b:Person>
            <b:Last>Vieira</b:Last>
            <b:Middle>B.</b:Middle>
            <b:First>K.</b:First>
          </b:Person>
          <b:Person>
            <b:Last>Dias</b:Last>
            <b:First>M.</b:First>
          </b:Person>
        </b:NameList>
      </b:Author>
    </b:Author>
    <b:RefOrder>2</b:RefOrder>
  </b:Source>
  <b:Source>
    <b:Tag>Day06</b:Tag>
    <b:SourceType>InternetSite</b:SourceType>
    <b:Guid>{EA6AB396-C7AD-47C8-81E2-6E8A2AD41DE4}</b:Guid>
    <b:Author>
      <b:Author>
        <b:NameList>
          <b:Person>
            <b:Last>Press</b:Last>
            <b:First>DayByDay</b:First>
          </b:Person>
        </b:NameList>
      </b:Author>
    </b:Author>
    <b:Title>Disney to Acquire Pixar: Long-time Creative Partners Form New Worldwide Leader in Quality Family Entertainment</b:Title>
    <b:InternetSiteTitle>DayByDay Press</b:InternetSiteTitle>
    <b:Year>2006</b:Year>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8F08B3088D8EB0478F15642DC04EB5BE" ma:contentTypeVersion="1" ma:contentTypeDescription="Create a new document." ma:contentTypeScope="" ma:versionID="7b0b4c5e4bca0c0f15611d01c6b66025">
  <xsd:schema xmlns:xsd="http://www.w3.org/2001/XMLSchema" xmlns:xs="http://www.w3.org/2001/XMLSchema" xmlns:p="http://schemas.microsoft.com/office/2006/metadata/properties" xmlns:ns2="f1ea92f2-75e1-4d17-b0d5-b3e6c962c7ff" targetNamespace="http://schemas.microsoft.com/office/2006/metadata/properties" ma:root="true" ma:fieldsID="a964a2b56ba049dadb024d90b9a49e19" ns2:_="">
    <xsd:import namespace="f1ea92f2-75e1-4d17-b0d5-b3e6c962c7ff"/>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ea92f2-75e1-4d17-b0d5-b3e6c962c7f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1ea92f2-75e1-4d17-b0d5-b3e6c962c7ff" xsi:nil="true"/>
  </documentManagement>
</p:properties>
</file>

<file path=customXml/itemProps1.xml><?xml version="1.0" encoding="utf-8"?>
<ds:datastoreItem xmlns:ds="http://schemas.openxmlformats.org/officeDocument/2006/customXml" ds:itemID="{4476A9AC-52DC-4E68-A9FA-53B6227105AA}">
  <ds:schemaRefs>
    <ds:schemaRef ds:uri="http://schemas.openxmlformats.org/officeDocument/2006/bibliography"/>
  </ds:schemaRefs>
</ds:datastoreItem>
</file>

<file path=customXml/itemProps2.xml><?xml version="1.0" encoding="utf-8"?>
<ds:datastoreItem xmlns:ds="http://schemas.openxmlformats.org/officeDocument/2006/customXml" ds:itemID="{7A960837-E858-4B4E-8629-D147C7949524}"/>
</file>

<file path=customXml/itemProps3.xml><?xml version="1.0" encoding="utf-8"?>
<ds:datastoreItem xmlns:ds="http://schemas.openxmlformats.org/officeDocument/2006/customXml" ds:itemID="{654566D2-45AB-4FA0-ACC8-F656A19639BB}"/>
</file>

<file path=customXml/itemProps4.xml><?xml version="1.0" encoding="utf-8"?>
<ds:datastoreItem xmlns:ds="http://schemas.openxmlformats.org/officeDocument/2006/customXml" ds:itemID="{6656432C-E3D1-414B-9D28-86E5DA23FA26}"/>
</file>

<file path=docProps/app.xml><?xml version="1.0" encoding="utf-8"?>
<Properties xmlns="http://schemas.openxmlformats.org/officeDocument/2006/extended-properties" xmlns:vt="http://schemas.openxmlformats.org/officeDocument/2006/docPropsVTypes">
  <Template>Normal</Template>
  <TotalTime>155</TotalTime>
  <Pages>7</Pages>
  <Words>1978</Words>
  <Characters>12744</Characters>
  <Application>Microsoft Office Word</Application>
  <DocSecurity>0</DocSecurity>
  <Lines>219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EUGENIU COJOCARU</dc:creator>
  <cp:keywords/>
  <dc:description/>
  <cp:lastModifiedBy>MIRUNA-ALEXIA RUS</cp:lastModifiedBy>
  <cp:revision>4</cp:revision>
  <dcterms:created xsi:type="dcterms:W3CDTF">2026-01-13T08:17:00Z</dcterms:created>
  <dcterms:modified xsi:type="dcterms:W3CDTF">2026-01-13T17:17:00Z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0x0101008F08B3088D8EB0478F15642DC04EB5BE</vt:lpwstr>
  </property>
</Properties>
</file>