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18"/>
        </w:rPr>
        <w:t>TICKET TOUT</w:t>
        <w:br/>
        <w:t>Ministère du Job et Bonheur</w:t>
      </w:r>
    </w:p>
    <w:p>
      <w:pPr>
        <w:pStyle w:val="Title"/>
      </w:pPr>
      <w:r>
        <w:t>PROJET DE CONDITIONS GÉNÉRALES D’UTILISATION</w:t>
      </w:r>
    </w:p>
    <w:p>
      <w:pPr>
        <w:jc w:val="left"/>
      </w:pPr>
      <w:r>
        <w:rPr>
          <w:i/>
          <w:sz w:val="18"/>
        </w:rPr>
        <w:t>Ticket Tout — projet soumis à l’avis préalable du service juridique</w:t>
      </w:r>
    </w:p>
    <w:p>
      <w:r>
        <w:t>Le présent document constitue un projet de CGU spécifique au fonctionnement décrit pour le démonstrateur Ticket Tout. Il est transmis pour avis préalable au service juridique du Ministère et ne doit pas être publié en l’état.</w:t>
      </w:r>
    </w:p>
    <w:p>
      <w:pPr>
        <w:pStyle w:val="Heading1"/>
      </w:pPr>
      <w:r>
        <w:t>Article 1 — Objet du service</w:t>
      </w:r>
    </w:p>
    <w:p>
      <w:r>
        <w:t>Ticket Tout est un démonstrateur de dispositif d’avantages salariés dématérialisés. Il permet à des salariés de disposer d’un crédit fictif utilisable auprès de partenaires référencés par le Ministère du Job et Bonheur. Les montants affichés dans l’application sont exclusivement destinés à la simulation : aucun paiement, transfert ou encaissement de valeur monétaire réelle n’est réalisé par le démonstrateur.</w:t>
      </w:r>
    </w:p>
    <w:p>
      <w:pPr>
        <w:pStyle w:val="Heading1"/>
      </w:pPr>
      <w:r>
        <w:t>Article 2 — Espaces utilisateurs</w:t>
      </w:r>
    </w:p>
    <w:p>
      <w:r>
        <w:t>Le service comprend un espace salarié, un espace partenaire et un espace d’administration. Le salarié peut consulter son solde, son historique, rechercher des partenaires et générer un QR code destiné à présenter une opération simulée. Le partenaire peut gérer son compte, valider une opération et consulter son tableau de bord. L’administration assure notamment la gestion des comptes et la validation des partenaires.</w:t>
      </w:r>
    </w:p>
    <w:p>
      <w:pPr>
        <w:pStyle w:val="Heading1"/>
      </w:pPr>
      <w:r>
        <w:t>Article 3 — Compte et sécurité</w:t>
      </w:r>
    </w:p>
    <w:p>
      <w:r>
        <w:t>Chaque utilisateur est responsable de la confidentialité de ses moyens d’accès. Les comptes peuvent être activés ou désactivés par l’administration selon les règles du service. Les informations nécessaires à la gestion du compte doivent être exactes et à jour.</w:t>
      </w:r>
    </w:p>
    <w:p>
      <w:pPr>
        <w:pStyle w:val="Heading1"/>
      </w:pPr>
      <w:r>
        <w:t>Article 4 — Crédit et solde</w:t>
      </w:r>
    </w:p>
    <w:p>
      <w:r>
        <w:t>Le solde affiché correspond au crédit disponible dans le démonstrateur. Le crédit est fictif et ne constitue pas une somme d’argent détenue par l’utilisateur. Il n’expire pas : le crédit non consommé reste disponible dans le cadre du fonctionnement du démonstrateur, sous réserve des règles applicables au compte.</w:t>
      </w:r>
    </w:p>
    <w:p>
      <w:r>
        <w:t>Une opération dont le montant est supérieur au solde disponible est refusée. Le solde ne peut pas devenir négatif. L’application affiche un message permettant de comprendre la raison du refus.</w:t>
      </w:r>
    </w:p>
    <w:p>
      <w:pPr>
        <w:pStyle w:val="Heading1"/>
      </w:pPr>
      <w:r>
        <w:t>Article 5 — Transactions et QR code</w:t>
      </w:r>
    </w:p>
    <w:p>
      <w:r>
        <w:t>Le salarié génère un QR code destiné à une opération simulée auprès d’un partenaire. Le QR code est à usage unique et sa durée de validité est limitée à cinq minutes. Une fois une transaction validée, son enregistrement initial n’est pas modifié ou supprimé. Le système doit empêcher qu’un même encaissement soit enregistré plusieurs fois.</w:t>
      </w:r>
    </w:p>
    <w:p>
      <w:pPr>
        <w:pStyle w:val="Heading1"/>
      </w:pPr>
      <w:r>
        <w:t>Article 6 — Annulation exceptionnelle</w:t>
      </w:r>
    </w:p>
    <w:p>
      <w:r>
        <w:t>Une transaction validée est en principe irréversible. Lorsqu’une correction exceptionnelle est nécessaire, elle relève d’un administrateur habilité du Ministère. L’annulation doit être justifiée par un motif enregistré et laisser une trace de l’opération. Elle ne doit pas supprimer ou modifier l’enregistrement initial ; le cas échéant, une opération corrective distincte peut recréditer le salarié.</w:t>
      </w:r>
    </w:p>
    <w:p>
      <w:r>
        <w:t>Cette procédure constitue une règle cible du présent projet : la fonctionnalité d’annulation n’est pas actuellement implémentée dans le démonstrateur et devra être validée avant toute mise en œuvre.</w:t>
      </w:r>
    </w:p>
    <w:p>
      <w:pPr>
        <w:pStyle w:val="Heading1"/>
      </w:pPr>
      <w:r>
        <w:t>Article 7 — Partenaires</w:t>
      </w:r>
    </w:p>
    <w:p>
      <w:r>
        <w:t>L’inscription d’un partenaire est soumise à validation administrative. Les informations nécessaires à son référencement, notamment son identité professionnelle et son numéro SIRET/SIREN selon les informations demandées par le service, doivent être renseignées. Les règles détaillées de validation et de refus sont définies par l’administration.</w:t>
      </w:r>
    </w:p>
    <w:p>
      <w:pPr>
        <w:pStyle w:val="Heading1"/>
      </w:pPr>
      <w:r>
        <w:t>Article 8 — Données personnelles</w:t>
      </w:r>
    </w:p>
    <w:p>
      <w:r>
        <w:t>Le fonctionnement du service implique le traitement de données relatives aux comptes et aux transactions. Les modalités détaillées de ces traitements figurent dans le registre des traitements associé au projet. Les utilisateurs doivent être informés des droits dont ils disposent et des coordonnées du responsable du traitement selon les mentions validées par le Ministère.</w:t>
      </w:r>
    </w:p>
    <w:p>
      <w:pPr>
        <w:pStyle w:val="Heading1"/>
      </w:pPr>
      <w:r>
        <w:t>Article 9 — Simulation et absence de paiement réel</w:t>
      </w:r>
    </w:p>
    <w:p>
      <w:r>
        <w:t>Les montants affichés dans Ticket Tout sont fictifs. Une mention de simulation est affichée à proximité des montants dans les écrans concernés. Toute présentation ou capture du démonstrateur doit conserver cette information visible.</w:t>
      </w:r>
    </w:p>
    <w:p>
      <w:pPr>
        <w:pStyle w:val="Heading1"/>
      </w:pPr>
      <w:r>
        <w:t>Article 10 — Modification et validation</w:t>
      </w:r>
    </w:p>
    <w:p>
      <w:r>
        <w:t>Le présent texte est un projet. Il ne peut être mis en ligne avant l’avis préalable du service juridique du Ministère. Les mentions légales, coordonnées, règles de responsabilité, modalités relatives aux droits des personnes et toute autre clause juridique requise devront être complétées ou ajustées avant publication.</w:t>
      </w:r>
    </w:p>
    <w:sectPr w:rsidR="00FC693F" w:rsidRPr="0006063C" w:rsidSect="00034616">
      <w:footerReference w:type="default" r:id="rId9"/>
      <w:pgSz w:w="12240" w:h="15840"/>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PROJET — Ne pas publier avant validation du service juridique du Ministère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