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Microsoft YaHei" w:cs="Microsoft YaHei" w:eastAsia="Microsoft YaHei" w:hAnsi="Microsoft YaHei"/>
          <w:b/>
          <w:bCs/>
          <w:sz w:val="36"/>
          <w:szCs w:val="36"/>
        </w:rPr>
        <w:t xml:space="preserve">特征重要性与业务可解释性分析</w:t>
      </w:r>
    </w:p>
    <w:p>
      <w:pPr>
        <w:spacing w:after="280"/>
        <w:jc w:val="center"/>
      </w:pPr>
      <w:r>
        <w:rPr>
          <w:rFonts w:ascii="Microsoft YaHei" w:cs="Microsoft YaHei" w:eastAsia="Microsoft YaHei" w:hAnsi="Microsoft YaHei"/>
          <w:i/>
          <w:iCs/>
          <w:color w:val="666666"/>
          <w:sz w:val="20"/>
          <w:szCs w:val="20"/>
        </w:rPr>
        <w:t xml:space="preserve">Santander 客户满意度项目  ·  模型: XGBoost (n=300, depth=5, lr=0.05)  ·  76,020 客户,整体不满意率 = 3.96%</w:t>
      </w:r>
    </w:p>
    <w:p>
      <w:pPr>
        <w:pStyle w:val="Heading1"/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2F6F6D"/>
          <w:sz w:val="32"/>
          <w:szCs w:val="32"/>
        </w:rPr>
        <w:t xml:space="preserve">1. 背景</w:t>
      </w:r>
    </w:p>
    <w:p>
      <w:pPr>
        <w:spacing w:after="140" w:line="320"/>
        <w:jc w:val="both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本项目最强的 base model 是 Austin 跑的 XGBoost ensemble(public AUC 0.84)。模型层面的核心问题已经解决,但老师反馈第 1 条提出了更高的要求:</w:t>
      </w:r>
      <w:r>
        <w:rPr>
          <w:rFonts w:ascii="Microsoft YaHei" w:cs="Microsoft YaHei" w:eastAsia="Microsoft YaHei" w:hAnsi="Microsoft YaHei"/>
          <w:i/>
          <w:iCs/>
          <w:sz w:val="22"/>
          <w:szCs w:val="22"/>
        </w:rPr>
        <w:t xml:space="preserve">找出哪些 feature 对预测影响大,如果可解释,就用它们提供业务洞察(business insight)给 stakeholder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。</w:t>
      </w:r>
    </w:p>
    <w:p>
      <w:pPr>
        <w:spacing w:after="140" w:line="320"/>
        <w:jc w:val="both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Wenyu 用 XGBoost 的 gain importance 跑出了 Top 20 feature 排名(就是 </w:t>
      </w:r>
      <w:r>
        <w:rPr>
          <w:rFonts w:ascii="Courier New" w:cs="Courier New" w:eastAsia="Courier New" w:hAnsi="Courier New"/>
          <w:sz w:val="20"/>
          <w:szCs w:val="20"/>
        </w:rPr>
        <w:t xml:space="preserve">ind_var30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排第 1 的那张柱状图)。但 gain 排名只回答了</w:t>
      </w: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「模型用了哪些 feature」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,并没有回答两个对业务方真正重要的问题: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方向性问题 —— 这些 feature 的</w:t>
      </w:r>
      <w:r>
        <w:rPr>
          <w:rFonts w:ascii="Microsoft YaHei" w:cs="Microsoft YaHei" w:eastAsia="Microsoft YaHei" w:hAnsi="Microsoft YaHei"/>
          <w:i/>
          <w:iCs/>
          <w:sz w:val="22"/>
          <w:szCs w:val="22"/>
        </w:rPr>
        <w:t xml:space="preserve">高值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还是</w:t>
      </w:r>
      <w:r>
        <w:rPr>
          <w:rFonts w:ascii="Microsoft YaHei" w:cs="Microsoft YaHei" w:eastAsia="Microsoft YaHei" w:hAnsi="Microsoft YaHei"/>
          <w:i/>
          <w:iCs/>
          <w:sz w:val="22"/>
          <w:szCs w:val="22"/>
        </w:rPr>
        <w:t xml:space="preserve">低值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会推动客户不满意?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业务可解读问题 —— 在能看懂的 feature 里,具体哪类客户更容易不满意?</w:t>
      </w:r>
    </w:p>
    <w:p>
      <w:pPr>
        <w:spacing w:after="140" w:line="320"/>
        <w:jc w:val="both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为了回答这两个问题,做了下面两块后续分析。</w:t>
      </w:r>
    </w:p>
    <w:p>
      <w:pPr>
        <w:pStyle w:val="Heading1"/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2F6F6D"/>
          <w:sz w:val="32"/>
          <w:szCs w:val="32"/>
        </w:rPr>
        <w:t xml:space="preserve">2. SHAP 分析:更可信的特征重要性 + 方向性</w:t>
      </w:r>
    </w:p>
    <w:p>
      <w:pPr>
        <w:pStyle w:val="Heading2"/>
        <w:spacing w:after="110" w:before="220"/>
      </w:pPr>
      <w:r>
        <w:rPr>
          <w:rFonts w:ascii="Microsoft YaHei" w:cs="Microsoft YaHei" w:eastAsia="Microsoft YaHei" w:hAnsi="Microsoft YaHei"/>
          <w:b/>
          <w:bCs/>
          <w:sz w:val="26"/>
          <w:szCs w:val="26"/>
        </w:rPr>
        <w:t xml:space="preserve">方法</w:t>
      </w:r>
    </w:p>
    <w:p>
      <w:pPr>
        <w:spacing w:after="140" w:line="320"/>
        <w:jc w:val="both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在 Wenyu 用过的同一个 XGBoost 模型上,使用 SHAP 的 TreeExplainer 计算每个客户每个 feature 的 SHAP value。SHAP 衡量的不是「feature 在树里被用了几次」,而是「feature 实际把每个客户的预测概率推动了多少」——所以它能同时回答 「feature 多重要」和 「feature 怎么影响预测」 两个问题。</w:t>
      </w:r>
    </w:p>
    <w:p>
      <w:pPr>
        <w:spacing w:after="140" w:line="320"/>
        <w:jc w:val="both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产出了三类可视化:Top 20 SHAP 柱状图(按 mean |SHAP| 排序)、SHAP beeswarm 蜂群图(展示所有客户的方向分布)、Top 6 feature 的 SHAP dependence plot(feature 值 vs SHAP 值散点图)。</w:t>
      </w:r>
    </w:p>
    <w:p>
      <w:pPr>
        <w:pStyle w:val="Heading2"/>
        <w:spacing w:after="110" w:before="220"/>
      </w:pPr>
      <w:r>
        <w:rPr>
          <w:rFonts w:ascii="Microsoft YaHei" w:cs="Microsoft YaHei" w:eastAsia="Microsoft YaHei" w:hAnsi="Microsoft YaHei"/>
          <w:b/>
          <w:bCs/>
          <w:sz w:val="26"/>
          <w:szCs w:val="26"/>
        </w:rPr>
        <w:t xml:space="preserve">洞察 1 —— gain 排名误导了团队,SHAP 才是更可信的视角</w:t>
      </w:r>
    </w:p>
    <w:p>
      <w:pPr>
        <w:spacing w:after="140" w:line="320"/>
        <w:jc w:val="both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把 gain 排名和 SHAP 排名并排比较,差异非常显著: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4130"/>
        <w:gridCol w:w="4130"/>
      </w:tblGrid>
      <w:tr>
        <w:trPr>
          <w:tblHeader/>
        </w:trPr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F6F6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排名</w:t>
            </w:r>
          </w:p>
        </w:tc>
        <w:tc>
          <w:tcPr>
            <w:tcW w:type="dxa" w:w="41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F6F6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Gain (Wenyu)</w:t>
            </w:r>
          </w:p>
        </w:tc>
        <w:tc>
          <w:tcPr>
            <w:tcW w:type="dxa" w:w="41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F6F6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SHAP</w:t>
            </w:r>
          </w:p>
        </w:tc>
      </w:tr>
      <w:tr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41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ind_var30</w:t>
            </w:r>
          </w:p>
        </w:tc>
        <w:tc>
          <w:tcPr>
            <w:tcW w:type="dxa" w:w="41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var15(年龄)</w:t>
            </w:r>
          </w:p>
        </w:tc>
      </w:tr>
      <w:tr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FE0D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41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FE0D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saldo_var30</w:t>
            </w:r>
          </w:p>
        </w:tc>
        <w:tc>
          <w:tcPr>
            <w:tcW w:type="dxa" w:w="41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FE0D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saldo_var30</w:t>
            </w:r>
          </w:p>
        </w:tc>
      </w:tr>
      <w:tr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41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ind_var26_cte</w:t>
            </w:r>
          </w:p>
        </w:tc>
        <w:tc>
          <w:tcPr>
            <w:tcW w:type="dxa" w:w="41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saldo_medio_var5_hace3</w:t>
            </w:r>
          </w:p>
        </w:tc>
      </w:tr>
      <w:tr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FE0D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41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FE0D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var15</w:t>
            </w:r>
          </w:p>
        </w:tc>
        <w:tc>
          <w:tcPr>
            <w:tcW w:type="dxa" w:w="41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FE0D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saldo_medio_var5_ult3</w:t>
            </w:r>
          </w:p>
        </w:tc>
      </w:tr>
    </w:tbl>
    <w:p>
      <w:pPr>
        <w:spacing w:after="1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pacing w:after="140" w:line="320"/>
        <w:jc w:val="both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最关键的差异:gain 把 </w:t>
      </w:r>
      <w:r>
        <w:rPr>
          <w:rFonts w:ascii="Courier New" w:cs="Courier New" w:eastAsia="Courier New" w:hAnsi="Courier New"/>
          <w:sz w:val="20"/>
          <w:szCs w:val="20"/>
        </w:rPr>
        <w:t xml:space="preserve">ind_var30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排第 1,但 SHAP 把它推到了第 17 位。这是因为 gain 衡量的是「feature 在树里被用作分裂点贡献了多少 loss reduction」,对那种容易被反复用作分裂点的二元 indicator 变量(0/1)系统性高估。SHAP 直接衡量「feature 对预测概率的实际影响」,更接近业务方真正想了解的东西。</w:t>
      </w:r>
    </w:p>
    <w:p>
      <w:pPr>
        <w:spacing w:after="140" w:line="320"/>
        <w:jc w:val="both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结论: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presentation 应该用 SHAP 排名讲故事,不是 gain。</w:t>
      </w:r>
    </w:p>
    <w:p>
      <w:pPr>
        <w:pStyle w:val="Heading2"/>
        <w:spacing w:after="110" w:before="220"/>
      </w:pPr>
      <w:r>
        <w:rPr>
          <w:rFonts w:ascii="Microsoft YaHei" w:cs="Microsoft YaHei" w:eastAsia="Microsoft YaHei" w:hAnsi="Microsoft YaHei"/>
          <w:b/>
          <w:bCs/>
          <w:sz w:val="26"/>
          <w:szCs w:val="26"/>
        </w:rPr>
        <w:t xml:space="preserve">洞察 2 —— Top 5 feature 已经覆盖模型 50% 的预测信号</w:t>
      </w:r>
    </w:p>
    <w:p>
      <w:pPr>
        <w:spacing w:after="140" w:line="320"/>
        <w:jc w:val="both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按 mean |SHAP| 排名,Top 5 feature 加起来贡献了模型预测信号的大约 56%: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var15(年龄) —— 30.7%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saldo_var30(当前账户余额) —— 13.2%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saldo_medio_var5_hace3(历史平均余额,3 期前) —— 5.9%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saldo_medio_var5_ult3(近期平均余额,最近 3 期) —— 3.6%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saldo_medio_var5_hace2(历史平均余额,2 期前) —— 3.4%</w:t>
      </w:r>
    </w:p>
    <w:p>
      <w:pPr>
        <w:spacing w:after="140" w:line="320"/>
        <w:jc w:val="both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这意味着对业务方不需要讲 308 个 feature。讲清楚 </w:t>
      </w: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年龄 + 当前余额 + 历史余额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这三件事,就讲清楚了模型大约一半的预测逻辑。</w:t>
      </w:r>
    </w:p>
    <w:p>
      <w:pPr>
        <w:pStyle w:val="Heading2"/>
        <w:spacing w:after="110" w:before="220"/>
      </w:pPr>
      <w:r>
        <w:rPr>
          <w:rFonts w:ascii="Microsoft YaHei" w:cs="Microsoft YaHei" w:eastAsia="Microsoft YaHei" w:hAnsi="Microsoft YaHei"/>
          <w:b/>
          <w:bCs/>
          <w:sz w:val="26"/>
          <w:szCs w:val="26"/>
        </w:rPr>
        <w:t xml:space="preserve">洞察 3 —— var15 的 SHAP dependence plot 揭示了一个「23 岁悬崖」</w:t>
      </w:r>
    </w:p>
    <w:p>
      <w:pPr>
        <w:spacing w:after="140" w:line="320"/>
        <w:jc w:val="both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var15 的 SHAP dependence plot 是这次分析里信息量最大的图之一。它显示: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5–22 岁:SHAP 值都聚集在 -2 附近(强烈推向「满意」)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23 岁有一个非常陡的跳跃:SHAP 值从 -2 直接跳到 +0.5 左右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23–55 岁:SHAP 值持续上升,在 45–55 岁达到峰值(+1 左右,推向「不满意」)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60 岁后:SHAP 值缓慢回落</w:t>
      </w:r>
    </w:p>
    <w:p>
      <w:pPr>
        <w:spacing w:after="140" w:line="320"/>
        <w:jc w:val="both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这条曲线明显是</w:t>
      </w:r>
      <w:r>
        <w:rPr>
          <w:rFonts w:ascii="Microsoft YaHei" w:cs="Microsoft YaHei" w:eastAsia="Microsoft YaHei" w:hAnsi="Microsoft YaHei"/>
          <w:i/>
          <w:iCs/>
          <w:sz w:val="22"/>
          <w:szCs w:val="22"/>
        </w:rPr>
        <w:t xml:space="preserve">非线性的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—— 不是「年龄越大越不满意」的简单线性关系。模型识别出年龄维度上有几个明显的分段。第 3 节的业务分桶分析进一步验证了这一发现。</w:t>
      </w:r>
    </w:p>
    <w:p>
      <w:pPr>
        <w:pStyle w:val="Heading1"/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2F6F6D"/>
          <w:sz w:val="32"/>
          <w:szCs w:val="32"/>
        </w:rPr>
        <w:t xml:space="preserve">3. 可解释 Feature 的业务分桶分析</w:t>
      </w:r>
    </w:p>
    <w:p>
      <w:pPr>
        <w:pStyle w:val="Heading2"/>
        <w:spacing w:after="110" w:before="220"/>
      </w:pPr>
      <w:r>
        <w:rPr>
          <w:rFonts w:ascii="Microsoft YaHei" w:cs="Microsoft YaHei" w:eastAsia="Microsoft YaHei" w:hAnsi="Microsoft YaHei"/>
          <w:b/>
          <w:bCs/>
          <w:sz w:val="26"/>
          <w:szCs w:val="26"/>
        </w:rPr>
        <w:t xml:space="preserve">方法</w:t>
      </w:r>
    </w:p>
    <w:p>
      <w:pPr>
        <w:spacing w:after="140" w:line="320"/>
        <w:jc w:val="both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Top 20 里大部分 feature 是匿名的(比如 </w:t>
      </w:r>
      <w:r>
        <w:rPr>
          <w:rFonts w:ascii="Courier New" w:cs="Courier New" w:eastAsia="Courier New" w:hAnsi="Courier New"/>
          <w:sz w:val="20"/>
          <w:szCs w:val="20"/>
        </w:rPr>
        <w:t xml:space="preserve">imp_op_var41_efect_ult3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),无法确定具体含义。但 Kaggle 社区对其中 4 个 feature 有公认的解读: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var15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= 客户年龄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saldo_var30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= 某个账户余额(saldo 西语就是「余额」)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ind_var30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= 某个产品的持有指示(0/1)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Courier New" w:cs="Courier New" w:eastAsia="Courier New" w:hAnsi="Courier New"/>
          <w:sz w:val="20"/>
          <w:szCs w:val="20"/>
        </w:rPr>
        <w:t xml:space="preserve">ind_var26_cte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= 另一个产品的持有指示(0/1)</w:t>
      </w:r>
    </w:p>
    <w:p>
      <w:pPr>
        <w:spacing w:after="140" w:line="320"/>
        <w:jc w:val="both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对这 4 个 feature 做了分桶交叉分析:每个桶下,客户的 sample size、不满意率(unsatisfied rate)、以及 lift(相对于整体 3.96% baseline 的倍数)。每个 feature 配一张柱状图(深色 = 不满意率,浅色 = 样本量,红色虚线 = baseline)。</w:t>
      </w:r>
    </w:p>
    <w:p>
      <w:pPr>
        <w:pStyle w:val="Heading2"/>
        <w:spacing w:after="110" w:before="220"/>
      </w:pPr>
      <w:r>
        <w:rPr>
          <w:rFonts w:ascii="Microsoft YaHei" w:cs="Microsoft YaHei" w:eastAsia="Microsoft YaHei" w:hAnsi="Microsoft YaHei"/>
          <w:b/>
          <w:bCs/>
          <w:sz w:val="26"/>
          <w:szCs w:val="26"/>
        </w:rPr>
        <w:t xml:space="preserve">洞察 4 —— 不是年轻人最不满意,是中年客户最不满意(反直觉)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2400"/>
        <w:gridCol w:w="2400"/>
        <w:gridCol w:w="2400"/>
      </w:tblGrid>
      <w:tr>
        <w:trPr>
          <w:tblHeader/>
        </w:trPr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F6F6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年龄段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F6F6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样本量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F6F6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不满意率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F6F6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Lift</w:t>
            </w:r>
          </w:p>
        </w:tc>
      </w:tr>
      <w:tr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&lt;23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1,212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0.00%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0.00x</w:t>
            </w:r>
          </w:p>
        </w:tc>
      </w:tr>
      <w:tr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FE0D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23–30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FE0D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40,650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FE0D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1.65%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FE0D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0.42x</w:t>
            </w:r>
          </w:p>
        </w:tc>
      </w:tr>
      <w:tr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30–45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20,968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6.80%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1.72x</w:t>
            </w:r>
          </w:p>
        </w:tc>
      </w:tr>
      <w:tr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7A3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45–60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7A3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9,224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7A3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7.65%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7A3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1.93x</w:t>
            </w:r>
          </w:p>
        </w:tc>
      </w:tr>
      <w:tr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60+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3,966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5.17%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1.31x</w:t>
            </w:r>
          </w:p>
        </w:tc>
      </w:tr>
    </w:tbl>
    <w:p>
      <w:pPr>
        <w:spacing w:after="1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pacing w:after="140" w:line="320"/>
        <w:jc w:val="both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中年客户(30–60 岁)的不满意率接近 </w:t>
      </w: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baseline 的 2 倍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,远高于其他年龄段。这跟第 2 节 SHAP dependence 的发现完全吻合 —— 45–55 岁是 var15 的 SHAP 峰值。</w:t>
      </w:r>
    </w:p>
    <w:p>
      <w:pPr>
        <w:spacing w:after="140" w:line="320"/>
        <w:jc w:val="both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业务解读: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这不是「年轻人难伺候」的故事。事实上,银行的</w:t>
      </w: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核心活跃客户群 —— 中年职场人 —— 期望最高,被服务问题影响最大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。这是一个对银行服务策略很有价值的洞察:客户体验改进资源应该投在中年活跃客户上,而不是年轻客户。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0C674" w:sz="4"/>
              <w:left w:val="single" w:color="F0C674" w:sz="4"/>
              <w:bottom w:val="single" w:color="F0C674" w:sz="4"/>
              <w:right w:val="single" w:color="F0C674" w:sz="4"/>
            </w:tcBorders>
            <w:shd w:fill="FFF8E1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line="300"/>
            </w:pPr>
            <w:r>
              <w:rPr>
                <w:rFonts w:ascii="Microsoft YaHei" w:cs="Microsoft YaHei" w:eastAsia="Microsoft YaHei" w:hAnsi="Microsoft YaHei"/>
                <w:b/>
                <w:bCs/>
                <w:i/>
                <w:iCs/>
                <w:sz w:val="22"/>
                <w:szCs w:val="22"/>
              </w:rPr>
              <w:t xml:space="preserve">关于 &lt;23 桶的重要 caveat:</w:t>
            </w:r>
            <w:r>
              <w:rPr>
                <w:rFonts w:ascii="Microsoft YaHei" w:cs="Microsoft YaHei" w:eastAsia="Microsoft YaHei" w:hAnsi="Microsoft YaHei"/>
                <w:i/>
                <w:iCs/>
                <w:sz w:val="22"/>
                <w:szCs w:val="22"/>
              </w:rPr>
              <w:t xml:space="preserve"> 这个桶里 1,212 个客户的不满意率是 0.00%,看起来像「年轻人都很满意」。Sanity check 原始数据后发现:5–22 岁这段每年龄只有几十人,到 22 岁突然涨到 940 人,23 岁直接跳到 20,170 人。这说明 &lt;23 桶里的客户大概率是</w:t>
            </w:r>
            <w:r>
              <w:rPr>
                <w:rFonts w:ascii="Microsoft YaHei" w:cs="Microsoft YaHei" w:eastAsia="Microsoft YaHei" w:hAnsi="Microsoft YaHei"/>
                <w:b/>
                <w:bCs/>
                <w:i/>
                <w:iCs/>
                <w:sz w:val="22"/>
                <w:szCs w:val="22"/>
              </w:rPr>
              <w:t xml:space="preserve">子账户、附属账户或未激活账户</w:t>
            </w:r>
            <w:r>
              <w:rPr>
                <w:rFonts w:ascii="Microsoft YaHei" w:cs="Microsoft YaHei" w:eastAsia="Microsoft YaHei" w:hAnsi="Microsoft YaHei"/>
                <w:i/>
                <w:iCs/>
                <w:sz w:val="22"/>
                <w:szCs w:val="22"/>
              </w:rPr>
              <w:t xml:space="preserve">,不是真正的主动客户。年轻主动客户的合理 baseline 是 23–30 桶(不满意率 1.65%,也低于平均)。给业务方讲解时必须明确说明这一点,避免误导。</w:t>
            </w:r>
          </w:p>
        </w:tc>
      </w:tr>
    </w:tbl>
    <w:p>
      <w:pPr>
        <w:pStyle w:val="Heading2"/>
        <w:spacing w:after="110" w:before="220"/>
      </w:pPr>
      <w:r>
        <w:rPr>
          <w:rFonts w:ascii="Microsoft YaHei" w:cs="Microsoft YaHei" w:eastAsia="Microsoft YaHei" w:hAnsi="Microsoft YaHei"/>
          <w:b/>
          <w:bCs/>
          <w:sz w:val="26"/>
          <w:szCs w:val="26"/>
        </w:rPr>
        <w:t xml:space="preserve">洞察 5 —— 零余额客户是不满意的主力军(强力验证 Austin 之前的 EDA)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2400"/>
        <w:gridCol w:w="2400"/>
        <w:gridCol w:w="2400"/>
      </w:tblGrid>
      <w:tr>
        <w:trPr>
          <w:tblHeader/>
        </w:trPr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F6F6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余额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F6F6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样本量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F6F6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不满意率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F6F6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Lift</w:t>
            </w:r>
          </w:p>
        </w:tc>
      </w:tr>
      <w:tr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7A3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≤ 0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7A3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20,430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7A3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8.84%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7A3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2.24x</w:t>
            </w:r>
          </w:p>
        </w:tc>
      </w:tr>
      <w:tr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FE0D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&gt; 0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FE0D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55,590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FE0D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2.16%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FE0D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0.55x</w:t>
            </w:r>
          </w:p>
        </w:tc>
      </w:tr>
    </w:tbl>
    <w:p>
      <w:pPr>
        <w:spacing w:after="1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pacing w:after="140" w:line="320"/>
        <w:jc w:val="both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零余额客户(约 2 万人)的不满意率是有余额客户的 </w:t>
      </w: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4 倍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。Austin 在 EDA 里就发现「低 activity 客户更不满意」,这块业务分桶分析直接给了一个简洁有力的数字证据。</w:t>
      </w:r>
    </w:p>
    <w:p>
      <w:pPr>
        <w:spacing w:after="140" w:line="320"/>
        <w:jc w:val="both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更细的 quintile 分桶显示,</w:t>
      </w: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几乎所有不满意客户都集中在最低档(余额 ≤ 0)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。哪怕余额只有 0–3 元的桶,不满意率就降到了 2.08%。这意味着 </w:t>
      </w: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银行只要让客户账户里有「任何活动」,不满意率就会大幅下降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—— 这是非常具体的运营建议。</w:t>
      </w:r>
    </w:p>
    <w:p>
      <w:pPr>
        <w:pStyle w:val="Heading2"/>
        <w:spacing w:after="110" w:before="220"/>
      </w:pPr>
      <w:r>
        <w:rPr>
          <w:rFonts w:ascii="Microsoft YaHei" w:cs="Microsoft YaHei" w:eastAsia="Microsoft YaHei" w:hAnsi="Microsoft YaHei"/>
          <w:b/>
          <w:bCs/>
          <w:sz w:val="26"/>
          <w:szCs w:val="26"/>
        </w:rPr>
        <w:t xml:space="preserve">洞察 6 —— ind_var30 跟 saldo_var30 是同一个产品的两个面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2400"/>
        <w:gridCol w:w="2400"/>
        <w:gridCol w:w="2400"/>
      </w:tblGrid>
      <w:tr>
        <w:trPr>
          <w:tblHeader/>
        </w:trPr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F6F6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ind_var30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F6F6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样本量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F6F6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不满意率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F6F6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Lift</w:t>
            </w:r>
          </w:p>
        </w:tc>
      </w:tr>
      <w:tr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7A3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0(不持有)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7A3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20,310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7A3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8.79%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7A3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2.22x</w:t>
            </w:r>
          </w:p>
        </w:tc>
      </w:tr>
      <w:tr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FE0D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1(持有)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FE0D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55,710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FE0D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2.19%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FE0D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0.55x</w:t>
            </w:r>
          </w:p>
        </w:tc>
      </w:tr>
    </w:tbl>
    <w:p>
      <w:pPr>
        <w:spacing w:after="1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pacing w:after="140" w:line="320"/>
        <w:jc w:val="both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注意 </w:t>
      </w:r>
      <w:r>
        <w:rPr>
          <w:rFonts w:ascii="Courier New" w:cs="Courier New" w:eastAsia="Courier New" w:hAnsi="Courier New"/>
          <w:sz w:val="20"/>
          <w:szCs w:val="20"/>
        </w:rPr>
        <w:t xml:space="preserve">ind_var30 = 0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的人数(20,310)和 </w:t>
      </w:r>
      <w:r>
        <w:rPr>
          <w:rFonts w:ascii="Courier New" w:cs="Courier New" w:eastAsia="Courier New" w:hAnsi="Courier New"/>
          <w:sz w:val="20"/>
          <w:szCs w:val="20"/>
        </w:rPr>
        <w:t xml:space="preserve">saldo_var30 ≤ 0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的人数(20,430)</w:t>
      </w: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几乎完全重合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。这说明 </w:t>
      </w:r>
      <w:r>
        <w:rPr>
          <w:rFonts w:ascii="Courier New" w:cs="Courier New" w:eastAsia="Courier New" w:hAnsi="Courier New"/>
          <w:sz w:val="20"/>
          <w:szCs w:val="20"/>
        </w:rPr>
        <w:t xml:space="preserve">ind_var30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是 </w:t>
      </w:r>
      <w:r>
        <w:rPr>
          <w:rFonts w:ascii="Courier New" w:cs="Courier New" w:eastAsia="Courier New" w:hAnsi="Courier New"/>
          <w:sz w:val="20"/>
          <w:szCs w:val="20"/>
        </w:rPr>
        <w:t xml:space="preserve">saldo_var30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对应产品的持有指示 —— 本质上是同一个产品的两种表达。</w:t>
      </w:r>
    </w:p>
    <w:p>
      <w:pPr>
        <w:spacing w:after="140" w:line="320"/>
        <w:jc w:val="both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这也解释了为什么 gain importance 把 </w:t>
      </w:r>
      <w:r>
        <w:rPr>
          <w:rFonts w:ascii="Courier New" w:cs="Courier New" w:eastAsia="Courier New" w:hAnsi="Courier New"/>
          <w:sz w:val="20"/>
          <w:szCs w:val="20"/>
        </w:rPr>
        <w:t xml:space="preserve">ind_var30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排第 1:这个 feature 跟 </w:t>
      </w:r>
      <w:r>
        <w:rPr>
          <w:rFonts w:ascii="Courier New" w:cs="Courier New" w:eastAsia="Courier New" w:hAnsi="Courier New"/>
          <w:sz w:val="20"/>
          <w:szCs w:val="20"/>
        </w:rPr>
        <w:t xml:space="preserve">saldo_var30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高度相关、信号被重复计入。SHAP 在归因时会把信号合理分摊给多个相关 feature,所以把 </w:t>
      </w:r>
      <w:r>
        <w:rPr>
          <w:rFonts w:ascii="Courier New" w:cs="Courier New" w:eastAsia="Courier New" w:hAnsi="Courier New"/>
          <w:sz w:val="20"/>
          <w:szCs w:val="20"/>
        </w:rPr>
        <w:t xml:space="preserve">ind_var30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排到了第 17 —— 跟「这里其实只有一个底层信号」的真实情况一致。</w:t>
      </w:r>
    </w:p>
    <w:p>
      <w:pPr>
        <w:spacing w:after="140" w:line="320"/>
        <w:jc w:val="both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业务解读: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没有持有这个核心银行产品的客户是流失风险的主力军 —— 这跟「零余额客户最不满意」其实是同一个故事的两个角度。</w:t>
      </w:r>
    </w:p>
    <w:p>
      <w:pPr>
        <w:pStyle w:val="Heading3"/>
      </w:pPr>
      <w:r>
        <w:rPr>
          <w:b/>
          <w:sz w:val="24"/>
        </w:rPr>
        <w:t>补充图 —— 低活跃、零余额、未持有 ind_var30 的风险对比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45643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tivity_risk_comparison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56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left"/>
      </w:pPr>
      <w:r>
        <w:rPr>
          <w:i/>
          <w:sz w:val="18"/>
        </w:rPr>
        <w:t>三种独立分析收敛到同一个约 2 万人的客户切片：Q1 lowest activity、saldo_var30 &lt;= 0、ind_var30 == 0 的不满意率都约为整体平均水平的 2.2 倍。这说明低活跃、零/负余额、未持有 ind_var30 对应产品本质上是在验证同一类可行动的高风险客户。</w:t>
      </w:r>
    </w:p>
    <w:p>
      <w:pPr>
        <w:pStyle w:val="Heading2"/>
        <w:spacing w:after="110" w:before="220"/>
      </w:pPr>
      <w:r>
        <w:rPr>
          <w:rFonts w:ascii="Microsoft YaHei" w:cs="Microsoft YaHei" w:eastAsia="Microsoft YaHei" w:hAnsi="Microsoft YaHei"/>
          <w:b/>
          <w:bCs/>
          <w:sz w:val="26"/>
          <w:szCs w:val="26"/>
        </w:rPr>
        <w:t xml:space="preserve">洞察 7 —— 一个小但高风险的特殊客户子群(ind_var26_cte = 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2400"/>
        <w:gridCol w:w="2400"/>
        <w:gridCol w:w="2400"/>
      </w:tblGrid>
      <w:tr>
        <w:trPr>
          <w:tblHeader/>
        </w:trPr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F6F6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ind_var26_cte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F6F6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样本量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F6F6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不满意率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F6F6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Lift</w:t>
            </w:r>
          </w:p>
        </w:tc>
      </w:tr>
      <w:tr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73,925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3.88%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0"/>
                <w:szCs w:val="20"/>
              </w:rPr>
              <w:t xml:space="preserve">0.98x</w:t>
            </w:r>
          </w:p>
        </w:tc>
      </w:tr>
      <w:tr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7A3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1(持有)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7A3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2,095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7A3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6.68%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7A3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1.69x</w:t>
            </w:r>
          </w:p>
        </w:tc>
      </w:tr>
    </w:tbl>
    <w:p>
      <w:pPr>
        <w:spacing w:after="1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pacing w:after="140" w:line="320"/>
        <w:jc w:val="both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跟 </w:t>
      </w:r>
      <w:r>
        <w:rPr>
          <w:rFonts w:ascii="Courier New" w:cs="Courier New" w:eastAsia="Courier New" w:hAnsi="Courier New"/>
          <w:sz w:val="20"/>
          <w:szCs w:val="20"/>
        </w:rPr>
        <w:t xml:space="preserve">ind_var30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方向相反:</w:t>
      </w:r>
      <w:r>
        <w:rPr>
          <w:rFonts w:ascii="Microsoft YaHei" w:cs="Microsoft YaHei" w:eastAsia="Microsoft YaHei" w:hAnsi="Microsoft YaHei"/>
          <w:i/>
          <w:iCs/>
          <w:sz w:val="22"/>
          <w:szCs w:val="22"/>
        </w:rPr>
        <w:t xml:space="preserve">持有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</w:t>
      </w:r>
      <w:r>
        <w:rPr>
          <w:rFonts w:ascii="Courier New" w:cs="Courier New" w:eastAsia="Courier New" w:hAnsi="Courier New"/>
          <w:sz w:val="20"/>
          <w:szCs w:val="20"/>
        </w:rPr>
        <w:t xml:space="preserve">ind_var26_cte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这个产品的少数客户反而更不满意。他们只占总客户的 2.7%,但不满意率是 baseline 的 1.7 倍。</w:t>
      </w:r>
    </w:p>
    <w:p>
      <w:pPr>
        <w:spacing w:after="140" w:line="320"/>
        <w:jc w:val="both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业务解读: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这是一个「小但高风险」的子群。可能对应某个特定银行产品(某种贷款服务、信用卡费、保险产品)有问题,值得 Santander 单独排查根因。从 actionable 的角度看,这是个非常好的洞察 —— 银行不需要重做整个产品体系,只需要排查这一款产品。</w:t>
      </w:r>
    </w:p>
    <w:p>
      <w:pPr>
        <w:pStyle w:val="Heading1"/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2F6F6D"/>
          <w:sz w:val="32"/>
          <w:szCs w:val="32"/>
        </w:rPr>
        <w:t xml:space="preserve">4. 总结:三大业务洞察</w:t>
      </w:r>
    </w:p>
    <w:p>
      <w:pPr>
        <w:spacing w:after="140" w:line="320"/>
        <w:jc w:val="both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整合下来,可以直接给团队 / 业务方讲的三个核心洞察: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三大驱动因素 = </w:t>
      </w: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年龄 + 当前余额 + 历史余额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(SHAP 占比合计约 50%)。不需要给业务方讲 308 个 feature。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高风险客户画像 = </w:t>
      </w: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中年(30–60 岁)+ 低/零余额 + 低活跃度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。这三个维度有显著叠加效应。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ind_var26_cte 是被忽视的小子群: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只占 2.7% 客户,但不满意率高,银行可以针对性排查。</w:t>
      </w:r>
    </w:p>
    <w:p>
      <w:pPr>
        <w:pStyle w:val="Heading1"/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2F6F6D"/>
          <w:sz w:val="32"/>
          <w:szCs w:val="32"/>
        </w:rPr>
        <w:t xml:space="preserve">5. 交付物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5 页英文 PDF 报告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(</w:t>
      </w:r>
      <w:r>
        <w:rPr>
          <w:rFonts w:ascii="Courier New" w:cs="Courier New" w:eastAsia="Courier New" w:hAnsi="Courier New"/>
          <w:sz w:val="20"/>
          <w:szCs w:val="20"/>
        </w:rPr>
        <w:t xml:space="preserve">feature_importance_business_insights_report.pdf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)—— 含所有图、表、analysis、recommendations,可直接发给老师 / business stakeholder。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2 个 Python 脚本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—— SHAP 分析 + business 分桶分析,都基于 Wenyu 的 </w:t>
      </w:r>
      <w:r>
        <w:rPr>
          <w:rFonts w:ascii="Courier New" w:cs="Courier New" w:eastAsia="Courier New" w:hAnsi="Courier New"/>
          <w:sz w:val="20"/>
          <w:szCs w:val="20"/>
        </w:rPr>
        <w:t xml:space="preserve">run_xgboost_fe.py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接口写,跟团队代码风格保持一致。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多张图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—— SHAP beeswarm、SHAP bar chart、6 个 SHAP dependence plot、4 个 business 分桶图(每张以 3.96% baseline 为参照线)。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2 个 CSV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—— SHAP 排名表、business 分桶汇总表,可直接拷进 final write-up Table 2。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Microsoft YaHei" w:cs="Microsoft YaHei" w:eastAsia="Microsoft YaHei" w:hAnsi="Microsoft YaHei"/>
      <w:b/>
      <w:bCs/>
      <w:color w:val="2F6F6D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10" w:before="220"/>
      <w:outlineLvl w:val="1"/>
    </w:pPr>
    <w:rPr>
      <w:rFonts w:ascii="Microsoft YaHei" w:cs="Microsoft YaHei" w:eastAsia="Microsoft YaHei" w:hAnsi="Microsoft YaHei"/>
      <w:b/>
      <w:bCs/>
      <w:sz w:val="26"/>
      <w:szCs w:val="26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2026-05-03T22:42:18.696Z</dcterms:created>
  <dcterms:modified xsi:type="dcterms:W3CDTF">2026-05-03T22:42:18.696Z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