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F3864"/>
          <w:sz w:val="32"/>
        </w:rPr>
        <w:t>20260914 - 최은혜</w:t>
      </w:r>
    </w:p>
    <w:p>
      <w:pPr>
        <w:spacing w:after="0"/>
      </w:pPr>
      <w:r>
        <w:rPr>
          <w:rFonts w:ascii="맑은 고딕" w:hAnsi="맑은 고딕" w:eastAsia="맑은 고딕"/>
          <w:color w:val="595959"/>
          <w:sz w:val="20"/>
        </w:rPr>
        <w:t>주제: 게임·영상물 등급분류 공공데이터 기반 청소년 이용 부적합 콘텐츠 특성 분석 및 시각화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오늘 한 일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1. 통합 분석 Dataset 구축: 게임물·영상물 240,290행 35열(2007~2026)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2. 내용정보 통합 규칙 확정: 명칭이 동일한 4개 항목만 통합, 영상물 단계값은 원값 병기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3. 통합본 데이터 사전 작성: 열 정의·통합 규칙·비교 가능 범위 명시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4. 청소년 이용 제한 콘텐츠 특성 분석: 규모·추이·분포·항목·조합·자체등급분류 6개 절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5. 인사이트 리포트에 산출물 목록 절 추가: 5종을 표로 정리하고 상호 연결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6. 대시보드 공개 배포 및 동작 확인: 6개 화면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0"/>
        </w:rPr>
        <w:t>7. PRD v1.7 개정: 화면·필터·산출물·일정을 실제 구현에 맞춰 정정 및 문체 통일</w:t>
      </w: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오늘 나온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474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7597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게임물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청소년이용불가를 결정하는 요인은 폭력성이 아니라 사행성(단독 보유 97.1%)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영상물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청소년관람불가 43.7%의 대부분이 성인물이며, 제외 시 10.7%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자체등급분류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청소년이용불가 83건은 사업자 부여분이 아니라 사후 등급 조정의 결과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매체 비교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비교 가능한 10개 조합 전부에서 게임물의 제한 비율이 높음(평균 15.1%p, 3단계 기준)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설계</w:t>
            </w:r>
          </w:p>
        </w:tc>
        <w:tc>
          <w:tcPr>
            <w:tcW w:type="dxa" w:w="7597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통합본은 제외 대상 건을 삭제하지 않고 표시만 함(제외 기준은 분석 목적에 따라 상이)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061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산출물</w:t>
            </w:r>
          </w:p>
        </w:tc>
        <w:tc>
          <w:tcPr>
            <w:tcW w:type="dxa" w:w="6009"/>
            <w:shd w:val="clear" w:fill="DCE3EF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 분석 Dataset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integrated_ratings_260914.parquet · .csv (240,290행)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통합본 데이터 사전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outputs/integrated_dataset_dictionary.html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연령등급·내용정보 EDA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outputs/eda_report.html · outputs/eda_grac_report.html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청소년 이용 제한 특성 분석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outputs/youth_report.html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인터랙티브 대시보드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https://rating-analysis-260910.streamlit.app/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주요 분석 인사이트 리포트</w:t>
            </w:r>
          </w:p>
        </w:tc>
        <w:tc>
          <w:tcPr>
            <w:tcW w:type="dxa" w:w="6009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sz w:val="19"/>
              </w:rPr>
              <w:t>outputs/final_report.html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 w:eastAsia="맑은 고딕"/>
          <w:b/>
          <w:color w:val="1F3864"/>
          <w:sz w:val="30"/>
        </w:rPr>
        <w:t>이슈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매체 비교 결론은 영상물의 3단계 절단 기준을 전제로 성립하며, 해당 기준은 데이터로 도출되지 않음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무료 요금제 특성상 미사용 시 앱이 대기 상태로 전환되므로, 시연 전 사전 구동 필요</w:t>
      </w:r>
    </w:p>
    <w:p>
      <w:pPr>
        <w:pStyle w:val="ListBullet"/>
        <w:spacing w:after="40"/>
        <w:ind w:left="340"/>
      </w:pPr>
      <w:r>
        <w:rPr>
          <w:rFonts w:ascii="맑은 고딕" w:hAnsi="맑은 고딕" w:eastAsia="맑은 고딕"/>
          <w:sz w:val="20"/>
        </w:rPr>
        <w:t>통합본 CSV(59MB)는 저장소에서 제외하였으므로 스크립트로 재생성하거나 공유 폴더에서 확보 필요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