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1F3864"/>
          <w:sz w:val="34"/>
        </w:rPr>
        <w:t>게임·영상물 등급분류 공공데이터 기반</w:t>
        <w:br/>
        <w:t>청소년 이용 부적합 콘텐츠 특성 분석 및 시각화</w:t>
      </w:r>
    </w:p>
    <w:p>
      <w:pPr>
        <w:spacing w:after="280"/>
        <w:jc w:val="center"/>
      </w:pPr>
      <w:r>
        <w:rPr>
          <w:rFonts w:ascii="맑은 고딕" w:hAnsi="맑은 고딕" w:eastAsia="맑은 고딕"/>
          <w:color w:val="595959"/>
          <w:sz w:val="22"/>
        </w:rPr>
        <w:t>제품 요구사항 정의서 (PRD)</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항목</w:t>
            </w:r>
          </w:p>
        </w:tc>
        <w:tc>
          <w:tcPr>
            <w:tcW w:type="dxa" w:w="6803"/>
            <w:shd w:val="clear" w:fill="DCE3EF"/>
          </w:tcPr>
          <w:p>
            <w:pPr>
              <w:spacing w:after="40"/>
            </w:pPr>
            <w:r/>
            <w:r>
              <w:rPr>
                <w:rFonts w:ascii="맑은 고딕" w:hAnsi="맑은 고딕" w:eastAsia="맑은 고딕"/>
                <w:b/>
                <w:sz w:val="19"/>
              </w:rPr>
              <w:t>내용</w:t>
            </w:r>
          </w:p>
        </w:tc>
      </w:tr>
      <w:tr>
        <w:tc>
          <w:tcPr>
            <w:tcW w:type="dxa" w:w="2268"/>
          </w:tcPr>
          <w:p>
            <w:pPr>
              <w:spacing w:after="40"/>
            </w:pPr>
            <w:r/>
            <w:r>
              <w:rPr>
                <w:rFonts w:ascii="맑은 고딕" w:hAnsi="맑은 고딕" w:eastAsia="맑은 고딕"/>
                <w:sz w:val="19"/>
              </w:rPr>
              <w:t>문서 버전</w:t>
            </w:r>
          </w:p>
        </w:tc>
        <w:tc>
          <w:tcPr>
            <w:tcW w:type="dxa" w:w="6803"/>
          </w:tcPr>
          <w:p>
            <w:pPr>
              <w:spacing w:after="40"/>
            </w:pPr>
            <w:r/>
            <w:r>
              <w:rPr>
                <w:rFonts w:ascii="맑은 고딕" w:hAnsi="맑은 고딕" w:eastAsia="맑은 고딕"/>
                <w:sz w:val="19"/>
              </w:rPr>
              <w:t>v1.0</w:t>
            </w:r>
          </w:p>
        </w:tc>
      </w:tr>
      <w:tr>
        <w:tc>
          <w:tcPr>
            <w:tcW w:type="dxa" w:w="2268"/>
          </w:tcPr>
          <w:p>
            <w:pPr>
              <w:spacing w:after="40"/>
            </w:pPr>
            <w:r/>
            <w:r>
              <w:rPr>
                <w:rFonts w:ascii="맑은 고딕" w:hAnsi="맑은 고딕" w:eastAsia="맑은 고딕"/>
                <w:sz w:val="19"/>
              </w:rPr>
              <w:t>작성자</w:t>
            </w:r>
          </w:p>
        </w:tc>
        <w:tc>
          <w:tcPr>
            <w:tcW w:type="dxa" w:w="6803"/>
          </w:tcPr>
          <w:p>
            <w:pPr>
              <w:spacing w:after="40"/>
            </w:pPr>
            <w:r/>
            <w:r>
              <w:rPr>
                <w:rFonts w:ascii="맑은 고딕" w:hAnsi="맑은 고딕" w:eastAsia="맑은 고딕"/>
                <w:sz w:val="19"/>
              </w:rPr>
              <w:t>최은혜</w:t>
            </w:r>
          </w:p>
        </w:tc>
      </w:tr>
      <w:tr>
        <w:tc>
          <w:tcPr>
            <w:tcW w:type="dxa" w:w="2268"/>
          </w:tcPr>
          <w:p>
            <w:pPr>
              <w:spacing w:after="40"/>
            </w:pPr>
            <w:r/>
            <w:r>
              <w:rPr>
                <w:rFonts w:ascii="맑은 고딕" w:hAnsi="맑은 고딕" w:eastAsia="맑은 고딕"/>
                <w:sz w:val="19"/>
              </w:rPr>
              <w:t>작성일</w:t>
            </w:r>
          </w:p>
        </w:tc>
        <w:tc>
          <w:tcPr>
            <w:tcW w:type="dxa" w:w="6803"/>
          </w:tcPr>
          <w:p>
            <w:pPr>
              <w:spacing w:after="40"/>
            </w:pPr>
            <w:r/>
            <w:r>
              <w:rPr>
                <w:rFonts w:ascii="맑은 고딕" w:hAnsi="맑은 고딕" w:eastAsia="맑은 고딕"/>
                <w:sz w:val="19"/>
              </w:rPr>
              <w:t>2026-09-01</w:t>
            </w:r>
          </w:p>
        </w:tc>
      </w:tr>
      <w:tr>
        <w:tc>
          <w:tcPr>
            <w:tcW w:type="dxa" w:w="2268"/>
          </w:tcPr>
          <w:p>
            <w:pPr>
              <w:spacing w:after="40"/>
            </w:pPr>
            <w:r/>
            <w:r>
              <w:rPr>
                <w:rFonts w:ascii="맑은 고딕" w:hAnsi="맑은 고딕" w:eastAsia="맑은 고딕"/>
                <w:sz w:val="19"/>
              </w:rPr>
              <w:t>문서 상태</w:t>
            </w:r>
          </w:p>
        </w:tc>
        <w:tc>
          <w:tcPr>
            <w:tcW w:type="dxa" w:w="6803"/>
          </w:tcPr>
          <w:p>
            <w:pPr>
              <w:spacing w:after="40"/>
            </w:pPr>
            <w:r/>
            <w:r>
              <w:rPr>
                <w:rFonts w:ascii="맑은 고딕" w:hAnsi="맑은 고딕" w:eastAsia="맑은 고딕"/>
                <w:sz w:val="19"/>
              </w:rPr>
              <w:t>초안 — 4.5절 검증 항목 확정 시 v1.1로 갱신</w:t>
            </w:r>
          </w:p>
        </w:tc>
      </w:tr>
      <w:tr>
        <w:tc>
          <w:tcPr>
            <w:tcW w:type="dxa" w:w="2268"/>
          </w:tcPr>
          <w:p>
            <w:pPr>
              <w:spacing w:after="40"/>
            </w:pPr>
            <w:r/>
            <w:r>
              <w:rPr>
                <w:rFonts w:ascii="맑은 고딕" w:hAnsi="맑은 고딕" w:eastAsia="맑은 고딕"/>
                <w:sz w:val="19"/>
              </w:rPr>
              <w:t>프로젝트 유형</w:t>
            </w:r>
          </w:p>
        </w:tc>
        <w:tc>
          <w:tcPr>
            <w:tcW w:type="dxa" w:w="6803"/>
          </w:tcPr>
          <w:p>
            <w:pPr>
              <w:spacing w:after="40"/>
            </w:pPr>
            <w:r/>
            <w:r>
              <w:rPr>
                <w:rFonts w:ascii="맑은 고딕" w:hAnsi="맑은 고딕" w:eastAsia="맑은 고딕"/>
                <w:sz w:val="19"/>
              </w:rPr>
              <w:t>개인 프로젝트 (데이터 분석 및 대시보드 구축)</w:t>
            </w:r>
          </w:p>
        </w:tc>
      </w:tr>
    </w:tbl>
    <w:p>
      <w:pPr>
        <w:spacing w:after="40"/>
      </w:pPr>
    </w:p>
    <w:p>
      <w:pPr>
        <w:pStyle w:val="Heading1"/>
      </w:pPr>
      <w:r>
        <w:rPr>
          <w:rFonts w:ascii="맑은 고딕" w:hAnsi="맑은 고딕" w:eastAsia="맑은 고딕"/>
          <w:b/>
          <w:color w:val="1F3864"/>
          <w:sz w:val="30"/>
        </w:rPr>
        <w:t>1. 배경 및 문제 정의</w:t>
      </w:r>
    </w:p>
    <w:p>
      <w:pPr>
        <w:pStyle w:val="Heading2"/>
      </w:pPr>
      <w:r>
        <w:rPr>
          <w:rFonts w:ascii="맑은 고딕" w:hAnsi="맑은 고딕" w:eastAsia="맑은 고딕"/>
          <w:b/>
          <w:color w:val="1F3864"/>
          <w:sz w:val="24"/>
        </w:rPr>
        <w:t>1.1 배경</w:t>
      </w:r>
    </w:p>
    <w:p>
      <w:pPr>
        <w:pStyle w:val="ListBullet"/>
        <w:spacing w:after="40"/>
        <w:ind w:left="340"/>
      </w:pPr>
      <w:r>
        <w:rPr>
          <w:rFonts w:ascii="맑은 고딕" w:hAnsi="맑은 고딕" w:eastAsia="맑은 고딕"/>
          <w:sz w:val="20"/>
        </w:rPr>
        <w:t>게임물관리위원회와 영상물등급위원회는 각각 등급분류 결과를 Open API로 개방하고 있으며, 등급 판정의 근거가 되는 내용정보(선정성·폭력성·공포·약물 등)를 함께 제공한다.</w:t>
      </w:r>
    </w:p>
    <w:p>
      <w:pPr>
        <w:pStyle w:val="ListBullet"/>
        <w:spacing w:after="40"/>
        <w:ind w:left="340"/>
      </w:pPr>
      <w:r>
        <w:rPr>
          <w:rFonts w:ascii="맑은 고딕" w:hAnsi="맑은 고딕" w:eastAsia="맑은 고딕"/>
          <w:sz w:val="20"/>
        </w:rPr>
        <w:t>두 기관은 서로 다른 분류 체계와 용어를 사용하고 있어, 매체를 가로지르는 비교 분석이 이루어진 사례가 드물다.</w:t>
      </w:r>
    </w:p>
    <w:p>
      <w:pPr>
        <w:pStyle w:val="ListBullet"/>
        <w:spacing w:after="40"/>
        <w:ind w:left="340"/>
      </w:pPr>
      <w:r>
        <w:rPr>
          <w:rFonts w:ascii="맑은 고딕" w:hAnsi="맑은 고딕" w:eastAsia="맑은 고딕"/>
          <w:sz w:val="20"/>
        </w:rPr>
        <w:t>게임 분야는 자체등급분류사업자 제도 도입 이후 분류 주체와 물량이 크게 변화하여, 단순 시계열 비교만으로는 실태 파악이 어렵다.</w:t>
      </w:r>
    </w:p>
    <w:p>
      <w:pPr>
        <w:pStyle w:val="Heading2"/>
      </w:pPr>
      <w:r>
        <w:rPr>
          <w:rFonts w:ascii="맑은 고딕" w:hAnsi="맑은 고딕" w:eastAsia="맑은 고딕"/>
          <w:b/>
          <w:color w:val="1F3864"/>
          <w:sz w:val="24"/>
        </w:rPr>
        <w:t>1.2 문제 정의</w:t>
      </w:r>
    </w:p>
    <w:p>
      <w:pPr>
        <w:pStyle w:val="ListBullet"/>
        <w:spacing w:after="40"/>
        <w:ind w:left="340"/>
      </w:pPr>
      <w:r>
        <w:rPr>
          <w:rFonts w:ascii="맑은 고딕" w:hAnsi="맑은 고딕" w:eastAsia="맑은 고딕"/>
          <w:sz w:val="20"/>
        </w:rPr>
        <w:t>매체별 등급분류 특성 차이를 정량적으로 정리한 자료가 부족하다.</w:t>
      </w:r>
    </w:p>
    <w:p>
      <w:pPr>
        <w:pStyle w:val="ListBullet"/>
        <w:spacing w:after="40"/>
        <w:ind w:left="340"/>
      </w:pPr>
      <w:r>
        <w:rPr>
          <w:rFonts w:ascii="맑은 고딕" w:hAnsi="맑은 고딕" w:eastAsia="맑은 고딕"/>
          <w:sz w:val="20"/>
        </w:rPr>
        <w:t>어떤 내용요소 또는 그 조합이 청소년 이용 제한으로 이어지는지에 대한 데이터 기반 근거가 없다.</w:t>
      </w:r>
    </w:p>
    <w:p>
      <w:pPr>
        <w:pStyle w:val="ListBullet"/>
        <w:spacing w:after="40"/>
        <w:ind w:left="340"/>
      </w:pPr>
      <w:r>
        <w:rPr>
          <w:rFonts w:ascii="맑은 고딕" w:hAnsi="맑은 고딕" w:eastAsia="맑은 고딕"/>
          <w:sz w:val="20"/>
        </w:rPr>
        <w:t>두 기관 모두 개별 건 조회는 가능하나, 조건을 바꿔가며 탐색적으로 비교할 수 있는 도구가 없다.</w:t>
      </w:r>
    </w:p>
    <w:p>
      <w:pPr>
        <w:pStyle w:val="Heading1"/>
      </w:pPr>
      <w:r>
        <w:rPr>
          <w:rFonts w:ascii="맑은 고딕" w:hAnsi="맑은 고딕" w:eastAsia="맑은 고딕"/>
          <w:b/>
          <w:color w:val="1F3864"/>
          <w:sz w:val="30"/>
        </w:rPr>
        <w:t>2. 목표 및 성공 기준</w:t>
      </w:r>
    </w:p>
    <w:p>
      <w:pPr>
        <w:pStyle w:val="Heading2"/>
      </w:pPr>
      <w:r>
        <w:rPr>
          <w:rFonts w:ascii="맑은 고딕" w:hAnsi="맑은 고딕" w:eastAsia="맑은 고딕"/>
          <w:b/>
          <w:color w:val="1F3864"/>
          <w:sz w:val="24"/>
        </w:rPr>
        <w:t>2.1 목표</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목표</w:t>
            </w:r>
          </w:p>
        </w:tc>
      </w:tr>
      <w:tr>
        <w:tc>
          <w:tcPr>
            <w:tcW w:type="dxa" w:w="907"/>
          </w:tcPr>
          <w:p>
            <w:pPr>
              <w:spacing w:after="40"/>
            </w:pPr>
            <w:r/>
            <w:r>
              <w:rPr>
                <w:rFonts w:ascii="맑은 고딕" w:hAnsi="맑은 고딕" w:eastAsia="맑은 고딕"/>
                <w:sz w:val="19"/>
              </w:rPr>
              <w:t>G1</w:t>
            </w:r>
          </w:p>
        </w:tc>
        <w:tc>
          <w:tcPr>
            <w:tcW w:type="dxa" w:w="8164"/>
          </w:tcPr>
          <w:p>
            <w:pPr>
              <w:spacing w:after="40"/>
            </w:pPr>
            <w:r/>
            <w:r>
              <w:rPr>
                <w:rFonts w:ascii="맑은 고딕" w:hAnsi="맑은 고딕" w:eastAsia="맑은 고딕"/>
                <w:sz w:val="19"/>
              </w:rPr>
              <w:t>두 기관 등급분류 데이터를 통합한 비교 가능 Dataset 구축</w:t>
            </w:r>
          </w:p>
        </w:tc>
      </w:tr>
      <w:tr>
        <w:tc>
          <w:tcPr>
            <w:tcW w:type="dxa" w:w="907"/>
          </w:tcPr>
          <w:p>
            <w:pPr>
              <w:spacing w:after="40"/>
            </w:pPr>
            <w:r/>
            <w:r>
              <w:rPr>
                <w:rFonts w:ascii="맑은 고딕" w:hAnsi="맑은 고딕" w:eastAsia="맑은 고딕"/>
                <w:sz w:val="19"/>
              </w:rPr>
              <w:t>G2</w:t>
            </w:r>
          </w:p>
        </w:tc>
        <w:tc>
          <w:tcPr>
            <w:tcW w:type="dxa" w:w="8164"/>
          </w:tcPr>
          <w:p>
            <w:pPr>
              <w:spacing w:after="40"/>
            </w:pPr>
            <w:r/>
            <w:r>
              <w:rPr>
                <w:rFonts w:ascii="맑은 고딕" w:hAnsi="맑은 고딕" w:eastAsia="맑은 고딕"/>
                <w:sz w:val="19"/>
              </w:rPr>
              <w:t>청소년 이용 제한 콘텐츠에 반복적으로 나타나는 내용정보 특성 규명</w:t>
            </w:r>
          </w:p>
        </w:tc>
      </w:tr>
      <w:tr>
        <w:tc>
          <w:tcPr>
            <w:tcW w:type="dxa" w:w="907"/>
          </w:tcPr>
          <w:p>
            <w:pPr>
              <w:spacing w:after="40"/>
            </w:pPr>
            <w:r/>
            <w:r>
              <w:rPr>
                <w:rFonts w:ascii="맑은 고딕" w:hAnsi="맑은 고딕" w:eastAsia="맑은 고딕"/>
                <w:sz w:val="19"/>
              </w:rPr>
              <w:t>G3</w:t>
            </w:r>
          </w:p>
        </w:tc>
        <w:tc>
          <w:tcPr>
            <w:tcW w:type="dxa" w:w="8164"/>
          </w:tcPr>
          <w:p>
            <w:pPr>
              <w:spacing w:after="40"/>
            </w:pPr>
            <w:r/>
            <w:r>
              <w:rPr>
                <w:rFonts w:ascii="맑은 고딕" w:hAnsi="맑은 고딕" w:eastAsia="맑은 고딕"/>
                <w:sz w:val="19"/>
              </w:rPr>
              <w:t>동일 내용요소가 게임과 영상물에서 등급에 미치는 영향의 차이 규명</w:t>
            </w:r>
          </w:p>
        </w:tc>
      </w:tr>
      <w:tr>
        <w:tc>
          <w:tcPr>
            <w:tcW w:type="dxa" w:w="907"/>
          </w:tcPr>
          <w:p>
            <w:pPr>
              <w:spacing w:after="40"/>
            </w:pPr>
            <w:r/>
            <w:r>
              <w:rPr>
                <w:rFonts w:ascii="맑은 고딕" w:hAnsi="맑은 고딕" w:eastAsia="맑은 고딕"/>
                <w:sz w:val="19"/>
              </w:rPr>
              <w:t>G4</w:t>
            </w:r>
          </w:p>
        </w:tc>
        <w:tc>
          <w:tcPr>
            <w:tcW w:type="dxa" w:w="8164"/>
          </w:tcPr>
          <w:p>
            <w:pPr>
              <w:spacing w:after="40"/>
            </w:pPr>
            <w:r/>
            <w:r>
              <w:rPr>
                <w:rFonts w:ascii="맑은 고딕" w:hAnsi="맑은 고딕" w:eastAsia="맑은 고딕"/>
                <w:sz w:val="19"/>
              </w:rPr>
              <w:t>사용자가 조건을 직접 바꿔 탐색할 수 있는 인터랙티브 대시보드 제공</w:t>
            </w:r>
          </w:p>
        </w:tc>
      </w:tr>
    </w:tbl>
    <w:p>
      <w:pPr>
        <w:spacing w:after="40"/>
      </w:pPr>
    </w:p>
    <w:p>
      <w:pPr>
        <w:pStyle w:val="Heading2"/>
      </w:pPr>
      <w:r>
        <w:rPr>
          <w:rFonts w:ascii="맑은 고딕" w:hAnsi="맑은 고딕" w:eastAsia="맑은 고딕"/>
          <w:b/>
          <w:color w:val="1F3864"/>
          <w:sz w:val="24"/>
        </w:rPr>
        <w:t>2.2 성공 기준</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목표</w:t>
            </w:r>
          </w:p>
        </w:tc>
        <w:tc>
          <w:tcPr>
            <w:tcW w:type="dxa" w:w="2835"/>
            <w:shd w:val="clear" w:fill="DCE3EF"/>
          </w:tcPr>
          <w:p>
            <w:pPr>
              <w:spacing w:after="40"/>
            </w:pPr>
            <w:r/>
            <w:r>
              <w:rPr>
                <w:rFonts w:ascii="맑은 고딕" w:hAnsi="맑은 고딕" w:eastAsia="맑은 고딕"/>
                <w:b/>
                <w:sz w:val="19"/>
              </w:rPr>
              <w:t>측정 지표</w:t>
            </w:r>
          </w:p>
        </w:tc>
        <w:tc>
          <w:tcPr>
            <w:tcW w:type="dxa" w:w="5329"/>
            <w:shd w:val="clear" w:fill="DCE3EF"/>
          </w:tcPr>
          <w:p>
            <w:pPr>
              <w:spacing w:after="40"/>
            </w:pPr>
            <w:r/>
            <w:r>
              <w:rPr>
                <w:rFonts w:ascii="맑은 고딕" w:hAnsi="맑은 고딕" w:eastAsia="맑은 고딕"/>
                <w:b/>
                <w:sz w:val="19"/>
              </w:rPr>
              <w:t>달성 기준</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통합 Dataset 구축</w:t>
            </w:r>
          </w:p>
        </w:tc>
        <w:tc>
          <w:tcPr>
            <w:tcW w:type="dxa" w:w="5329"/>
          </w:tcPr>
          <w:p>
            <w:pPr>
              <w:spacing w:after="40"/>
            </w:pPr>
            <w:r/>
            <w:r>
              <w:rPr>
                <w:rFonts w:ascii="맑은 고딕" w:hAnsi="맑은 고딕" w:eastAsia="맑은 고딕"/>
                <w:sz w:val="19"/>
              </w:rPr>
              <w:t>게임·영상물 각 대상 기간 전량 수집, 필드별 결측률 문서화</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내용정보 매핑표 확정</w:t>
            </w:r>
          </w:p>
        </w:tc>
        <w:tc>
          <w:tcPr>
            <w:tcW w:type="dxa" w:w="5329"/>
          </w:tcPr>
          <w:p>
            <w:pPr>
              <w:spacing w:after="40"/>
            </w:pPr>
            <w:r/>
            <w:r>
              <w:rPr>
                <w:rFonts w:ascii="맑은 고딕" w:hAnsi="맑은 고딕" w:eastAsia="맑은 고딕"/>
                <w:sz w:val="19"/>
              </w:rPr>
              <w:t>매체 공통 내용요소 4개 이상 매핑 및 근거 문서화</w:t>
            </w:r>
          </w:p>
        </w:tc>
      </w:tr>
      <w:tr>
        <w:tc>
          <w:tcPr>
            <w:tcW w:type="dxa" w:w="907"/>
          </w:tcPr>
          <w:p>
            <w:pPr>
              <w:spacing w:after="40"/>
            </w:pPr>
            <w:r/>
            <w:r>
              <w:rPr>
                <w:rFonts w:ascii="맑은 고딕" w:hAnsi="맑은 고딕" w:eastAsia="맑은 고딕"/>
                <w:sz w:val="19"/>
              </w:rPr>
              <w:t>G2</w:t>
            </w:r>
          </w:p>
        </w:tc>
        <w:tc>
          <w:tcPr>
            <w:tcW w:type="dxa" w:w="2835"/>
          </w:tcPr>
          <w:p>
            <w:pPr>
              <w:spacing w:after="40"/>
            </w:pPr>
            <w:r/>
            <w:r>
              <w:rPr>
                <w:rFonts w:ascii="맑은 고딕" w:hAnsi="맑은 고딕" w:eastAsia="맑은 고딕"/>
                <w:sz w:val="19"/>
              </w:rPr>
              <w:t>등급별 내용요소 분포 산출</w:t>
            </w:r>
          </w:p>
        </w:tc>
        <w:tc>
          <w:tcPr>
            <w:tcW w:type="dxa" w:w="5329"/>
          </w:tcPr>
          <w:p>
            <w:pPr>
              <w:spacing w:after="40"/>
            </w:pPr>
            <w:r/>
            <w:r>
              <w:rPr>
                <w:rFonts w:ascii="맑은 고딕" w:hAnsi="맑은 고딕" w:eastAsia="맑은 고딕"/>
                <w:sz w:val="19"/>
              </w:rPr>
              <w:t>4개 연령등급 × 공통 내용요소 전체에 대한 분포 제시</w:t>
            </w:r>
          </w:p>
        </w:tc>
      </w:tr>
      <w:tr>
        <w:tc>
          <w:tcPr>
            <w:tcW w:type="dxa" w:w="907"/>
          </w:tcPr>
          <w:p>
            <w:pPr>
              <w:spacing w:after="40"/>
            </w:pPr>
            <w:r/>
            <w:r>
              <w:rPr>
                <w:rFonts w:ascii="맑은 고딕" w:hAnsi="맑은 고딕" w:eastAsia="맑은 고딕"/>
                <w:sz w:val="19"/>
              </w:rPr>
              <w:t>G3</w:t>
            </w:r>
          </w:p>
        </w:tc>
        <w:tc>
          <w:tcPr>
            <w:tcW w:type="dxa" w:w="2835"/>
          </w:tcPr>
          <w:p>
            <w:pPr>
              <w:spacing w:after="40"/>
            </w:pPr>
            <w:r/>
            <w:r>
              <w:rPr>
                <w:rFonts w:ascii="맑은 고딕" w:hAnsi="맑은 고딕" w:eastAsia="맑은 고딕"/>
                <w:sz w:val="19"/>
              </w:rPr>
              <w:t>매체 간 판정 차이 정량화</w:t>
            </w:r>
          </w:p>
        </w:tc>
        <w:tc>
          <w:tcPr>
            <w:tcW w:type="dxa" w:w="5329"/>
          </w:tcPr>
          <w:p>
            <w:pPr>
              <w:spacing w:after="40"/>
            </w:pPr>
            <w:r/>
            <w:r>
              <w:rPr>
                <w:rFonts w:ascii="맑은 고딕" w:hAnsi="맑은 고딕" w:eastAsia="맑은 고딕"/>
                <w:sz w:val="19"/>
              </w:rPr>
              <w:t>동일 내용 프로필 기준 매체별 등급 분포 차이 제시</w:t>
            </w:r>
          </w:p>
        </w:tc>
      </w:tr>
      <w:tr>
        <w:tc>
          <w:tcPr>
            <w:tcW w:type="dxa" w:w="907"/>
          </w:tcPr>
          <w:p>
            <w:pPr>
              <w:spacing w:after="40"/>
            </w:pPr>
            <w:r/>
            <w:r>
              <w:rPr>
                <w:rFonts w:ascii="맑은 고딕" w:hAnsi="맑은 고딕" w:eastAsia="맑은 고딕"/>
                <w:sz w:val="19"/>
              </w:rPr>
              <w:t>G4</w:t>
            </w:r>
          </w:p>
        </w:tc>
        <w:tc>
          <w:tcPr>
            <w:tcW w:type="dxa" w:w="2835"/>
          </w:tcPr>
          <w:p>
            <w:pPr>
              <w:spacing w:after="40"/>
            </w:pPr>
            <w:r/>
            <w:r>
              <w:rPr>
                <w:rFonts w:ascii="맑은 고딕" w:hAnsi="맑은 고딕" w:eastAsia="맑은 고딕"/>
                <w:sz w:val="19"/>
              </w:rPr>
              <w:t>대시보드 배포</w:t>
            </w:r>
          </w:p>
        </w:tc>
        <w:tc>
          <w:tcPr>
            <w:tcW w:type="dxa" w:w="5329"/>
          </w:tcPr>
          <w:p>
            <w:pPr>
              <w:spacing w:after="40"/>
            </w:pPr>
            <w:r/>
            <w:r>
              <w:rPr>
                <w:rFonts w:ascii="맑은 고딕" w:hAnsi="맑은 고딕" w:eastAsia="맑은 고딕"/>
                <w:sz w:val="19"/>
              </w:rPr>
              <w:t>5개 탭 정상 동작, 공개 URL 접근 가능</w:t>
            </w:r>
          </w:p>
        </w:tc>
      </w:tr>
      <w:tr>
        <w:tc>
          <w:tcPr>
            <w:tcW w:type="dxa" w:w="907"/>
          </w:tcPr>
          <w:p>
            <w:pPr>
              <w:spacing w:after="40"/>
            </w:pPr>
            <w:r/>
            <w:r>
              <w:rPr>
                <w:rFonts w:ascii="맑은 고딕" w:hAnsi="맑은 고딕" w:eastAsia="맑은 고딕"/>
                <w:sz w:val="19"/>
              </w:rPr>
              <w:t>공통</w:t>
            </w:r>
          </w:p>
        </w:tc>
        <w:tc>
          <w:tcPr>
            <w:tcW w:type="dxa" w:w="2835"/>
          </w:tcPr>
          <w:p>
            <w:pPr>
              <w:spacing w:after="40"/>
            </w:pPr>
            <w:r/>
            <w:r>
              <w:rPr>
                <w:rFonts w:ascii="맑은 고딕" w:hAnsi="맑은 고딕" w:eastAsia="맑은 고딕"/>
                <w:sz w:val="19"/>
              </w:rPr>
              <w:t>분석 리포트</w:t>
            </w:r>
          </w:p>
        </w:tc>
        <w:tc>
          <w:tcPr>
            <w:tcW w:type="dxa" w:w="5329"/>
          </w:tcPr>
          <w:p>
            <w:pPr>
              <w:spacing w:after="40"/>
            </w:pPr>
            <w:r/>
            <w:r>
              <w:rPr>
                <w:rFonts w:ascii="맑은 고딕" w:hAnsi="맑은 고딕" w:eastAsia="맑은 고딕"/>
                <w:sz w:val="19"/>
              </w:rPr>
              <w:t>주요 인사이트 및 방법론·한계 명시</w:t>
            </w:r>
          </w:p>
        </w:tc>
      </w:tr>
    </w:tbl>
    <w:p>
      <w:pPr>
        <w:spacing w:after="40"/>
      </w:pPr>
    </w:p>
    <w:p>
      <w:pPr>
        <w:pStyle w:val="Heading2"/>
      </w:pPr>
      <w:r>
        <w:rPr>
          <w:rFonts w:ascii="맑은 고딕" w:hAnsi="맑은 고딕" w:eastAsia="맑은 고딕"/>
          <w:b/>
          <w:color w:val="1F3864"/>
          <w:sz w:val="24"/>
        </w:rPr>
        <w:t>2.3 비목표 (Non-goals)</w:t>
      </w:r>
    </w:p>
    <w:p>
      <w:pPr>
        <w:pStyle w:val="ListBullet"/>
        <w:spacing w:after="40"/>
        <w:ind w:left="340"/>
      </w:pPr>
      <w:r>
        <w:rPr>
          <w:rFonts w:ascii="맑은 고딕" w:hAnsi="맑은 고딕" w:eastAsia="맑은 고딕"/>
          <w:sz w:val="20"/>
        </w:rPr>
        <w:t>등급분류 결과의 적정성 평가나 심의 기준에 대한 비판을 목적으로 하지 않는다.</w:t>
      </w:r>
    </w:p>
    <w:p>
      <w:pPr>
        <w:pStyle w:val="ListBullet"/>
        <w:spacing w:after="40"/>
        <w:ind w:left="340"/>
      </w:pPr>
      <w:r>
        <w:rPr>
          <w:rFonts w:ascii="맑은 고딕" w:hAnsi="맑은 고딕" w:eastAsia="맑은 고딕"/>
          <w:sz w:val="20"/>
        </w:rPr>
        <w:t>개별 콘텐츠의 등급을 예측하는 모델을 실무에 적용하는 것을 목표로 하지 않는다. 예측 모델은 설명 도구로만 사용한다.</w:t>
      </w:r>
    </w:p>
    <w:p>
      <w:pPr>
        <w:pStyle w:val="ListBullet"/>
        <w:spacing w:after="40"/>
        <w:ind w:left="340"/>
      </w:pPr>
      <w:r>
        <w:rPr>
          <w:rFonts w:ascii="맑은 고딕" w:hAnsi="맑은 고딕" w:eastAsia="맑은 고딕"/>
          <w:sz w:val="20"/>
        </w:rPr>
        <w:t>극장 개봉 영화 등 비디오물 범위를 벗어나는 영상물은 다루지 않는다.</w:t>
      </w:r>
    </w:p>
    <w:p>
      <w:pPr>
        <w:pStyle w:val="ListBullet"/>
        <w:spacing w:after="40"/>
        <w:ind w:left="340"/>
      </w:pPr>
      <w:r>
        <w:rPr>
          <w:rFonts w:ascii="맑은 고딕" w:hAnsi="맑은 고딕" w:eastAsia="맑은 고딕"/>
          <w:sz w:val="20"/>
        </w:rPr>
        <w:t>실시간 자동 갱신 파이프라인은 구축하지 않는다. 특정 시점 스냅샷 기준으로 분석한다.</w:t>
      </w:r>
    </w:p>
    <w:p>
      <w:pPr>
        <w:pStyle w:val="Heading1"/>
      </w:pPr>
      <w:r>
        <w:rPr>
          <w:rFonts w:ascii="맑은 고딕" w:hAnsi="맑은 고딕" w:eastAsia="맑은 고딕"/>
          <w:b/>
          <w:color w:val="1F3864"/>
          <w:sz w:val="30"/>
        </w:rPr>
        <w:t>3. 범위</w:t>
      </w:r>
    </w:p>
    <w:tbl>
      <w:tblPr>
        <w:tblStyle w:val="TableGrid"/>
        <w:tblW w:type="auto" w:w="0"/>
        <w:jc w:val="center"/>
        <w:tblLook w:firstColumn="1" w:firstRow="1" w:lastColumn="0" w:lastRow="0" w:noHBand="0" w:noVBand="1" w:val="04A0"/>
      </w:tblPr>
      <w:tblGrid>
        <w:gridCol w:w="4759"/>
        <w:gridCol w:w="4759"/>
      </w:tblGrid>
      <w:tr>
        <w:tc>
          <w:tcPr>
            <w:tcW w:type="dxa" w:w="1928"/>
            <w:shd w:val="clear" w:fill="DCE3EF"/>
          </w:tcPr>
          <w:p>
            <w:pPr>
              <w:spacing w:after="40"/>
            </w:pPr>
            <w:r/>
            <w:r>
              <w:rPr>
                <w:rFonts w:ascii="맑은 고딕" w:hAnsi="맑은 고딕" w:eastAsia="맑은 고딕"/>
                <w:b/>
                <w:sz w:val="19"/>
              </w:rPr>
              <w:t>구분</w:t>
            </w:r>
          </w:p>
        </w:tc>
        <w:tc>
          <w:tcPr>
            <w:tcW w:type="dxa" w:w="7143"/>
            <w:shd w:val="clear" w:fill="DCE3EF"/>
          </w:tcPr>
          <w:p>
            <w:pPr>
              <w:spacing w:after="40"/>
            </w:pPr>
            <w:r/>
            <w:r>
              <w:rPr>
                <w:rFonts w:ascii="맑은 고딕" w:hAnsi="맑은 고딕" w:eastAsia="맑은 고딕"/>
                <w:b/>
                <w:sz w:val="19"/>
              </w:rPr>
              <w:t>내용</w:t>
            </w:r>
          </w:p>
        </w:tc>
      </w:tr>
      <w:tr>
        <w:tc>
          <w:tcPr>
            <w:tcW w:type="dxa" w:w="1928"/>
          </w:tcPr>
          <w:p>
            <w:pPr>
              <w:spacing w:after="40"/>
            </w:pPr>
            <w:r/>
            <w:r>
              <w:rPr>
                <w:rFonts w:ascii="맑은 고딕" w:hAnsi="맑은 고딕" w:eastAsia="맑은 고딕"/>
                <w:sz w:val="19"/>
              </w:rPr>
              <w:t>포함 (In scope)</w:t>
            </w:r>
          </w:p>
        </w:tc>
        <w:tc>
          <w:tcPr>
            <w:tcW w:type="dxa" w:w="7143"/>
          </w:tcPr>
          <w:p>
            <w:pPr>
              <w:spacing w:after="40"/>
            </w:pPr>
            <w:r/>
            <w:r>
              <w:rPr>
                <w:rFonts w:ascii="맑은 고딕" w:hAnsi="맑은 고딕" w:eastAsia="맑은 고딕"/>
                <w:sz w:val="19"/>
              </w:rPr>
              <w:t>두 기관 Open API 데이터 수집 · 정제 · 통합 / 연령등급 및 내용정보 EDA / 청소년 이용 제한 콘텐츠 특성 분석 / Streamlit 대시보드 구현 및 배포 / 분석 리포트 작성</w:t>
            </w:r>
          </w:p>
        </w:tc>
      </w:tr>
      <w:tr>
        <w:tc>
          <w:tcPr>
            <w:tcW w:type="dxa" w:w="1928"/>
          </w:tcPr>
          <w:p>
            <w:pPr>
              <w:spacing w:after="40"/>
            </w:pPr>
            <w:r/>
            <w:r>
              <w:rPr>
                <w:rFonts w:ascii="맑은 고딕" w:hAnsi="맑은 고딕" w:eastAsia="맑은 고딕"/>
                <w:sz w:val="19"/>
              </w:rPr>
              <w:t>제외 (Out of scope)</w:t>
            </w:r>
          </w:p>
        </w:tc>
        <w:tc>
          <w:tcPr>
            <w:tcW w:type="dxa" w:w="7143"/>
          </w:tcPr>
          <w:p>
            <w:pPr>
              <w:spacing w:after="40"/>
            </w:pPr>
            <w:r/>
            <w:r>
              <w:rPr>
                <w:rFonts w:ascii="맑은 고딕" w:hAnsi="맑은 고딕" w:eastAsia="맑은 고딕"/>
                <w:sz w:val="19"/>
              </w:rPr>
              <w:t>비디오물 외 영상물(극장 개봉작 등) / 해외 등급분류 기관 데이터 / 이용자 반응·매출 등 등급분류 외 데이터 / 실시간 갱신 및 운영 자동화 / 사용자 인증 및 권한 관리</w:t>
            </w:r>
          </w:p>
        </w:tc>
      </w:tr>
    </w:tbl>
    <w:p>
      <w:pPr>
        <w:spacing w:after="40"/>
      </w:pPr>
    </w:p>
    <w:p>
      <w:pPr>
        <w:pStyle w:val="Heading1"/>
      </w:pPr>
      <w:r>
        <w:rPr>
          <w:rFonts w:ascii="맑은 고딕" w:hAnsi="맑은 고딕" w:eastAsia="맑은 고딕"/>
          <w:b/>
          <w:color w:val="1F3864"/>
          <w:sz w:val="30"/>
        </w:rPr>
        <w:t>4. 데이터 요구사항</w:t>
      </w:r>
    </w:p>
    <w:p>
      <w:pPr>
        <w:pStyle w:val="Heading2"/>
      </w:pPr>
      <w:r>
        <w:rPr>
          <w:rFonts w:ascii="맑은 고딕" w:hAnsi="맑은 고딕" w:eastAsia="맑은 고딕"/>
          <w:b/>
          <w:color w:val="1F3864"/>
          <w:sz w:val="24"/>
        </w:rPr>
        <w:t>4.1 데이터 소스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구분</w:t>
            </w:r>
          </w:p>
        </w:tc>
        <w:tc>
          <w:tcPr>
            <w:tcW w:type="dxa" w:w="2268"/>
            <w:shd w:val="clear" w:fill="DCE3EF"/>
          </w:tcPr>
          <w:p>
            <w:pPr>
              <w:spacing w:after="40"/>
            </w:pPr>
            <w:r/>
            <w:r>
              <w:rPr>
                <w:rFonts w:ascii="맑은 고딕" w:hAnsi="맑은 고딕" w:eastAsia="맑은 고딕"/>
                <w:b/>
                <w:sz w:val="19"/>
              </w:rPr>
              <w:t>제공 기관</w:t>
            </w:r>
          </w:p>
        </w:tc>
        <w:tc>
          <w:tcPr>
            <w:tcW w:type="dxa" w:w="2835"/>
            <w:shd w:val="clear" w:fill="DCE3EF"/>
          </w:tcPr>
          <w:p>
            <w:pPr>
              <w:spacing w:after="40"/>
            </w:pPr>
            <w:r/>
            <w:r>
              <w:rPr>
                <w:rFonts w:ascii="맑은 고딕" w:hAnsi="맑은 고딕" w:eastAsia="맑은 고딕"/>
                <w:b/>
                <w:sz w:val="19"/>
              </w:rPr>
              <w:t>데이터</w:t>
            </w:r>
          </w:p>
        </w:tc>
        <w:tc>
          <w:tcPr>
            <w:tcW w:type="dxa" w:w="2721"/>
            <w:shd w:val="clear" w:fill="DCE3EF"/>
          </w:tcPr>
          <w:p>
            <w:pPr>
              <w:spacing w:after="40"/>
            </w:pPr>
            <w:r/>
            <w:r>
              <w:rPr>
                <w:rFonts w:ascii="맑은 고딕" w:hAnsi="맑은 고딕" w:eastAsia="맑은 고딕"/>
                <w:b/>
                <w:sz w:val="19"/>
              </w:rPr>
              <w:t>수집 방식</w:t>
            </w:r>
          </w:p>
        </w:tc>
      </w:tr>
      <w:tr>
        <w:tc>
          <w:tcPr>
            <w:tcW w:type="dxa" w:w="1247"/>
          </w:tcPr>
          <w:p>
            <w:pPr>
              <w:spacing w:after="40"/>
            </w:pPr>
            <w:r/>
            <w:r>
              <w:rPr>
                <w:rFonts w:ascii="맑은 고딕" w:hAnsi="맑은 고딕" w:eastAsia="맑은 고딕"/>
                <w:sz w:val="19"/>
              </w:rPr>
              <w:t>게임물</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게임물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영상물</w:t>
            </w:r>
          </w:p>
        </w:tc>
        <w:tc>
          <w:tcPr>
            <w:tcW w:type="dxa" w:w="2268"/>
          </w:tcPr>
          <w:p>
            <w:pPr>
              <w:spacing w:after="40"/>
            </w:pPr>
            <w:r/>
            <w:r>
              <w:rPr>
                <w:rFonts w:ascii="맑은 고딕" w:hAnsi="맑은 고딕" w:eastAsia="맑은 고딕"/>
                <w:sz w:val="19"/>
              </w:rPr>
              <w:t>영상물등급위원회</w:t>
            </w:r>
          </w:p>
        </w:tc>
        <w:tc>
          <w:tcPr>
            <w:tcW w:type="dxa" w:w="2835"/>
          </w:tcPr>
          <w:p>
            <w:pPr>
              <w:spacing w:after="40"/>
            </w:pPr>
            <w:r/>
            <w:r>
              <w:rPr>
                <w:rFonts w:ascii="맑은 고딕" w:hAnsi="맑은 고딕" w:eastAsia="맑은 고딕"/>
                <w:sz w:val="19"/>
              </w:rPr>
              <w:t>비디오물 등급분류 결과</w:t>
            </w:r>
          </w:p>
        </w:tc>
        <w:tc>
          <w:tcPr>
            <w:tcW w:type="dxa" w:w="2721"/>
          </w:tcPr>
          <w:p>
            <w:pPr>
              <w:spacing w:after="40"/>
            </w:pPr>
            <w:r/>
            <w:r>
              <w:rPr>
                <w:rFonts w:ascii="맑은 고딕" w:hAnsi="맑은 고딕" w:eastAsia="맑은 고딕"/>
                <w:sz w:val="19"/>
              </w:rPr>
              <w:t>Open API (공공데이터포털)</w:t>
            </w:r>
          </w:p>
        </w:tc>
      </w:tr>
    </w:tbl>
    <w:p>
      <w:pPr>
        <w:spacing w:after="40"/>
      </w:pPr>
    </w:p>
    <w:p>
      <w:pPr>
        <w:spacing w:after="80"/>
      </w:pPr>
      <w:r>
        <w:rPr>
          <w:rFonts w:ascii="맑은 고딕" w:hAnsi="맑은 고딕" w:eastAsia="맑은 고딕"/>
          <w:b w:val="0"/>
          <w:sz w:val="20"/>
        </w:rPr>
        <w:t>대상 기간: 2016-01-01 ~ 2025-12-31 (10년). 등급 체계 및 내용정보 항목의 일관성이 확보되는 구간을 기준으로 하며, 4.5절 검증 결과에 따라 조정될 수 있다.</w:t>
      </w:r>
    </w:p>
    <w:p>
      <w:pPr>
        <w:pStyle w:val="Heading2"/>
      </w:pPr>
      <w:r>
        <w:rPr>
          <w:rFonts w:ascii="맑은 고딕" w:hAnsi="맑은 고딕" w:eastAsia="맑은 고딕"/>
          <w:b/>
          <w:color w:val="1F3864"/>
          <w:sz w:val="24"/>
        </w:rPr>
        <w:t>4.2 수집 항목</w:t>
      </w:r>
    </w:p>
    <w:tbl>
      <w:tblPr>
        <w:tblStyle w:val="TableGrid"/>
        <w:tblW w:type="auto" w:w="0"/>
        <w:jc w:val="center"/>
        <w:tblLook w:firstColumn="1" w:firstRow="1" w:lastColumn="0" w:lastRow="0" w:noHBand="0" w:noVBand="1" w:val="04A0"/>
      </w:tblPr>
      <w:tblGrid>
        <w:gridCol w:w="4759"/>
        <w:gridCol w:w="4759"/>
      </w:tblGrid>
      <w:tr>
        <w:tc>
          <w:tcPr>
            <w:tcW w:type="dxa" w:w="1247"/>
            <w:shd w:val="clear" w:fill="DCE3EF"/>
          </w:tcPr>
          <w:p>
            <w:pPr>
              <w:spacing w:after="40"/>
            </w:pPr>
            <w:r/>
            <w:r>
              <w:rPr>
                <w:rFonts w:ascii="맑은 고딕" w:hAnsi="맑은 고딕" w:eastAsia="맑은 고딕"/>
                <w:b/>
                <w:sz w:val="19"/>
              </w:rPr>
              <w:t>매체</w:t>
            </w:r>
          </w:p>
        </w:tc>
        <w:tc>
          <w:tcPr>
            <w:tcW w:type="dxa" w:w="7824"/>
            <w:shd w:val="clear" w:fill="DCE3EF"/>
          </w:tcPr>
          <w:p>
            <w:pPr>
              <w:spacing w:after="40"/>
            </w:pPr>
            <w:r/>
            <w:r>
              <w:rPr>
                <w:rFonts w:ascii="맑은 고딕" w:hAnsi="맑은 고딕" w:eastAsia="맑은 고딕"/>
                <w:b/>
                <w:sz w:val="19"/>
              </w:rPr>
              <w:t>수집 항목</w:t>
            </w:r>
          </w:p>
        </w:tc>
      </w:tr>
      <w:tr>
        <w:tc>
          <w:tcPr>
            <w:tcW w:type="dxa" w:w="1247"/>
          </w:tcPr>
          <w:p>
            <w:pPr>
              <w:spacing w:after="40"/>
            </w:pPr>
            <w:r/>
            <w:r>
              <w:rPr>
                <w:rFonts w:ascii="맑은 고딕" w:hAnsi="맑은 고딕" w:eastAsia="맑은 고딕"/>
                <w:sz w:val="19"/>
              </w:rPr>
              <w:t>게임물</w:t>
            </w:r>
          </w:p>
        </w:tc>
        <w:tc>
          <w:tcPr>
            <w:tcW w:type="dxa" w:w="7824"/>
          </w:tcPr>
          <w:p>
            <w:pPr>
              <w:spacing w:after="40"/>
            </w:pPr>
            <w:r/>
            <w:r>
              <w:rPr>
                <w:rFonts w:ascii="맑은 고딕" w:hAnsi="맑은 고딕" w:eastAsia="맑은 고딕"/>
                <w:sz w:val="19"/>
              </w:rPr>
              <w:t>게임물명, 결정등급, 등급분류일자, 장르, 플랫폼, 등급분류기관(위원회/자체등급분류사업자), 내용정보 세부 항목(선정성, 폭력성, 공포, 언어의 부적절성, 약물, 범죄 및 반사회성, 사행성)</w:t>
            </w:r>
          </w:p>
        </w:tc>
      </w:tr>
      <w:tr>
        <w:tc>
          <w:tcPr>
            <w:tcW w:type="dxa" w:w="1247"/>
          </w:tcPr>
          <w:p>
            <w:pPr>
              <w:spacing w:after="40"/>
            </w:pPr>
            <w:r/>
            <w:r>
              <w:rPr>
                <w:rFonts w:ascii="맑은 고딕" w:hAnsi="맑은 고딕" w:eastAsia="맑은 고딕"/>
                <w:sz w:val="19"/>
              </w:rPr>
              <w:t>영상물</w:t>
            </w:r>
          </w:p>
        </w:tc>
        <w:tc>
          <w:tcPr>
            <w:tcW w:type="dxa" w:w="7824"/>
          </w:tcPr>
          <w:p>
            <w:pPr>
              <w:spacing w:after="40"/>
            </w:pPr>
            <w:r/>
            <w:r>
              <w:rPr>
                <w:rFonts w:ascii="맑은 고딕" w:hAnsi="맑은 고딕" w:eastAsia="맑은 고딕"/>
                <w:sz w:val="19"/>
              </w:rPr>
              <w:t>제명, 관람등급, 등급분류일자, 영상물 유형, 내용정보 세부 항목(주제, 선정성, 폭력성, 공포, 약물, 대사, 모방위험)</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[검증 필요] </w:t>
            </w:r>
            <w:r>
              <w:rPr>
                <w:rFonts w:ascii="맑은 고딕" w:hAnsi="맑은 고딕" w:eastAsia="맑은 고딕"/>
                <w:sz w:val="19"/>
              </w:rPr>
              <w:t>게임물 내용정보 세부 항목의 명칭과 개수는 확정 전이다. 또한 두 API 모두 목록 조회 응답에 내용정보가 포함되는지, 상세 조회를 별도로 호출해야 하는지가 미확인 상태이며, 후자일 경우 수집 호출량이 크게 증가한다. 4.5절 참조.</w:t>
            </w:r>
          </w:p>
        </w:tc>
      </w:tr>
    </w:tbl>
    <w:p>
      <w:pPr>
        <w:spacing w:after="40"/>
      </w:pPr>
    </w:p>
    <w:p>
      <w:pPr>
        <w:pStyle w:val="Heading2"/>
      </w:pPr>
      <w:r>
        <w:rPr>
          <w:rFonts w:ascii="맑은 고딕" w:hAnsi="맑은 고딕" w:eastAsia="맑은 고딕"/>
          <w:b/>
          <w:color w:val="1F3864"/>
          <w:sz w:val="24"/>
        </w:rPr>
        <w:t>4.3 수집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D-1</w:t>
            </w:r>
          </w:p>
        </w:tc>
        <w:tc>
          <w:tcPr>
            <w:tcW w:type="dxa" w:w="8164"/>
          </w:tcPr>
          <w:p>
            <w:pPr>
              <w:spacing w:after="40"/>
            </w:pPr>
            <w:r/>
            <w:r>
              <w:rPr>
                <w:rFonts w:ascii="맑은 고딕" w:hAnsi="맑은 고딕" w:eastAsia="맑은 고딕"/>
                <w:sz w:val="19"/>
              </w:rPr>
              <w:t>원본 응답은 가공 없이 raw 계층에 보존하고, 모든 정제는 raw로부터 재실행 가능해야 한다.</w:t>
            </w:r>
          </w:p>
        </w:tc>
      </w:tr>
      <w:tr>
        <w:tc>
          <w:tcPr>
            <w:tcW w:type="dxa" w:w="907"/>
          </w:tcPr>
          <w:p>
            <w:pPr>
              <w:spacing w:after="40"/>
            </w:pPr>
            <w:r/>
            <w:r>
              <w:rPr>
                <w:rFonts w:ascii="맑은 고딕" w:hAnsi="맑은 고딕" w:eastAsia="맑은 고딕"/>
                <w:sz w:val="19"/>
              </w:rPr>
              <w:t>D-2</w:t>
            </w:r>
          </w:p>
        </w:tc>
        <w:tc>
          <w:tcPr>
            <w:tcW w:type="dxa" w:w="8164"/>
          </w:tcPr>
          <w:p>
            <w:pPr>
              <w:spacing w:after="40"/>
            </w:pPr>
            <w:r/>
            <w:r>
              <w:rPr>
                <w:rFonts w:ascii="맑은 고딕" w:hAnsi="맑은 고딕" w:eastAsia="맑은 고딕"/>
                <w:sz w:val="19"/>
              </w:rPr>
              <w:t>수집 시 요청 파라미터, 수집 일시, 응답 건수를 로그로 기록한다.</w:t>
            </w:r>
          </w:p>
        </w:tc>
      </w:tr>
      <w:tr>
        <w:tc>
          <w:tcPr>
            <w:tcW w:type="dxa" w:w="907"/>
          </w:tcPr>
          <w:p>
            <w:pPr>
              <w:spacing w:after="40"/>
            </w:pPr>
            <w:r/>
            <w:r>
              <w:rPr>
                <w:rFonts w:ascii="맑은 고딕" w:hAnsi="맑은 고딕" w:eastAsia="맑은 고딕"/>
                <w:sz w:val="19"/>
              </w:rPr>
              <w:t>D-3</w:t>
            </w:r>
          </w:p>
        </w:tc>
        <w:tc>
          <w:tcPr>
            <w:tcW w:type="dxa" w:w="8164"/>
          </w:tcPr>
          <w:p>
            <w:pPr>
              <w:spacing w:after="40"/>
            </w:pPr>
            <w:r/>
            <w:r>
              <w:rPr>
                <w:rFonts w:ascii="맑은 고딕" w:hAnsi="맑은 고딕" w:eastAsia="맑은 고딕"/>
                <w:sz w:val="19"/>
              </w:rPr>
              <w:t>수집 중단 시 재개 가능하도록 체크포인트를 유지한다.</w:t>
            </w:r>
          </w:p>
        </w:tc>
      </w:tr>
      <w:tr>
        <w:tc>
          <w:tcPr>
            <w:tcW w:type="dxa" w:w="907"/>
          </w:tcPr>
          <w:p>
            <w:pPr>
              <w:spacing w:after="40"/>
            </w:pPr>
            <w:r/>
            <w:r>
              <w:rPr>
                <w:rFonts w:ascii="맑은 고딕" w:hAnsi="맑은 고딕" w:eastAsia="맑은 고딕"/>
                <w:sz w:val="19"/>
              </w:rPr>
              <w:t>D-4</w:t>
            </w:r>
          </w:p>
        </w:tc>
        <w:tc>
          <w:tcPr>
            <w:tcW w:type="dxa" w:w="8164"/>
          </w:tcPr>
          <w:p>
            <w:pPr>
              <w:spacing w:after="40"/>
            </w:pPr>
            <w:r/>
            <w:r>
              <w:rPr>
                <w:rFonts w:ascii="맑은 고딕" w:hAnsi="맑은 고딕" w:eastAsia="맑은 고딕"/>
                <w:sz w:val="19"/>
              </w:rPr>
              <w:t>API 호출 제한을 준수하며, 요청 간격과 동시 실행 수를 설정으로 조절할 수 있어야 한다.</w:t>
            </w:r>
          </w:p>
        </w:tc>
      </w:tr>
      <w:tr>
        <w:tc>
          <w:tcPr>
            <w:tcW w:type="dxa" w:w="907"/>
          </w:tcPr>
          <w:p>
            <w:pPr>
              <w:spacing w:after="40"/>
            </w:pPr>
            <w:r/>
            <w:r>
              <w:rPr>
                <w:rFonts w:ascii="맑은 고딕" w:hAnsi="맑은 고딕" w:eastAsia="맑은 고딕"/>
                <w:sz w:val="19"/>
              </w:rPr>
              <w:t>D-5</w:t>
            </w:r>
          </w:p>
        </w:tc>
        <w:tc>
          <w:tcPr>
            <w:tcW w:type="dxa" w:w="8164"/>
          </w:tcPr>
          <w:p>
            <w:pPr>
              <w:spacing w:after="40"/>
            </w:pPr>
            <w:r/>
            <w:r>
              <w:rPr>
                <w:rFonts w:ascii="맑은 고딕" w:hAnsi="맑은 고딕" w:eastAsia="맑은 고딕"/>
                <w:sz w:val="19"/>
              </w:rPr>
              <w:t>수집 완료 후 연도별 건수를 대조하여 누락 구간을 점검한다.</w:t>
            </w:r>
          </w:p>
        </w:tc>
      </w:tr>
    </w:tbl>
    <w:p>
      <w:pPr>
        <w:spacing w:after="40"/>
      </w:pPr>
    </w:p>
    <w:p>
      <w:pPr>
        <w:pStyle w:val="Heading2"/>
      </w:pPr>
      <w:r>
        <w:rPr>
          <w:rFonts w:ascii="맑은 고딕" w:hAnsi="맑은 고딕" w:eastAsia="맑은 고딕"/>
          <w:b/>
          <w:color w:val="1F3864"/>
          <w:sz w:val="24"/>
        </w:rPr>
        <w:t>4.4 데이터 정제·통합 규칙</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항목</w:t>
            </w:r>
          </w:p>
        </w:tc>
        <w:tc>
          <w:tcPr>
            <w:tcW w:type="dxa" w:w="7370"/>
            <w:shd w:val="clear" w:fill="DCE3EF"/>
          </w:tcPr>
          <w:p>
            <w:pPr>
              <w:spacing w:after="40"/>
            </w:pPr>
            <w:r/>
            <w:r>
              <w:rPr>
                <w:rFonts w:ascii="맑은 고딕" w:hAnsi="맑은 고딕" w:eastAsia="맑은 고딕"/>
                <w:b/>
                <w:sz w:val="19"/>
              </w:rPr>
              <w:t>규칙</w:t>
            </w:r>
          </w:p>
        </w:tc>
      </w:tr>
      <w:tr>
        <w:tc>
          <w:tcPr>
            <w:tcW w:type="dxa" w:w="1701"/>
          </w:tcPr>
          <w:p>
            <w:pPr>
              <w:spacing w:after="40"/>
            </w:pPr>
            <w:r/>
            <w:r>
              <w:rPr>
                <w:rFonts w:ascii="맑은 고딕" w:hAnsi="맑은 고딕" w:eastAsia="맑은 고딕"/>
                <w:sz w:val="19"/>
              </w:rPr>
              <w:t>매체 구분</w:t>
            </w:r>
          </w:p>
        </w:tc>
        <w:tc>
          <w:tcPr>
            <w:tcW w:type="dxa" w:w="7370"/>
          </w:tcPr>
          <w:p>
            <w:pPr>
              <w:spacing w:after="40"/>
            </w:pPr>
            <w:r/>
            <w:r>
              <w:rPr>
                <w:rFonts w:ascii="맑은 고딕" w:hAnsi="맑은 고딕" w:eastAsia="맑은 고딕"/>
                <w:sz w:val="19"/>
              </w:rPr>
              <w:t>게임물/영상물을 구분하는 변수를 생성한다.</w:t>
            </w:r>
          </w:p>
        </w:tc>
      </w:tr>
      <w:tr>
        <w:tc>
          <w:tcPr>
            <w:tcW w:type="dxa" w:w="1701"/>
          </w:tcPr>
          <w:p>
            <w:pPr>
              <w:spacing w:after="40"/>
            </w:pPr>
            <w:r/>
            <w:r>
              <w:rPr>
                <w:rFonts w:ascii="맑은 고딕" w:hAnsi="맑은 고딕" w:eastAsia="맑은 고딕"/>
                <w:sz w:val="19"/>
              </w:rPr>
              <w:t>연령등급 표준화</w:t>
            </w:r>
          </w:p>
        </w:tc>
        <w:tc>
          <w:tcPr>
            <w:tcW w:type="dxa" w:w="7370"/>
          </w:tcPr>
          <w:p>
            <w:pPr>
              <w:spacing w:after="40"/>
            </w:pPr>
            <w:r/>
            <w:r>
              <w:rPr>
                <w:rFonts w:ascii="맑은 고딕" w:hAnsi="맑은 고딕" w:eastAsia="맑은 고딕"/>
                <w:sz w:val="19"/>
              </w:rPr>
              <w:t>전체이용가 / 12세이용가 / 15세이용가 / 청소년이용불가 4단계로 통일한다. 제한상영가는 별도 표기하되 매체 간 비교 분석에서는 제외한다.</w:t>
            </w:r>
          </w:p>
        </w:tc>
      </w:tr>
      <w:tr>
        <w:tc>
          <w:tcPr>
            <w:tcW w:type="dxa" w:w="1701"/>
          </w:tcPr>
          <w:p>
            <w:pPr>
              <w:spacing w:after="40"/>
            </w:pPr>
            <w:r/>
            <w:r>
              <w:rPr>
                <w:rFonts w:ascii="맑은 고딕" w:hAnsi="맑은 고딕" w:eastAsia="맑은 고딕"/>
                <w:sz w:val="19"/>
              </w:rPr>
              <w:t>기간 변환</w:t>
            </w:r>
          </w:p>
        </w:tc>
        <w:tc>
          <w:tcPr>
            <w:tcW w:type="dxa" w:w="7370"/>
          </w:tcPr>
          <w:p>
            <w:pPr>
              <w:spacing w:after="40"/>
            </w:pPr>
            <w:r/>
            <w:r>
              <w:rPr>
                <w:rFonts w:ascii="맑은 고딕" w:hAnsi="맑은 고딕" w:eastAsia="맑은 고딕"/>
                <w:sz w:val="19"/>
              </w:rPr>
              <w:t>등급분류일자를 연·분기·월 단위 파생 변수로 변환한다.</w:t>
            </w:r>
          </w:p>
        </w:tc>
      </w:tr>
      <w:tr>
        <w:tc>
          <w:tcPr>
            <w:tcW w:type="dxa" w:w="1701"/>
          </w:tcPr>
          <w:p>
            <w:pPr>
              <w:spacing w:after="40"/>
            </w:pPr>
            <w:r/>
            <w:r>
              <w:rPr>
                <w:rFonts w:ascii="맑은 고딕" w:hAnsi="맑은 고딕" w:eastAsia="맑은 고딕"/>
                <w:sz w:val="19"/>
              </w:rPr>
              <w:t>내용정보 매핑</w:t>
            </w:r>
          </w:p>
        </w:tc>
        <w:tc>
          <w:tcPr>
            <w:tcW w:type="dxa" w:w="7370"/>
          </w:tcPr>
          <w:p>
            <w:pPr>
              <w:spacing w:after="40"/>
            </w:pPr>
            <w:r/>
            <w:r>
              <w:rPr>
                <w:rFonts w:ascii="맑은 고딕" w:hAnsi="맑은 고딕" w:eastAsia="맑은 고딕"/>
                <w:sz w:val="19"/>
              </w:rPr>
              <w:t>두 기관 항목 중 비교 가능한 요소를 매핑한다. 매핑표는 코드가 아닌 별도 파일로 관리하고 매핑 근거를 함께 기록한다.</w:t>
            </w:r>
          </w:p>
        </w:tc>
      </w:tr>
      <w:tr>
        <w:tc>
          <w:tcPr>
            <w:tcW w:type="dxa" w:w="1701"/>
          </w:tcPr>
          <w:p>
            <w:pPr>
              <w:spacing w:after="40"/>
            </w:pPr>
            <w:r/>
            <w:r>
              <w:rPr>
                <w:rFonts w:ascii="맑은 고딕" w:hAnsi="맑은 고딕" w:eastAsia="맑은 고딕"/>
                <w:sz w:val="19"/>
              </w:rPr>
              <w:t>척도 정렬</w:t>
            </w:r>
          </w:p>
        </w:tc>
        <w:tc>
          <w:tcPr>
            <w:tcW w:type="dxa" w:w="7370"/>
          </w:tcPr>
          <w:p>
            <w:pPr>
              <w:spacing w:after="40"/>
            </w:pPr>
            <w:r/>
            <w:r>
              <w:rPr>
                <w:rFonts w:ascii="맑은 고딕" w:hAnsi="맑은 고딕" w:eastAsia="맑은 고딕"/>
                <w:sz w:val="19"/>
              </w:rPr>
              <w:t>기관별 척도 단계 수가 다를 경우 순서형 정수로 변환하며, 변환 기준을 문서에 명시한다.</w:t>
            </w:r>
          </w:p>
        </w:tc>
      </w:tr>
      <w:tr>
        <w:tc>
          <w:tcPr>
            <w:tcW w:type="dxa" w:w="1701"/>
          </w:tcPr>
          <w:p>
            <w:pPr>
              <w:spacing w:after="40"/>
            </w:pPr>
            <w:r/>
            <w:r>
              <w:rPr>
                <w:rFonts w:ascii="맑은 고딕" w:hAnsi="맑은 고딕" w:eastAsia="맑은 고딕"/>
                <w:sz w:val="19"/>
              </w:rPr>
              <w:t>중복 처리</w:t>
            </w:r>
          </w:p>
        </w:tc>
        <w:tc>
          <w:tcPr>
            <w:tcW w:type="dxa" w:w="7370"/>
          </w:tcPr>
          <w:p>
            <w:pPr>
              <w:spacing w:after="40"/>
            </w:pPr>
            <w:r/>
            <w:r>
              <w:rPr>
                <w:rFonts w:ascii="맑은 고딕" w:hAnsi="맑은 고딕" w:eastAsia="맑은 고딕"/>
                <w:sz w:val="19"/>
              </w:rPr>
              <w:t>재분류 및 플랫폼별 중복 등록을 식별할 수 있는 키를 설계하고, 중복 정의를 문서화한다.</w:t>
            </w:r>
          </w:p>
        </w:tc>
      </w:tr>
      <w:tr>
        <w:tc>
          <w:tcPr>
            <w:tcW w:type="dxa" w:w="1701"/>
          </w:tcPr>
          <w:p>
            <w:pPr>
              <w:spacing w:after="40"/>
            </w:pPr>
            <w:r/>
            <w:r>
              <w:rPr>
                <w:rFonts w:ascii="맑은 고딕" w:hAnsi="맑은 고딕" w:eastAsia="맑은 고딕"/>
                <w:sz w:val="19"/>
              </w:rPr>
              <w:t>결측 처리</w:t>
            </w:r>
          </w:p>
        </w:tc>
        <w:tc>
          <w:tcPr>
            <w:tcW w:type="dxa" w:w="7370"/>
          </w:tcPr>
          <w:p>
            <w:pPr>
              <w:spacing w:after="40"/>
            </w:pPr>
            <w:r/>
            <w:r>
              <w:rPr>
                <w:rFonts w:ascii="맑은 고딕" w:hAnsi="맑은 고딕" w:eastAsia="맑은 고딕"/>
                <w:sz w:val="19"/>
              </w:rPr>
              <w:t>필드별·등급분류기관별 결측률을 산출한다. 내용정보 결측 건은 분석 대상에서 제외하되 제외 건수와 사유를 리포팅한다.</w:t>
            </w:r>
          </w:p>
        </w:tc>
      </w:tr>
    </w:tbl>
    <w:p>
      <w:pPr>
        <w:spacing w:after="40"/>
      </w:pPr>
    </w:p>
    <w:p>
      <w:pPr>
        <w:spacing w:after="80"/>
      </w:pPr>
      <w:r>
        <w:rPr>
          <w:rFonts w:ascii="맑은 고딕" w:hAnsi="맑은 고딕" w:eastAsia="맑은 고딕"/>
          <w:b/>
          <w:sz w:val="20"/>
        </w:rPr>
        <w:t>내용정보 매핑 방향 (잠정)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fill="DCE3EF"/>
          </w:tcPr>
          <w:p>
            <w:pPr>
              <w:spacing w:after="40"/>
            </w:pPr>
            <w:r/>
            <w:r>
              <w:rPr>
                <w:rFonts w:ascii="맑은 고딕" w:hAnsi="맑은 고딕" w:eastAsia="맑은 고딕"/>
                <w:b/>
                <w:sz w:val="19"/>
              </w:rPr>
              <w:t>구분</w:t>
            </w:r>
          </w:p>
        </w:tc>
        <w:tc>
          <w:tcPr>
            <w:tcW w:type="dxa" w:w="2494"/>
            <w:shd w:val="clear" w:fill="DCE3EF"/>
          </w:tcPr>
          <w:p>
            <w:pPr>
              <w:spacing w:after="40"/>
            </w:pPr>
            <w:r/>
            <w:r>
              <w:rPr>
                <w:rFonts w:ascii="맑은 고딕" w:hAnsi="맑은 고딕" w:eastAsia="맑은 고딕"/>
                <w:b/>
                <w:sz w:val="19"/>
              </w:rPr>
              <w:t>게임물</w:t>
            </w:r>
          </w:p>
        </w:tc>
        <w:tc>
          <w:tcPr>
            <w:tcW w:type="dxa" w:w="2494"/>
            <w:shd w:val="clear" w:fill="DCE3EF"/>
          </w:tcPr>
          <w:p>
            <w:pPr>
              <w:spacing w:after="40"/>
            </w:pPr>
            <w:r/>
            <w:r>
              <w:rPr>
                <w:rFonts w:ascii="맑은 고딕" w:hAnsi="맑은 고딕" w:eastAsia="맑은 고딕"/>
                <w:b/>
                <w:sz w:val="19"/>
              </w:rPr>
              <w:t>영상물</w:t>
            </w:r>
          </w:p>
        </w:tc>
        <w:tc>
          <w:tcPr>
            <w:tcW w:type="dxa" w:w="3061"/>
            <w:shd w:val="clear" w:fill="DCE3EF"/>
          </w:tcPr>
          <w:p>
            <w:pPr>
              <w:spacing w:after="40"/>
            </w:pPr>
            <w:r/>
            <w:r>
              <w:rPr>
                <w:rFonts w:ascii="맑은 고딕" w:hAnsi="맑은 고딕" w:eastAsia="맑은 고딕"/>
                <w:b/>
                <w:sz w:val="19"/>
              </w:rPr>
              <w:t>비고</w:t>
            </w:r>
          </w:p>
        </w:tc>
      </w:tr>
      <w:tr>
        <w:tc>
          <w:tcPr>
            <w:tcW w:type="dxa" w:w="1020"/>
          </w:tcPr>
          <w:p>
            <w:pPr>
              <w:spacing w:after="40"/>
            </w:pPr>
            <w:r/>
            <w:r>
              <w:rPr>
                <w:rFonts w:ascii="맑은 고딕" w:hAnsi="맑은 고딕" w:eastAsia="맑은 고딕"/>
                <w:sz w:val="19"/>
              </w:rPr>
              <w:t>공통</w:t>
            </w:r>
          </w:p>
        </w:tc>
        <w:tc>
          <w:tcPr>
            <w:tcW w:type="dxa" w:w="2494"/>
          </w:tcPr>
          <w:p>
            <w:pPr>
              <w:spacing w:after="40"/>
            </w:pPr>
            <w:r/>
            <w:r>
              <w:rPr>
                <w:rFonts w:ascii="맑은 고딕" w:hAnsi="맑은 고딕" w:eastAsia="맑은 고딕"/>
                <w:sz w:val="19"/>
              </w:rPr>
              <w:t>선정성</w:t>
            </w:r>
          </w:p>
        </w:tc>
        <w:tc>
          <w:tcPr>
            <w:tcW w:type="dxa" w:w="2494"/>
          </w:tcPr>
          <w:p>
            <w:pPr>
              <w:spacing w:after="40"/>
            </w:pPr>
            <w:r/>
            <w:r>
              <w:rPr>
                <w:rFonts w:ascii="맑은 고딕" w:hAnsi="맑은 고딕" w:eastAsia="맑은 고딕"/>
                <w:sz w:val="19"/>
              </w:rPr>
              <w:t>선정성</w:t>
            </w:r>
          </w:p>
        </w:tc>
        <w:tc>
          <w:tcPr>
            <w:tcW w:type="dxa" w:w="3061"/>
          </w:tcPr>
          <w:p>
            <w:pPr>
              <w:spacing w:after="40"/>
            </w:pPr>
            <w:r/>
            <w:r>
              <w:rPr>
                <w:rFonts w:ascii="맑은 고딕" w:hAnsi="맑은 고딕" w:eastAsia="맑은 고딕"/>
                <w:sz w:val="19"/>
              </w:rPr>
              <w:t>직접 대응</w:t>
            </w:r>
          </w:p>
        </w:tc>
      </w:tr>
      <w:tr>
        <w:tc>
          <w:tcPr>
            <w:tcW w:type="dxa" w:w="1020"/>
          </w:tcPr>
          <w:p>
            <w:pPr>
              <w:spacing w:after="40"/>
            </w:pPr>
            <w:r/>
            <w:r>
              <w:rPr>
                <w:rFonts w:ascii="맑은 고딕" w:hAnsi="맑은 고딕" w:eastAsia="맑은 고딕"/>
                <w:sz w:val="19"/>
              </w:rPr>
              <w:t>공통</w:t>
            </w:r>
          </w:p>
        </w:tc>
        <w:tc>
          <w:tcPr>
            <w:tcW w:type="dxa" w:w="2494"/>
          </w:tcPr>
          <w:p>
            <w:pPr>
              <w:spacing w:after="40"/>
            </w:pPr>
            <w:r/>
            <w:r>
              <w:rPr>
                <w:rFonts w:ascii="맑은 고딕" w:hAnsi="맑은 고딕" w:eastAsia="맑은 고딕"/>
                <w:sz w:val="19"/>
              </w:rPr>
              <w:t>폭력성</w:t>
            </w:r>
          </w:p>
        </w:tc>
        <w:tc>
          <w:tcPr>
            <w:tcW w:type="dxa" w:w="2494"/>
          </w:tcPr>
          <w:p>
            <w:pPr>
              <w:spacing w:after="40"/>
            </w:pPr>
            <w:r/>
            <w:r>
              <w:rPr>
                <w:rFonts w:ascii="맑은 고딕" w:hAnsi="맑은 고딕" w:eastAsia="맑은 고딕"/>
                <w:sz w:val="19"/>
              </w:rPr>
              <w:t>폭력성</w:t>
            </w:r>
          </w:p>
        </w:tc>
        <w:tc>
          <w:tcPr>
            <w:tcW w:type="dxa" w:w="3061"/>
          </w:tcPr>
          <w:p>
            <w:pPr>
              <w:spacing w:after="40"/>
            </w:pPr>
            <w:r/>
            <w:r>
              <w:rPr>
                <w:rFonts w:ascii="맑은 고딕" w:hAnsi="맑은 고딕" w:eastAsia="맑은 고딕"/>
                <w:sz w:val="19"/>
              </w:rPr>
              <w:t>직접 대응</w:t>
            </w:r>
          </w:p>
        </w:tc>
      </w:tr>
      <w:tr>
        <w:tc>
          <w:tcPr>
            <w:tcW w:type="dxa" w:w="1020"/>
          </w:tcPr>
          <w:p>
            <w:pPr>
              <w:spacing w:after="40"/>
            </w:pPr>
            <w:r/>
            <w:r>
              <w:rPr>
                <w:rFonts w:ascii="맑은 고딕" w:hAnsi="맑은 고딕" w:eastAsia="맑은 고딕"/>
                <w:sz w:val="19"/>
              </w:rPr>
              <w:t>공통</w:t>
            </w:r>
          </w:p>
        </w:tc>
        <w:tc>
          <w:tcPr>
            <w:tcW w:type="dxa" w:w="2494"/>
          </w:tcPr>
          <w:p>
            <w:pPr>
              <w:spacing w:after="40"/>
            </w:pPr>
            <w:r/>
            <w:r>
              <w:rPr>
                <w:rFonts w:ascii="맑은 고딕" w:hAnsi="맑은 고딕" w:eastAsia="맑은 고딕"/>
                <w:sz w:val="19"/>
              </w:rPr>
              <w:t>공포</w:t>
            </w:r>
          </w:p>
        </w:tc>
        <w:tc>
          <w:tcPr>
            <w:tcW w:type="dxa" w:w="2494"/>
          </w:tcPr>
          <w:p>
            <w:pPr>
              <w:spacing w:after="40"/>
            </w:pPr>
            <w:r/>
            <w:r>
              <w:rPr>
                <w:rFonts w:ascii="맑은 고딕" w:hAnsi="맑은 고딕" w:eastAsia="맑은 고딕"/>
                <w:sz w:val="19"/>
              </w:rPr>
              <w:t>공포</w:t>
            </w:r>
          </w:p>
        </w:tc>
        <w:tc>
          <w:tcPr>
            <w:tcW w:type="dxa" w:w="3061"/>
          </w:tcPr>
          <w:p>
            <w:pPr>
              <w:spacing w:after="40"/>
            </w:pPr>
            <w:r/>
            <w:r>
              <w:rPr>
                <w:rFonts w:ascii="맑은 고딕" w:hAnsi="맑은 고딕" w:eastAsia="맑은 고딕"/>
                <w:sz w:val="19"/>
              </w:rPr>
              <w:t>직접 대응</w:t>
            </w:r>
          </w:p>
        </w:tc>
      </w:tr>
      <w:tr>
        <w:tc>
          <w:tcPr>
            <w:tcW w:type="dxa" w:w="1020"/>
          </w:tcPr>
          <w:p>
            <w:pPr>
              <w:spacing w:after="40"/>
            </w:pPr>
            <w:r/>
            <w:r>
              <w:rPr>
                <w:rFonts w:ascii="맑은 고딕" w:hAnsi="맑은 고딕" w:eastAsia="맑은 고딕"/>
                <w:sz w:val="19"/>
              </w:rPr>
              <w:t>공통</w:t>
            </w:r>
          </w:p>
        </w:tc>
        <w:tc>
          <w:tcPr>
            <w:tcW w:type="dxa" w:w="2494"/>
          </w:tcPr>
          <w:p>
            <w:pPr>
              <w:spacing w:after="40"/>
            </w:pPr>
            <w:r/>
            <w:r>
              <w:rPr>
                <w:rFonts w:ascii="맑은 고딕" w:hAnsi="맑은 고딕" w:eastAsia="맑은 고딕"/>
                <w:sz w:val="19"/>
              </w:rPr>
              <w:t>약물</w:t>
            </w:r>
          </w:p>
        </w:tc>
        <w:tc>
          <w:tcPr>
            <w:tcW w:type="dxa" w:w="2494"/>
          </w:tcPr>
          <w:p>
            <w:pPr>
              <w:spacing w:after="40"/>
            </w:pPr>
            <w:r/>
            <w:r>
              <w:rPr>
                <w:rFonts w:ascii="맑은 고딕" w:hAnsi="맑은 고딕" w:eastAsia="맑은 고딕"/>
                <w:sz w:val="19"/>
              </w:rPr>
              <w:t>약물</w:t>
            </w:r>
          </w:p>
        </w:tc>
        <w:tc>
          <w:tcPr>
            <w:tcW w:type="dxa" w:w="3061"/>
          </w:tcPr>
          <w:p>
            <w:pPr>
              <w:spacing w:after="40"/>
            </w:pPr>
            <w:r/>
            <w:r>
              <w:rPr>
                <w:rFonts w:ascii="맑은 고딕" w:hAnsi="맑은 고딕" w:eastAsia="맑은 고딕"/>
                <w:sz w:val="19"/>
              </w:rPr>
              <w:t>직접 대응</w:t>
            </w:r>
          </w:p>
        </w:tc>
      </w:tr>
      <w:tr>
        <w:tc>
          <w:tcPr>
            <w:tcW w:type="dxa" w:w="1020"/>
          </w:tcPr>
          <w:p>
            <w:pPr>
              <w:spacing w:after="40"/>
            </w:pPr>
            <w:r/>
            <w:r>
              <w:rPr>
                <w:rFonts w:ascii="맑은 고딕" w:hAnsi="맑은 고딕" w:eastAsia="맑은 고딕"/>
                <w:sz w:val="19"/>
              </w:rPr>
              <w:t>유사</w:t>
            </w:r>
          </w:p>
        </w:tc>
        <w:tc>
          <w:tcPr>
            <w:tcW w:type="dxa" w:w="2494"/>
          </w:tcPr>
          <w:p>
            <w:pPr>
              <w:spacing w:after="40"/>
            </w:pPr>
            <w:r/>
            <w:r>
              <w:rPr>
                <w:rFonts w:ascii="맑은 고딕" w:hAnsi="맑은 고딕" w:eastAsia="맑은 고딕"/>
                <w:sz w:val="19"/>
              </w:rPr>
              <w:t>언어의 부적절성</w:t>
            </w:r>
          </w:p>
        </w:tc>
        <w:tc>
          <w:tcPr>
            <w:tcW w:type="dxa" w:w="2494"/>
          </w:tcPr>
          <w:p>
            <w:pPr>
              <w:spacing w:after="40"/>
            </w:pPr>
            <w:r/>
            <w:r>
              <w:rPr>
                <w:rFonts w:ascii="맑은 고딕" w:hAnsi="맑은 고딕" w:eastAsia="맑은 고딕"/>
                <w:sz w:val="19"/>
              </w:rPr>
              <w:t>대사</w:t>
            </w:r>
          </w:p>
        </w:tc>
        <w:tc>
          <w:tcPr>
            <w:tcW w:type="dxa" w:w="3061"/>
          </w:tcPr>
          <w:p>
            <w:pPr>
              <w:spacing w:after="40"/>
            </w:pPr>
            <w:r/>
            <w:r>
              <w:rPr>
                <w:rFonts w:ascii="맑은 고딕" w:hAnsi="맑은 고딕" w:eastAsia="맑은 고딕"/>
                <w:sz w:val="19"/>
              </w:rPr>
              <w:t>개념 범위 차이 있음, 매핑 근거 기록 필요</w:t>
            </w:r>
          </w:p>
        </w:tc>
      </w:tr>
      <w:tr>
        <w:tc>
          <w:tcPr>
            <w:tcW w:type="dxa" w:w="1020"/>
          </w:tcPr>
          <w:p>
            <w:pPr>
              <w:spacing w:after="40"/>
            </w:pPr>
            <w:r/>
            <w:r>
              <w:rPr>
                <w:rFonts w:ascii="맑은 고딕" w:hAnsi="맑은 고딕" w:eastAsia="맑은 고딕"/>
                <w:sz w:val="19"/>
              </w:rPr>
              <w:t>유사</w:t>
            </w:r>
          </w:p>
        </w:tc>
        <w:tc>
          <w:tcPr>
            <w:tcW w:type="dxa" w:w="2494"/>
          </w:tcPr>
          <w:p>
            <w:pPr>
              <w:spacing w:after="40"/>
            </w:pPr>
            <w:r/>
            <w:r>
              <w:rPr>
                <w:rFonts w:ascii="맑은 고딕" w:hAnsi="맑은 고딕" w:eastAsia="맑은 고딕"/>
                <w:sz w:val="19"/>
              </w:rPr>
              <w:t>범죄 및 반사회성</w:t>
            </w:r>
          </w:p>
        </w:tc>
        <w:tc>
          <w:tcPr>
            <w:tcW w:type="dxa" w:w="2494"/>
          </w:tcPr>
          <w:p>
            <w:pPr>
              <w:spacing w:after="40"/>
            </w:pPr>
            <w:r/>
            <w:r>
              <w:rPr>
                <w:rFonts w:ascii="맑은 고딕" w:hAnsi="맑은 고딕" w:eastAsia="맑은 고딕"/>
                <w:sz w:val="19"/>
              </w:rPr>
              <w:t>주제</w:t>
            </w:r>
          </w:p>
        </w:tc>
        <w:tc>
          <w:tcPr>
            <w:tcW w:type="dxa" w:w="3061"/>
          </w:tcPr>
          <w:p>
            <w:pPr>
              <w:spacing w:after="40"/>
            </w:pPr>
            <w:r/>
            <w:r>
              <w:rPr>
                <w:rFonts w:ascii="맑은 고딕" w:hAnsi="맑은 고딕" w:eastAsia="맑은 고딕"/>
                <w:sz w:val="19"/>
              </w:rPr>
              <w:t>대응 관계가 느슨함, 해석 시 유의</w:t>
            </w:r>
          </w:p>
        </w:tc>
      </w:tr>
      <w:tr>
        <w:tc>
          <w:tcPr>
            <w:tcW w:type="dxa" w:w="1020"/>
          </w:tcPr>
          <w:p>
            <w:pPr>
              <w:spacing w:after="40"/>
            </w:pPr>
            <w:r/>
            <w:r>
              <w:rPr>
                <w:rFonts w:ascii="맑은 고딕" w:hAnsi="맑은 고딕" w:eastAsia="맑은 고딕"/>
                <w:sz w:val="19"/>
              </w:rPr>
              <w:t>단독</w:t>
            </w:r>
          </w:p>
        </w:tc>
        <w:tc>
          <w:tcPr>
            <w:tcW w:type="dxa" w:w="2494"/>
          </w:tcPr>
          <w:p>
            <w:pPr>
              <w:spacing w:after="40"/>
            </w:pPr>
            <w:r/>
            <w:r>
              <w:rPr>
                <w:rFonts w:ascii="맑은 고딕" w:hAnsi="맑은 고딕" w:eastAsia="맑은 고딕"/>
                <w:sz w:val="19"/>
              </w:rPr>
              <w:t>사행성</w:t>
            </w:r>
          </w:p>
        </w:tc>
        <w:tc>
          <w:tcPr>
            <w:tcW w:type="dxa" w:w="2494"/>
          </w:tcPr>
          <w:p>
            <w:pPr>
              <w:spacing w:after="40"/>
            </w:pPr>
            <w:r/>
            <w:r>
              <w:rPr>
                <w:rFonts w:ascii="맑은 고딕" w:hAnsi="맑은 고딕" w:eastAsia="맑은 고딕"/>
                <w:sz w:val="19"/>
              </w:rPr>
              <w:t>—</w:t>
            </w:r>
          </w:p>
        </w:tc>
        <w:tc>
          <w:tcPr>
            <w:tcW w:type="dxa" w:w="3061"/>
          </w:tcPr>
          <w:p>
            <w:pPr>
              <w:spacing w:after="40"/>
            </w:pPr>
            <w:r/>
            <w:r>
              <w:rPr>
                <w:rFonts w:ascii="맑은 고딕" w:hAnsi="맑은 고딕" w:eastAsia="맑은 고딕"/>
                <w:sz w:val="19"/>
              </w:rPr>
              <w:t>게임물 전용, 매체 특성 분석 소재로 활용</w:t>
            </w:r>
          </w:p>
        </w:tc>
      </w:tr>
      <w:tr>
        <w:tc>
          <w:tcPr>
            <w:tcW w:type="dxa" w:w="1020"/>
          </w:tcPr>
          <w:p>
            <w:pPr>
              <w:spacing w:after="40"/>
            </w:pPr>
            <w:r/>
            <w:r>
              <w:rPr>
                <w:rFonts w:ascii="맑은 고딕" w:hAnsi="맑은 고딕" w:eastAsia="맑은 고딕"/>
                <w:sz w:val="19"/>
              </w:rPr>
              <w:t>단독</w:t>
            </w:r>
          </w:p>
        </w:tc>
        <w:tc>
          <w:tcPr>
            <w:tcW w:type="dxa" w:w="2494"/>
          </w:tcPr>
          <w:p>
            <w:pPr>
              <w:spacing w:after="40"/>
            </w:pPr>
            <w:r/>
            <w:r>
              <w:rPr>
                <w:rFonts w:ascii="맑은 고딕" w:hAnsi="맑은 고딕" w:eastAsia="맑은 고딕"/>
                <w:sz w:val="19"/>
              </w:rPr>
              <w:t>—</w:t>
            </w:r>
          </w:p>
        </w:tc>
        <w:tc>
          <w:tcPr>
            <w:tcW w:type="dxa" w:w="2494"/>
          </w:tcPr>
          <w:p>
            <w:pPr>
              <w:spacing w:after="40"/>
            </w:pPr>
            <w:r/>
            <w:r>
              <w:rPr>
                <w:rFonts w:ascii="맑은 고딕" w:hAnsi="맑은 고딕" w:eastAsia="맑은 고딕"/>
                <w:sz w:val="19"/>
              </w:rPr>
              <w:t>모방위험</w:t>
            </w:r>
          </w:p>
        </w:tc>
        <w:tc>
          <w:tcPr>
            <w:tcW w:type="dxa" w:w="3061"/>
          </w:tcPr>
          <w:p>
            <w:pPr>
              <w:spacing w:after="40"/>
            </w:pPr>
            <w:r/>
            <w:r>
              <w:rPr>
                <w:rFonts w:ascii="맑은 고딕" w:hAnsi="맑은 고딕" w:eastAsia="맑은 고딕"/>
                <w:sz w:val="19"/>
              </w:rPr>
              <w:t>영상물 전용, 매체 특성 분석 소재로 활용</w:t>
            </w:r>
          </w:p>
        </w:tc>
      </w:tr>
    </w:tbl>
    <w:p>
      <w:pPr>
        <w:spacing w:after="40"/>
      </w:pPr>
    </w:p>
    <w:p>
      <w:pPr>
        <w:pStyle w:val="Heading2"/>
      </w:pPr>
      <w:r>
        <w:rPr>
          <w:rFonts w:ascii="맑은 고딕" w:hAnsi="맑은 고딕" w:eastAsia="맑은 고딕"/>
          <w:b/>
          <w:color w:val="1F3864"/>
          <w:sz w:val="24"/>
        </w:rPr>
        <w:t>4.5 미검증 가정 및 검증 계획</w:t>
      </w:r>
    </w:p>
    <w:p>
      <w:pPr>
        <w:spacing w:after="80"/>
      </w:pPr>
      <w:r>
        <w:rPr>
          <w:rFonts w:ascii="맑은 고딕" w:hAnsi="맑은 고딕" w:eastAsia="맑은 고딕"/>
          <w:b w:val="0"/>
          <w:sz w:val="20"/>
        </w:rPr>
        <w:t>본 문서의 데이터·분석 요구사항은 아래 가정 위에 작성되었다. 착수 직후 검증 단계(0단계)를 통해 확인하며, 결과에 따라 해당 절을 갱신한다.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DCE3EF"/>
          </w:tcPr>
          <w:p>
            <w:pPr>
              <w:spacing w:after="40"/>
            </w:pPr>
            <w:r/>
            <w:r>
              <w:rPr>
                <w:rFonts w:ascii="맑은 고딕" w:hAnsi="맑은 고딕" w:eastAsia="맑은 고딕"/>
                <w:b/>
                <w:sz w:val="19"/>
              </w:rPr>
              <w:t>ID</w:t>
            </w:r>
          </w:p>
        </w:tc>
        <w:tc>
          <w:tcPr>
            <w:tcW w:type="dxa" w:w="2608"/>
            <w:shd w:val="clear" w:fill="DCE3EF"/>
          </w:tcPr>
          <w:p>
            <w:pPr>
              <w:spacing w:after="40"/>
            </w:pPr>
            <w:r/>
            <w:r>
              <w:rPr>
                <w:rFonts w:ascii="맑은 고딕" w:hAnsi="맑은 고딕" w:eastAsia="맑은 고딕"/>
                <w:b/>
                <w:sz w:val="19"/>
              </w:rPr>
              <w:t>가정</w:t>
            </w:r>
          </w:p>
        </w:tc>
        <w:tc>
          <w:tcPr>
            <w:tcW w:type="dxa" w:w="2551"/>
            <w:shd w:val="clear" w:fill="DCE3EF"/>
          </w:tcPr>
          <w:p>
            <w:pPr>
              <w:spacing w:after="40"/>
            </w:pPr>
            <w:r/>
            <w:r>
              <w:rPr>
                <w:rFonts w:ascii="맑은 고딕" w:hAnsi="맑은 고딕" w:eastAsia="맑은 고딕"/>
                <w:b/>
                <w:sz w:val="19"/>
              </w:rPr>
              <w:t>검증 방법</w:t>
            </w:r>
          </w:p>
        </w:tc>
        <w:tc>
          <w:tcPr>
            <w:tcW w:type="dxa" w:w="3175"/>
            <w:shd w:val="clear" w:fill="DCE3EF"/>
          </w:tcPr>
          <w:p>
            <w:pPr>
              <w:spacing w:after="40"/>
            </w:pPr>
            <w:r/>
            <w:r>
              <w:rPr>
                <w:rFonts w:ascii="맑은 고딕" w:hAnsi="맑은 고딕" w:eastAsia="맑은 고딕"/>
                <w:b/>
                <w:sz w:val="19"/>
              </w:rPr>
              <w:t>미충족 시 대응</w:t>
            </w:r>
          </w:p>
        </w:tc>
      </w:tr>
      <w:tr>
        <w:tc>
          <w:tcPr>
            <w:tcW w:type="dxa" w:w="737"/>
          </w:tcPr>
          <w:p>
            <w:pPr>
              <w:spacing w:after="40"/>
            </w:pPr>
            <w:r/>
            <w:r>
              <w:rPr>
                <w:rFonts w:ascii="맑은 고딕" w:hAnsi="맑은 고딕" w:eastAsia="맑은 고딕"/>
                <w:sz w:val="19"/>
              </w:rPr>
              <w:t>A-1</w:t>
            </w:r>
          </w:p>
        </w:tc>
        <w:tc>
          <w:tcPr>
            <w:tcW w:type="dxa" w:w="2608"/>
          </w:tcPr>
          <w:p>
            <w:pPr>
              <w:spacing w:after="40"/>
            </w:pPr>
            <w:r/>
            <w:r>
              <w:rPr>
                <w:rFonts w:ascii="맑은 고딕" w:hAnsi="맑은 고딕" w:eastAsia="맑은 고딕"/>
                <w:sz w:val="19"/>
              </w:rPr>
              <w:t>두 API가 내용정보를 순서형 척도로 제공한다.</w:t>
            </w:r>
          </w:p>
        </w:tc>
        <w:tc>
          <w:tcPr>
            <w:tcW w:type="dxa" w:w="2551"/>
          </w:tcPr>
          <w:p>
            <w:pPr>
              <w:spacing w:after="40"/>
            </w:pPr>
            <w:r/>
            <w:r>
              <w:rPr>
                <w:rFonts w:ascii="맑은 고딕" w:hAnsi="맑은 고딕" w:eastAsia="맑은 고딕"/>
                <w:sz w:val="19"/>
              </w:rPr>
              <w:t>각 API 샘플 10건 호출 후 응답 필드 확인</w:t>
            </w:r>
          </w:p>
        </w:tc>
        <w:tc>
          <w:tcPr>
            <w:tcW w:type="dxa" w:w="3175"/>
          </w:tcPr>
          <w:p>
            <w:pPr>
              <w:spacing w:after="40"/>
            </w:pPr>
            <w:r/>
            <w:r>
              <w:rPr>
                <w:rFonts w:ascii="맑은 고딕" w:hAnsi="맑은 고딕" w:eastAsia="맑은 고딕"/>
                <w:sz w:val="19"/>
              </w:rPr>
              <w:t>플래그 형태일 경우 조합 분석을 보유 여부 기준으로 축소</w:t>
            </w:r>
          </w:p>
        </w:tc>
      </w:tr>
      <w:tr>
        <w:tc>
          <w:tcPr>
            <w:tcW w:type="dxa" w:w="737"/>
          </w:tcPr>
          <w:p>
            <w:pPr>
              <w:spacing w:after="40"/>
            </w:pPr>
            <w:r/>
            <w:r>
              <w:rPr>
                <w:rFonts w:ascii="맑은 고딕" w:hAnsi="맑은 고딕" w:eastAsia="맑은 고딕"/>
                <w:sz w:val="19"/>
              </w:rPr>
              <w:t>A-2</w:t>
            </w:r>
          </w:p>
        </w:tc>
        <w:tc>
          <w:tcPr>
            <w:tcW w:type="dxa" w:w="2608"/>
          </w:tcPr>
          <w:p>
            <w:pPr>
              <w:spacing w:after="40"/>
            </w:pPr>
            <w:r/>
            <w:r>
              <w:rPr>
                <w:rFonts w:ascii="맑은 고딕" w:hAnsi="맑은 고딕" w:eastAsia="맑은 고딕"/>
                <w:sz w:val="19"/>
              </w:rPr>
              <w:t>목록 조회 응답에 내용정보가 포함된다.</w:t>
            </w:r>
          </w:p>
        </w:tc>
        <w:tc>
          <w:tcPr>
            <w:tcW w:type="dxa" w:w="2551"/>
          </w:tcPr>
          <w:p>
            <w:pPr>
              <w:spacing w:after="40"/>
            </w:pPr>
            <w:r/>
            <w:r>
              <w:rPr>
                <w:rFonts w:ascii="맑은 고딕" w:hAnsi="맑은 고딕" w:eastAsia="맑은 고딕"/>
                <w:sz w:val="19"/>
              </w:rPr>
              <w:t>샘플 응답 스키마 확인</w:t>
            </w:r>
          </w:p>
        </w:tc>
        <w:tc>
          <w:tcPr>
            <w:tcW w:type="dxa" w:w="3175"/>
          </w:tcPr>
          <w:p>
            <w:pPr>
              <w:spacing w:after="40"/>
            </w:pPr>
            <w:r/>
            <w:r>
              <w:rPr>
                <w:rFonts w:ascii="맑은 고딕" w:hAnsi="맑은 고딕" w:eastAsia="맑은 고딕"/>
                <w:sz w:val="19"/>
              </w:rPr>
              <w:t>상세 조회 필요 시 대상 기간을 5년으로 축소</w:t>
            </w:r>
          </w:p>
        </w:tc>
      </w:tr>
      <w:tr>
        <w:tc>
          <w:tcPr>
            <w:tcW w:type="dxa" w:w="737"/>
          </w:tcPr>
          <w:p>
            <w:pPr>
              <w:spacing w:after="40"/>
            </w:pPr>
            <w:r/>
            <w:r>
              <w:rPr>
                <w:rFonts w:ascii="맑은 고딕" w:hAnsi="맑은 고딕" w:eastAsia="맑은 고딕"/>
                <w:sz w:val="19"/>
              </w:rPr>
              <w:t>A-3</w:t>
            </w:r>
          </w:p>
        </w:tc>
        <w:tc>
          <w:tcPr>
            <w:tcW w:type="dxa" w:w="2608"/>
          </w:tcPr>
          <w:p>
            <w:pPr>
              <w:spacing w:after="40"/>
            </w:pPr>
            <w:r/>
            <w:r>
              <w:rPr>
                <w:rFonts w:ascii="맑은 고딕" w:hAnsi="맑은 고딕" w:eastAsia="맑은 고딕"/>
                <w:sz w:val="19"/>
              </w:rPr>
              <w:t>대상 기간(2016~2025) 전체 이력이 제공된다.</w:t>
            </w:r>
          </w:p>
        </w:tc>
        <w:tc>
          <w:tcPr>
            <w:tcW w:type="dxa" w:w="2551"/>
          </w:tcPr>
          <w:p>
            <w:pPr>
              <w:spacing w:after="40"/>
            </w:pPr>
            <w:r/>
            <w:r>
              <w:rPr>
                <w:rFonts w:ascii="맑은 고딕" w:hAnsi="맑은 고딕" w:eastAsia="맑은 고딕"/>
                <w:sz w:val="19"/>
              </w:rPr>
              <w:t>API 명세 및 최초 등급분류일자 확인</w:t>
            </w:r>
          </w:p>
        </w:tc>
        <w:tc>
          <w:tcPr>
            <w:tcW w:type="dxa" w:w="3175"/>
          </w:tcPr>
          <w:p>
            <w:pPr>
              <w:spacing w:after="40"/>
            </w:pPr>
            <w:r/>
            <w:r>
              <w:rPr>
                <w:rFonts w:ascii="맑은 고딕" w:hAnsi="맑은 고딕" w:eastAsia="맑은 고딕"/>
                <w:sz w:val="19"/>
              </w:rPr>
              <w:t>제공 범위에 맞춰 기간 재설정</w:t>
            </w:r>
          </w:p>
        </w:tc>
      </w:tr>
      <w:tr>
        <w:tc>
          <w:tcPr>
            <w:tcW w:type="dxa" w:w="737"/>
          </w:tcPr>
          <w:p>
            <w:pPr>
              <w:spacing w:after="40"/>
            </w:pPr>
            <w:r/>
            <w:r>
              <w:rPr>
                <w:rFonts w:ascii="맑은 고딕" w:hAnsi="맑은 고딕" w:eastAsia="맑은 고딕"/>
                <w:sz w:val="19"/>
              </w:rPr>
              <w:t>A-4</w:t>
            </w:r>
          </w:p>
        </w:tc>
        <w:tc>
          <w:tcPr>
            <w:tcW w:type="dxa" w:w="2608"/>
          </w:tcPr>
          <w:p>
            <w:pPr>
              <w:spacing w:after="40"/>
            </w:pPr>
            <w:r/>
            <w:r>
              <w:rPr>
                <w:rFonts w:ascii="맑은 고딕" w:hAnsi="맑은 고딕" w:eastAsia="맑은 고딕"/>
                <w:sz w:val="19"/>
              </w:rPr>
              <w:t>일일 호출 제한 내에서 전량 수집이 가능하다.</w:t>
            </w:r>
          </w:p>
        </w:tc>
        <w:tc>
          <w:tcPr>
            <w:tcW w:type="dxa" w:w="2551"/>
          </w:tcPr>
          <w:p>
            <w:pPr>
              <w:spacing w:after="40"/>
            </w:pPr>
            <w:r/>
            <w:r>
              <w:rPr>
                <w:rFonts w:ascii="맑은 고딕" w:hAnsi="맑은 고딕" w:eastAsia="맑은 고딕"/>
                <w:sz w:val="19"/>
              </w:rPr>
              <w:t>명세상 제한 및 페이징 한도 확인</w:t>
            </w:r>
          </w:p>
        </w:tc>
        <w:tc>
          <w:tcPr>
            <w:tcW w:type="dxa" w:w="3175"/>
          </w:tcPr>
          <w:p>
            <w:pPr>
              <w:spacing w:after="40"/>
            </w:pPr>
            <w:r/>
            <w:r>
              <w:rPr>
                <w:rFonts w:ascii="맑은 고딕" w:hAnsi="맑은 고딕" w:eastAsia="맑은 고딕"/>
                <w:sz w:val="19"/>
              </w:rPr>
              <w:t>수집 일정을 복수일로 분할</w:t>
            </w:r>
          </w:p>
        </w:tc>
      </w:tr>
      <w:tr>
        <w:tc>
          <w:tcPr>
            <w:tcW w:type="dxa" w:w="737"/>
          </w:tcPr>
          <w:p>
            <w:pPr>
              <w:spacing w:after="40"/>
            </w:pPr>
            <w:r/>
            <w:r>
              <w:rPr>
                <w:rFonts w:ascii="맑은 고딕" w:hAnsi="맑은 고딕" w:eastAsia="맑은 고딕"/>
                <w:sz w:val="19"/>
              </w:rPr>
              <w:t>A-5</w:t>
            </w:r>
          </w:p>
        </w:tc>
        <w:tc>
          <w:tcPr>
            <w:tcW w:type="dxa" w:w="2608"/>
          </w:tcPr>
          <w:p>
            <w:pPr>
              <w:spacing w:after="40"/>
            </w:pPr>
            <w:r/>
            <w:r>
              <w:rPr>
                <w:rFonts w:ascii="맑은 고딕" w:hAnsi="맑은 고딕" w:eastAsia="맑은 고딕"/>
                <w:sz w:val="19"/>
              </w:rPr>
              <w:t>자체등급분류 건에도 내용정보가 존재한다.</w:t>
            </w:r>
          </w:p>
        </w:tc>
        <w:tc>
          <w:tcPr>
            <w:tcW w:type="dxa" w:w="2551"/>
          </w:tcPr>
          <w:p>
            <w:pPr>
              <w:spacing w:after="40"/>
            </w:pPr>
            <w:r/>
            <w:r>
              <w:rPr>
                <w:rFonts w:ascii="맑은 고딕" w:hAnsi="맑은 고딕" w:eastAsia="맑은 고딕"/>
                <w:sz w:val="19"/>
              </w:rPr>
              <w:t>등급분류기관별 결측률 산출</w:t>
            </w:r>
          </w:p>
        </w:tc>
        <w:tc>
          <w:tcPr>
            <w:tcW w:type="dxa" w:w="3175"/>
          </w:tcPr>
          <w:p>
            <w:pPr>
              <w:spacing w:after="40"/>
            </w:pPr>
            <w:r/>
            <w:r>
              <w:rPr>
                <w:rFonts w:ascii="맑은 고딕" w:hAnsi="맑은 고딕" w:eastAsia="맑은 고딕"/>
                <w:sz w:val="19"/>
              </w:rPr>
              <w:t>결측 시 해당 분석 축(3축 중 ③)을 위원회 분류 건으로 한정</w:t>
            </w:r>
          </w:p>
        </w:tc>
      </w:tr>
    </w:tbl>
    <w:p>
      <w:pPr>
        <w:spacing w:after="40"/>
      </w:pPr>
    </w:p>
    <w:p>
      <w:pPr>
        <w:pStyle w:val="Heading1"/>
      </w:pPr>
      <w:r>
        <w:rPr>
          <w:rFonts w:ascii="맑은 고딕" w:hAnsi="맑은 고딕" w:eastAsia="맑은 고딕"/>
          <w:b/>
          <w:color w:val="1F3864"/>
          <w:sz w:val="30"/>
        </w:rPr>
        <w:t>5. 분석 요구사항</w:t>
      </w:r>
    </w:p>
    <w:p>
      <w:pPr>
        <w:pStyle w:val="Heading2"/>
      </w:pPr>
      <w:r>
        <w:rPr>
          <w:rFonts w:ascii="맑은 고딕" w:hAnsi="맑은 고딕" w:eastAsia="맑은 고딕"/>
          <w:b/>
          <w:color w:val="1F3864"/>
          <w:sz w:val="24"/>
        </w:rPr>
        <w:t>5.1 분석 단계</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단계</w:t>
            </w:r>
          </w:p>
        </w:tc>
        <w:tc>
          <w:tcPr>
            <w:tcW w:type="dxa" w:w="7370"/>
            <w:shd w:val="clear" w:fill="DCE3EF"/>
          </w:tcPr>
          <w:p>
            <w:pPr>
              <w:spacing w:after="40"/>
            </w:pPr>
            <w:r/>
            <w:r>
              <w:rPr>
                <w:rFonts w:ascii="맑은 고딕" w:hAnsi="맑은 고딕" w:eastAsia="맑은 고딕"/>
                <w:b/>
                <w:sz w:val="19"/>
              </w:rPr>
              <w:t>분석 내용</w:t>
            </w:r>
          </w:p>
        </w:tc>
      </w:tr>
      <w:tr>
        <w:tc>
          <w:tcPr>
            <w:tcW w:type="dxa" w:w="1701"/>
          </w:tcPr>
          <w:p>
            <w:pPr>
              <w:spacing w:after="40"/>
            </w:pPr>
            <w:r/>
            <w:r>
              <w:rPr>
                <w:rFonts w:ascii="맑은 고딕" w:hAnsi="맑은 고딕" w:eastAsia="맑은 고딕"/>
                <w:sz w:val="19"/>
              </w:rPr>
              <w:t>1단계</w:t>
              <w:br/>
              <w:t>현황 분석</w:t>
            </w:r>
          </w:p>
        </w:tc>
        <w:tc>
          <w:tcPr>
            <w:tcW w:type="dxa" w:w="7370"/>
          </w:tcPr>
          <w:p>
            <w:pPr>
              <w:spacing w:after="40"/>
            </w:pPr>
            <w:r/>
            <w:r>
              <w:rPr>
                <w:rFonts w:ascii="맑은 고딕" w:hAnsi="맑은 고딕" w:eastAsia="맑은 고딕"/>
                <w:sz w:val="19"/>
              </w:rPr>
              <w:t>전체/12세/15세/청소년이용불가 등급 구성 비교 / 게임·영상물 연령등급 분포 비교 / 연도별 청소년 이용 제한 비율 변화 / 게임 장르 및 영상물 유형별 등급 차이</w:t>
            </w:r>
          </w:p>
        </w:tc>
      </w:tr>
      <w:tr>
        <w:tc>
          <w:tcPr>
            <w:tcW w:type="dxa" w:w="1701"/>
          </w:tcPr>
          <w:p>
            <w:pPr>
              <w:spacing w:after="40"/>
            </w:pPr>
            <w:r/>
            <w:r>
              <w:rPr>
                <w:rFonts w:ascii="맑은 고딕" w:hAnsi="맑은 고딕" w:eastAsia="맑은 고딕"/>
                <w:sz w:val="19"/>
              </w:rPr>
              <w:t>2단계</w:t>
              <w:br/>
              <w:t>내용정보 분석</w:t>
            </w:r>
          </w:p>
        </w:tc>
        <w:tc>
          <w:tcPr>
            <w:tcW w:type="dxa" w:w="7370"/>
          </w:tcPr>
          <w:p>
            <w:pPr>
              <w:spacing w:after="40"/>
            </w:pPr>
            <w:r/>
            <w:r>
              <w:rPr>
                <w:rFonts w:ascii="맑은 고딕" w:hAnsi="맑은 고딕" w:eastAsia="맑은 고딕"/>
                <w:sz w:val="19"/>
              </w:rPr>
              <w:t>청소년 이용 제한 등급에서 빈도가 높은 내용요소 탐색 / 등급별 내용정보 수준 차이 / 동일 내용요소가 매체별로 등급에 미치는 영향 비교 / 복수 요소 동시 발생 콘텐츠의 등급 분포</w:t>
            </w:r>
          </w:p>
        </w:tc>
      </w:tr>
      <w:tr>
        <w:tc>
          <w:tcPr>
            <w:tcW w:type="dxa" w:w="1701"/>
          </w:tcPr>
          <w:p>
            <w:pPr>
              <w:spacing w:after="40"/>
            </w:pPr>
            <w:r/>
            <w:r>
              <w:rPr>
                <w:rFonts w:ascii="맑은 고딕" w:hAnsi="맑은 고딕" w:eastAsia="맑은 고딕"/>
                <w:sz w:val="19"/>
              </w:rPr>
              <w:t>3단계</w:t>
              <w:br/>
              <w:t>부적합 특성 탐색</w:t>
            </w:r>
          </w:p>
        </w:tc>
        <w:tc>
          <w:tcPr>
            <w:tcW w:type="dxa" w:w="7370"/>
          </w:tcPr>
          <w:p>
            <w:pPr>
              <w:spacing w:after="40"/>
            </w:pPr>
            <w:r/>
            <w:r>
              <w:rPr>
                <w:rFonts w:ascii="맑은 고딕" w:hAnsi="맑은 고딕" w:eastAsia="맑은 고딕"/>
                <w:sz w:val="19"/>
              </w:rPr>
              <w:t>5.4절 핵심 분석 3축을 통해 매체를 가로지르는 공통 요인과 매체별 차이를 규명</w:t>
            </w:r>
          </w:p>
        </w:tc>
      </w:tr>
    </w:tbl>
    <w:p>
      <w:pPr>
        <w:spacing w:after="40"/>
      </w:pPr>
    </w:p>
    <w:p>
      <w:pPr>
        <w:pStyle w:val="Heading2"/>
      </w:pPr>
      <w:r>
        <w:rPr>
          <w:rFonts w:ascii="맑은 고딕" w:hAnsi="맑은 고딕" w:eastAsia="맑은 고딕"/>
          <w:b/>
          <w:color w:val="1F3864"/>
          <w:sz w:val="24"/>
        </w:rPr>
        <w:t>5.2 핵심 분석 질문</w:t>
      </w:r>
    </w:p>
    <w:p>
      <w:pPr>
        <w:pStyle w:val="ListBullet"/>
        <w:spacing w:after="40"/>
        <w:ind w:left="340"/>
      </w:pPr>
      <w:r>
        <w:rPr>
          <w:rFonts w:ascii="맑은 고딕" w:hAnsi="맑은 고딕" w:eastAsia="맑은 고딕"/>
          <w:sz w:val="20"/>
        </w:rPr>
        <w:t>Q1. 청소년 이용 제한 등급에서 가장 많이 나타나는 내용요소는 무엇인가?</w:t>
      </w:r>
    </w:p>
    <w:p>
      <w:pPr>
        <w:pStyle w:val="ListBullet"/>
        <w:spacing w:after="40"/>
        <w:ind w:left="340"/>
      </w:pPr>
      <w:r>
        <w:rPr>
          <w:rFonts w:ascii="맑은 고딕" w:hAnsi="맑은 고딕" w:eastAsia="맑은 고딕"/>
          <w:sz w:val="20"/>
        </w:rPr>
        <w:t>Q2. 게임과 영상물의 주요 유해요소에는 차이가 있는가?</w:t>
      </w:r>
    </w:p>
    <w:p>
      <w:pPr>
        <w:pStyle w:val="ListBullet"/>
        <w:spacing w:after="40"/>
        <w:ind w:left="340"/>
      </w:pPr>
      <w:r>
        <w:rPr>
          <w:rFonts w:ascii="맑은 고딕" w:hAnsi="맑은 고딕" w:eastAsia="맑은 고딕"/>
          <w:sz w:val="20"/>
        </w:rPr>
        <w:t>Q3. 특정 내용요소 조합에서 청소년 이용 제한 비율이 크게 증가하는가?</w:t>
      </w:r>
    </w:p>
    <w:p>
      <w:pPr>
        <w:pStyle w:val="ListBullet"/>
        <w:spacing w:after="40"/>
        <w:ind w:left="340"/>
      </w:pPr>
      <w:r>
        <w:rPr>
          <w:rFonts w:ascii="맑은 고딕" w:hAnsi="맑은 고딕" w:eastAsia="맑은 고딕"/>
          <w:sz w:val="20"/>
        </w:rPr>
        <w:t>Q4. 12세 → 15세 → 청소년이용불가로 올라갈수록 내용정보는 어떻게 변화하는가?</w:t>
      </w:r>
    </w:p>
    <w:p>
      <w:pPr>
        <w:pStyle w:val="ListBullet"/>
        <w:spacing w:after="40"/>
        <w:ind w:left="340"/>
      </w:pPr>
      <w:r>
        <w:rPr>
          <w:rFonts w:ascii="맑은 고딕" w:hAnsi="맑은 고딕" w:eastAsia="맑은 고딕"/>
          <w:sz w:val="20"/>
        </w:rPr>
        <w:t>Q5. 매체가 달라도 청소년 이용 제한과 반복적으로 함께 나타나는 공통 요인이 존재하는가?</w:t>
      </w:r>
    </w:p>
    <w:p>
      <w:pPr>
        <w:pStyle w:val="Heading2"/>
      </w:pPr>
      <w:r>
        <w:rPr>
          <w:rFonts w:ascii="맑은 고딕" w:hAnsi="맑은 고딕" w:eastAsia="맑은 고딕"/>
          <w:b/>
          <w:color w:val="1F3864"/>
          <w:sz w:val="24"/>
        </w:rPr>
        <w:t>5.3 분석 설계상 유의사항</w:t>
      </w:r>
    </w:p>
    <w:p>
      <w:pPr>
        <w:spacing w:after="80"/>
      </w:pPr>
      <w:r>
        <w:rPr>
          <w:rFonts w:ascii="맑은 고딕" w:hAnsi="맑은 고딕" w:eastAsia="맑은 고딕"/>
          <w:b/>
          <w:sz w:val="20"/>
        </w:rPr>
        <w:t>본 주제는 두 가지 구조적 함정을 안고 있으며, 이를 통제하지 않으면 분석 결과가 자명한 결론에 그친다.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1 — 순환 논리] </w:t>
            </w:r>
            <w:r>
              <w:rPr>
                <w:rFonts w:ascii="맑은 고딕" w:hAnsi="맑은 고딕" w:eastAsia="맑은 고딕"/>
                <w:sz w:val="19"/>
              </w:rPr>
              <w:t>연령등급은 내용정보를 근거로 결정된다. 따라서 '폭력성이 높으면 청소년이용불가 비율이 높다'는 결과는 발견이 아니라 제도 설계의 재확인에 불과하다. 단일 내용요소와 등급의 관계를 기술하는 데 그치지 않고, 5.4절의 세 축을 통해 제도만으로 설명되지 않는 부분을 분리해야 한다.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2 — 구성 변화 효과] </w:t>
            </w:r>
            <w:r>
              <w:rPr>
                <w:rFonts w:ascii="맑은 고딕" w:hAnsi="맑은 고딕" w:eastAsia="맑은 고딕"/>
                <w:sz w:val="19"/>
              </w:rPr>
              <w:t>게임 분야는 자체등급분류 물량이 특정 시점부터 급증한다. 이를 통제하지 않고 연도별 추이를 산출하면 실제 심의 경향 변화가 아니라 분류 주체 구성 변화가 추세로 오독된다. 연도별 분석은 반드시 등급분류기관별로 층화하거나 분모 구성 변화를 함께 제시한다.</w:t>
            </w:r>
          </w:p>
        </w:tc>
      </w:tr>
    </w:tbl>
    <w:p>
      <w:pPr>
        <w:spacing w:after="40"/>
      </w:pPr>
    </w:p>
    <w:p>
      <w:pPr>
        <w:pStyle w:val="Heading2"/>
      </w:pPr>
      <w:r>
        <w:rPr>
          <w:rFonts w:ascii="맑은 고딕" w:hAnsi="맑은 고딕" w:eastAsia="맑은 고딕"/>
          <w:b/>
          <w:color w:val="1F3864"/>
          <w:sz w:val="24"/>
        </w:rPr>
        <w:t>5.4 핵심 분석 3축</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축</w:t>
            </w:r>
          </w:p>
        </w:tc>
        <w:tc>
          <w:tcPr>
            <w:tcW w:type="dxa" w:w="3855"/>
            <w:shd w:val="clear" w:fill="DCE3EF"/>
          </w:tcPr>
          <w:p>
            <w:pPr>
              <w:spacing w:after="40"/>
            </w:pPr>
            <w:r/>
            <w:r>
              <w:rPr>
                <w:rFonts w:ascii="맑은 고딕" w:hAnsi="맑은 고딕" w:eastAsia="맑은 고딕"/>
                <w:b/>
                <w:sz w:val="19"/>
              </w:rPr>
              <w:t>분석 내용</w:t>
            </w:r>
          </w:p>
        </w:tc>
        <w:tc>
          <w:tcPr>
            <w:tcW w:type="dxa" w:w="3402"/>
            <w:shd w:val="clear" w:fill="DCE3EF"/>
          </w:tcPr>
          <w:p>
            <w:pPr>
              <w:spacing w:after="40"/>
            </w:pPr>
            <w:r/>
            <w:r>
              <w:rPr>
                <w:rFonts w:ascii="맑은 고딕" w:hAnsi="맑은 고딕" w:eastAsia="맑은 고딕"/>
                <w:b/>
                <w:sz w:val="19"/>
              </w:rPr>
              <w:t>기대 산출</w:t>
            </w:r>
          </w:p>
        </w:tc>
      </w:tr>
      <w:tr>
        <w:tc>
          <w:tcPr>
            <w:tcW w:type="dxa" w:w="1814"/>
          </w:tcPr>
          <w:p>
            <w:pPr>
              <w:spacing w:after="40"/>
            </w:pPr>
            <w:r/>
            <w:r>
              <w:rPr>
                <w:rFonts w:ascii="맑은 고딕" w:hAnsi="맑은 고딕" w:eastAsia="맑은 고딕"/>
                <w:sz w:val="19"/>
              </w:rPr>
              <w:t>① 매체 간 판정 차이</w:t>
            </w:r>
          </w:p>
        </w:tc>
        <w:tc>
          <w:tcPr>
            <w:tcW w:type="dxa" w:w="3855"/>
          </w:tcPr>
          <w:p>
            <w:pPr>
              <w:spacing w:after="40"/>
            </w:pPr>
            <w:r/>
            <w:r>
              <w:rPr>
                <w:rFonts w:ascii="맑은 고딕" w:hAnsi="맑은 고딕" w:eastAsia="맑은 고딕"/>
                <w:sz w:val="19"/>
              </w:rPr>
              <w:t>동일한 내용 프로필(예: 폭력성 높음, 나머지 보통)을 가진 콘텐츠의 매체별 등급 분포 비교</w:t>
            </w:r>
          </w:p>
        </w:tc>
        <w:tc>
          <w:tcPr>
            <w:tcW w:type="dxa" w:w="3402"/>
          </w:tcPr>
          <w:p>
            <w:pPr>
              <w:spacing w:after="40"/>
            </w:pPr>
            <w:r/>
            <w:r>
              <w:rPr>
                <w:rFonts w:ascii="맑은 고딕" w:hAnsi="맑은 고딕" w:eastAsia="맑은 고딕"/>
                <w:sz w:val="19"/>
              </w:rPr>
              <w:t>같은 내용 수준이 매체에 따라 다른 등급으로 이어지는지에 대한 정량 근거</w:t>
            </w:r>
          </w:p>
        </w:tc>
      </w:tr>
      <w:tr>
        <w:tc>
          <w:tcPr>
            <w:tcW w:type="dxa" w:w="1814"/>
          </w:tcPr>
          <w:p>
            <w:pPr>
              <w:spacing w:after="40"/>
            </w:pPr>
            <w:r/>
            <w:r>
              <w:rPr>
                <w:rFonts w:ascii="맑은 고딕" w:hAnsi="맑은 고딕" w:eastAsia="맑은 고딕"/>
                <w:sz w:val="19"/>
              </w:rPr>
              <w:t>② 내용요소 조합 효과</w:t>
            </w:r>
          </w:p>
        </w:tc>
        <w:tc>
          <w:tcPr>
            <w:tcW w:type="dxa" w:w="3855"/>
          </w:tcPr>
          <w:p>
            <w:pPr>
              <w:spacing w:after="40"/>
            </w:pPr>
            <w:r/>
            <w:r>
              <w:rPr>
                <w:rFonts w:ascii="맑은 고딕" w:hAnsi="맑은 고딕" w:eastAsia="맑은 고딕"/>
                <w:sz w:val="19"/>
              </w:rPr>
              <w:t>단일 요소 최고값만으로 등급을 설명하는 기준선 대비, 요소 조합을 고려했을 때의 설명력 증분 측정</w:t>
            </w:r>
          </w:p>
        </w:tc>
        <w:tc>
          <w:tcPr>
            <w:tcW w:type="dxa" w:w="3402"/>
          </w:tcPr>
          <w:p>
            <w:pPr>
              <w:spacing w:after="40"/>
            </w:pPr>
            <w:r/>
            <w:r>
              <w:rPr>
                <w:rFonts w:ascii="맑은 고딕" w:hAnsi="맑은 고딕" w:eastAsia="맑은 고딕"/>
                <w:sz w:val="19"/>
              </w:rPr>
              <w:t>특정 조합에서 청소년 이용 제한 비율이 비선형적으로 상승하는 구간 식별</w:t>
            </w:r>
          </w:p>
        </w:tc>
      </w:tr>
      <w:tr>
        <w:tc>
          <w:tcPr>
            <w:tcW w:type="dxa" w:w="1814"/>
          </w:tcPr>
          <w:p>
            <w:pPr>
              <w:spacing w:after="40"/>
            </w:pPr>
            <w:r/>
            <w:r>
              <w:rPr>
                <w:rFonts w:ascii="맑은 고딕" w:hAnsi="맑은 고딕" w:eastAsia="맑은 고딕"/>
                <w:sz w:val="19"/>
              </w:rPr>
              <w:t>③ 등급분류기관 간 차이</w:t>
            </w:r>
          </w:p>
        </w:tc>
        <w:tc>
          <w:tcPr>
            <w:tcW w:type="dxa" w:w="3855"/>
          </w:tcPr>
          <w:p>
            <w:pPr>
              <w:spacing w:after="40"/>
            </w:pPr>
            <w:r/>
            <w:r>
              <w:rPr>
                <w:rFonts w:ascii="맑은 고딕" w:hAnsi="맑은 고딕" w:eastAsia="맑은 고딕"/>
                <w:sz w:val="19"/>
              </w:rPr>
              <w:t>동일 내용 수준에서 위원회 직접분류와 자체등급분류사업자 분류의 판정 결과 비교</w:t>
            </w:r>
          </w:p>
        </w:tc>
        <w:tc>
          <w:tcPr>
            <w:tcW w:type="dxa" w:w="3402"/>
          </w:tcPr>
          <w:p>
            <w:pPr>
              <w:spacing w:after="40"/>
            </w:pPr>
            <w:r/>
            <w:r>
              <w:rPr>
                <w:rFonts w:ascii="맑은 고딕" w:hAnsi="맑은 고딕" w:eastAsia="맑은 고딕"/>
                <w:sz w:val="19"/>
              </w:rPr>
              <w:t>분류 주체에 따른 판정 경향 차이 유무</w:t>
            </w:r>
          </w:p>
        </w:tc>
      </w:tr>
    </w:tbl>
    <w:p>
      <w:pPr>
        <w:spacing w:after="40"/>
      </w:pPr>
    </w:p>
    <w:p>
      <w:pPr>
        <w:pStyle w:val="Heading1"/>
      </w:pPr>
      <w:r>
        <w:rPr>
          <w:rFonts w:ascii="맑은 고딕" w:hAnsi="맑은 고딕" w:eastAsia="맑은 고딕"/>
          <w:b/>
          <w:color w:val="1F3864"/>
          <w:sz w:val="30"/>
        </w:rPr>
        <w:t>6. 대시보드 기능 요구사항</w:t>
      </w:r>
    </w:p>
    <w:p>
      <w:pPr>
        <w:pStyle w:val="Heading2"/>
      </w:pPr>
      <w:r>
        <w:rPr>
          <w:rFonts w:ascii="맑은 고딕" w:hAnsi="맑은 고딕" w:eastAsia="맑은 고딕"/>
          <w:b/>
          <w:color w:val="1F3864"/>
          <w:sz w:val="24"/>
        </w:rPr>
        <w:t>6.1 화면 구성</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val="clear" w:fill="DCE3EF"/>
          </w:tcPr>
          <w:p>
            <w:pPr>
              <w:spacing w:after="40"/>
            </w:pPr>
            <w:r/>
            <w:r>
              <w:rPr>
                <w:rFonts w:ascii="맑은 고딕" w:hAnsi="맑은 고딕" w:eastAsia="맑은 고딕"/>
                <w:b/>
                <w:sz w:val="19"/>
              </w:rPr>
              <w:t>탭</w:t>
            </w:r>
          </w:p>
        </w:tc>
        <w:tc>
          <w:tcPr>
            <w:tcW w:type="dxa" w:w="1928"/>
            <w:shd w:val="clear" w:fill="DCE3EF"/>
          </w:tcPr>
          <w:p>
            <w:pPr>
              <w:spacing w:after="40"/>
            </w:pPr>
            <w:r/>
            <w:r>
              <w:rPr>
                <w:rFonts w:ascii="맑은 고딕" w:hAnsi="맑은 고딕" w:eastAsia="맑은 고딕"/>
                <w:b/>
                <w:sz w:val="19"/>
              </w:rPr>
              <w:t>목적</w:t>
            </w:r>
          </w:p>
        </w:tc>
        <w:tc>
          <w:tcPr>
            <w:tcW w:type="dxa" w:w="5556"/>
            <w:shd w:val="clear" w:fill="DCE3EF"/>
          </w:tcPr>
          <w:p>
            <w:pPr>
              <w:spacing w:after="40"/>
            </w:pPr>
            <w:r/>
            <w:r>
              <w:rPr>
                <w:rFonts w:ascii="맑은 고딕" w:hAnsi="맑은 고딕" w:eastAsia="맑은 고딕"/>
                <w:b/>
                <w:sz w:val="19"/>
              </w:rPr>
              <w:t>주요 구성 요소</w:t>
            </w:r>
          </w:p>
        </w:tc>
      </w:tr>
      <w:tr>
        <w:tc>
          <w:tcPr>
            <w:tcW w:type="dxa" w:w="1587"/>
          </w:tcPr>
          <w:p>
            <w:pPr>
              <w:spacing w:after="40"/>
            </w:pPr>
            <w:r/>
            <w:r>
              <w:rPr>
                <w:rFonts w:ascii="맑은 고딕" w:hAnsi="맑은 고딕" w:eastAsia="맑은 고딕"/>
                <w:sz w:val="19"/>
              </w:rPr>
              <w:t>Overview</w:t>
            </w:r>
          </w:p>
        </w:tc>
        <w:tc>
          <w:tcPr>
            <w:tcW w:type="dxa" w:w="1928"/>
          </w:tcPr>
          <w:p>
            <w:pPr>
              <w:spacing w:after="40"/>
            </w:pPr>
            <w:r/>
            <w:r>
              <w:rPr>
                <w:rFonts w:ascii="맑은 고딕" w:hAnsi="맑은 고딕" w:eastAsia="맑은 고딕"/>
                <w:sz w:val="19"/>
              </w:rPr>
              <w:t>전체 현황 파악</w:t>
            </w:r>
          </w:p>
        </w:tc>
        <w:tc>
          <w:tcPr>
            <w:tcW w:type="dxa" w:w="5556"/>
          </w:tcPr>
          <w:p>
            <w:pPr>
              <w:spacing w:after="40"/>
            </w:pPr>
            <w:r/>
            <w:r>
              <w:rPr>
                <w:rFonts w:ascii="맑은 고딕" w:hAnsi="맑은 고딕" w:eastAsia="맑은 고딕"/>
                <w:sz w:val="19"/>
              </w:rPr>
              <w:t>전체 콘텐츠 수 / 게임·영상물 분포 / 연령등급 구성비 / 청소년 이용 제한 비율 / 기간별 등급 변화</w:t>
            </w:r>
          </w:p>
        </w:tc>
      </w:tr>
      <w:tr>
        <w:tc>
          <w:tcPr>
            <w:tcW w:type="dxa" w:w="1587"/>
          </w:tcPr>
          <w:p>
            <w:pPr>
              <w:spacing w:after="40"/>
            </w:pPr>
            <w:r/>
            <w:r>
              <w:rPr>
                <w:rFonts w:ascii="맑은 고딕" w:hAnsi="맑은 고딕" w:eastAsia="맑은 고딕"/>
                <w:sz w:val="19"/>
              </w:rPr>
              <w:t>Rating</w:t>
              <w:br/>
              <w:t>Comparison</w:t>
            </w:r>
          </w:p>
        </w:tc>
        <w:tc>
          <w:tcPr>
            <w:tcW w:type="dxa" w:w="1928"/>
          </w:tcPr>
          <w:p>
            <w:pPr>
              <w:spacing w:after="40"/>
            </w:pPr>
            <w:r/>
            <w:r>
              <w:rPr>
                <w:rFonts w:ascii="맑은 고딕" w:hAnsi="맑은 고딕" w:eastAsia="맑은 고딕"/>
                <w:sz w:val="19"/>
              </w:rPr>
              <w:t>매체 간 등급 비교</w:t>
            </w:r>
          </w:p>
        </w:tc>
        <w:tc>
          <w:tcPr>
            <w:tcW w:type="dxa" w:w="5556"/>
          </w:tcPr>
          <w:p>
            <w:pPr>
              <w:spacing w:after="40"/>
            </w:pPr>
            <w:r/>
            <w:r>
              <w:rPr>
                <w:rFonts w:ascii="맑은 고딕" w:hAnsi="맑은 고딕" w:eastAsia="맑은 고딕"/>
                <w:sz w:val="19"/>
              </w:rPr>
              <w:t>게임 vs 영상물 연령등급 비교 / 연도별 등급 분포 / 매체별 청소년 이용 제한 비율 / 장르·유형별 차이</w:t>
            </w:r>
          </w:p>
        </w:tc>
      </w:tr>
      <w:tr>
        <w:tc>
          <w:tcPr>
            <w:tcW w:type="dxa" w:w="1587"/>
          </w:tcPr>
          <w:p>
            <w:pPr>
              <w:spacing w:after="40"/>
            </w:pPr>
            <w:r/>
            <w:r>
              <w:rPr>
                <w:rFonts w:ascii="맑은 고딕" w:hAnsi="맑은 고딕" w:eastAsia="맑은 고딕"/>
                <w:sz w:val="19"/>
              </w:rPr>
              <w:t>Content Factor</w:t>
            </w:r>
          </w:p>
        </w:tc>
        <w:tc>
          <w:tcPr>
            <w:tcW w:type="dxa" w:w="1928"/>
          </w:tcPr>
          <w:p>
            <w:pPr>
              <w:spacing w:after="40"/>
            </w:pPr>
            <w:r/>
            <w:r>
              <w:rPr>
                <w:rFonts w:ascii="맑은 고딕" w:hAnsi="맑은 고딕" w:eastAsia="맑은 고딕"/>
                <w:sz w:val="19"/>
              </w:rPr>
              <w:t>내용요소 분포 확인</w:t>
            </w:r>
          </w:p>
        </w:tc>
        <w:tc>
          <w:tcPr>
            <w:tcW w:type="dxa" w:w="5556"/>
          </w:tcPr>
          <w:p>
            <w:pPr>
              <w:spacing w:after="40"/>
            </w:pPr>
            <w:r/>
            <w:r>
              <w:rPr>
                <w:rFonts w:ascii="맑은 고딕" w:hAnsi="맑은 고딕" w:eastAsia="맑은 고딕"/>
                <w:sz w:val="19"/>
              </w:rPr>
              <w:t>내용요소별 분포 / 연령등급별 내용요소 비교 / 게임 vs 영상물 내용특성 비교</w:t>
            </w:r>
          </w:p>
        </w:tc>
      </w:tr>
      <w:tr>
        <w:tc>
          <w:tcPr>
            <w:tcW w:type="dxa" w:w="1587"/>
          </w:tcPr>
          <w:p>
            <w:pPr>
              <w:spacing w:after="40"/>
            </w:pPr>
            <w:r/>
            <w:r>
              <w:rPr>
                <w:rFonts w:ascii="맑은 고딕" w:hAnsi="맑은 고딕" w:eastAsia="맑은 고딕"/>
                <w:sz w:val="19"/>
              </w:rPr>
              <w:t>Combination</w:t>
              <w:br/>
              <w:t>Analysis</w:t>
            </w:r>
          </w:p>
        </w:tc>
        <w:tc>
          <w:tcPr>
            <w:tcW w:type="dxa" w:w="1928"/>
          </w:tcPr>
          <w:p>
            <w:pPr>
              <w:spacing w:after="40"/>
            </w:pPr>
            <w:r/>
            <w:r>
              <w:rPr>
                <w:rFonts w:ascii="맑은 고딕" w:hAnsi="맑은 고딕" w:eastAsia="맑은 고딕"/>
                <w:sz w:val="19"/>
              </w:rPr>
              <w:t>조합 효과 확인</w:t>
            </w:r>
          </w:p>
        </w:tc>
        <w:tc>
          <w:tcPr>
            <w:tcW w:type="dxa" w:w="5556"/>
          </w:tcPr>
          <w:p>
            <w:pPr>
              <w:spacing w:after="40"/>
            </w:pPr>
            <w:r/>
            <w:r>
              <w:rPr>
                <w:rFonts w:ascii="맑은 고딕" w:hAnsi="맑은 고딕" w:eastAsia="맑은 고딕"/>
                <w:sz w:val="19"/>
              </w:rPr>
              <w:t>조합별 콘텐츠 수 / 조합별 청소년 이용 제한 비율 / 주요 조합과 연령등급 관계 시각화</w:t>
            </w:r>
          </w:p>
        </w:tc>
      </w:tr>
      <w:tr>
        <w:tc>
          <w:tcPr>
            <w:tcW w:type="dxa" w:w="1587"/>
          </w:tcPr>
          <w:p>
            <w:pPr>
              <w:spacing w:after="40"/>
            </w:pPr>
            <w:r/>
            <w:r>
              <w:rPr>
                <w:rFonts w:ascii="맑은 고딕" w:hAnsi="맑은 고딕" w:eastAsia="맑은 고딕"/>
                <w:sz w:val="19"/>
              </w:rPr>
              <w:t>Detail</w:t>
            </w:r>
          </w:p>
        </w:tc>
        <w:tc>
          <w:tcPr>
            <w:tcW w:type="dxa" w:w="1928"/>
          </w:tcPr>
          <w:p>
            <w:pPr>
              <w:spacing w:after="40"/>
            </w:pPr>
            <w:r/>
            <w:r>
              <w:rPr>
                <w:rFonts w:ascii="맑은 고딕" w:hAnsi="맑은 고딕" w:eastAsia="맑은 고딕"/>
                <w:sz w:val="19"/>
              </w:rPr>
              <w:t>세부 데이터 탐색</w:t>
            </w:r>
          </w:p>
        </w:tc>
        <w:tc>
          <w:tcPr>
            <w:tcW w:type="dxa" w:w="5556"/>
          </w:tcPr>
          <w:p>
            <w:pPr>
              <w:spacing w:after="40"/>
            </w:pPr>
            <w:r/>
            <w:r>
              <w:rPr>
                <w:rFonts w:ascii="맑은 고딕" w:hAnsi="맑은 고딕" w:eastAsia="맑은 고딕"/>
                <w:sz w:val="19"/>
              </w:rPr>
              <w:t>기간·매체·연령등급·내용요소 필터 / 조건별 원데이터 테이블 / 결과 다운로드</w:t>
            </w:r>
          </w:p>
        </w:tc>
      </w:tr>
    </w:tbl>
    <w:p>
      <w:pPr>
        <w:spacing w:after="40"/>
      </w:pPr>
    </w:p>
    <w:p>
      <w:pPr>
        <w:pStyle w:val="Heading2"/>
      </w:pPr>
      <w:r>
        <w:rPr>
          <w:rFonts w:ascii="맑은 고딕" w:hAnsi="맑은 고딕" w:eastAsia="맑은 고딕"/>
          <w:b/>
          <w:color w:val="1F3864"/>
          <w:sz w:val="24"/>
        </w:rPr>
        <w:t>6.2 공통 필터</w:t>
      </w:r>
    </w:p>
    <w:p>
      <w:pPr>
        <w:pStyle w:val="ListBullet"/>
        <w:spacing w:after="40"/>
        <w:ind w:left="340"/>
      </w:pPr>
      <w:r>
        <w:rPr>
          <w:rFonts w:ascii="맑은 고딕" w:hAnsi="맑은 고딕" w:eastAsia="맑은 고딕"/>
          <w:sz w:val="20"/>
        </w:rPr>
        <w:t>기간 (연 단위 범위 선택)</w:t>
      </w:r>
    </w:p>
    <w:p>
      <w:pPr>
        <w:pStyle w:val="ListBullet"/>
        <w:spacing w:after="40"/>
        <w:ind w:left="340"/>
      </w:pPr>
      <w:r>
        <w:rPr>
          <w:rFonts w:ascii="맑은 고딕" w:hAnsi="맑은 고딕" w:eastAsia="맑은 고딕"/>
          <w:sz w:val="20"/>
        </w:rPr>
        <w:t>매체 (게임물 / 영상물 / 전체)</w:t>
      </w:r>
    </w:p>
    <w:p>
      <w:pPr>
        <w:pStyle w:val="ListBullet"/>
        <w:spacing w:after="40"/>
        <w:ind w:left="340"/>
      </w:pPr>
      <w:r>
        <w:rPr>
          <w:rFonts w:ascii="맑은 고딕" w:hAnsi="맑은 고딕" w:eastAsia="맑은 고딕"/>
          <w:sz w:val="20"/>
        </w:rPr>
        <w:t>연령등급 (다중 선택)</w:t>
      </w:r>
    </w:p>
    <w:p>
      <w:pPr>
        <w:pStyle w:val="ListBullet"/>
        <w:spacing w:after="40"/>
        <w:ind w:left="340"/>
      </w:pPr>
      <w:r>
        <w:rPr>
          <w:rFonts w:ascii="맑은 고딕" w:hAnsi="맑은 고딕" w:eastAsia="맑은 고딕"/>
          <w:sz w:val="20"/>
        </w:rPr>
        <w:t>등급분류기관 (위원회 직접분류 / 자체등급분류 / 전체)</w:t>
      </w:r>
    </w:p>
    <w:p>
      <w:pPr>
        <w:pStyle w:val="ListBullet"/>
        <w:spacing w:after="40"/>
        <w:ind w:left="340"/>
      </w:pPr>
      <w:r>
        <w:rPr>
          <w:rFonts w:ascii="맑은 고딕" w:hAnsi="맑은 고딕" w:eastAsia="맑은 고딕"/>
          <w:sz w:val="20"/>
        </w:rPr>
        <w:t>내용요소 및 수준 (다중 선택)</w:t>
      </w:r>
    </w:p>
    <w:p>
      <w:pPr>
        <w:pStyle w:val="Heading2"/>
      </w:pPr>
      <w:r>
        <w:rPr>
          <w:rFonts w:ascii="맑은 고딕" w:hAnsi="맑은 고딕" w:eastAsia="맑은 고딕"/>
          <w:b/>
          <w:color w:val="1F3864"/>
          <w:sz w:val="24"/>
        </w:rPr>
        <w:t>6.3 비기능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N-1</w:t>
            </w:r>
          </w:p>
        </w:tc>
        <w:tc>
          <w:tcPr>
            <w:tcW w:type="dxa" w:w="8164"/>
          </w:tcPr>
          <w:p>
            <w:pPr>
              <w:spacing w:after="40"/>
            </w:pPr>
            <w:r/>
            <w:r>
              <w:rPr>
                <w:rFonts w:ascii="맑은 고딕" w:hAnsi="맑은 고딕" w:eastAsia="맑은 고딕"/>
                <w:sz w:val="19"/>
              </w:rPr>
              <w:t>필터 변경 후 화면 갱신은 3초 이내에 완료한다.</w:t>
            </w:r>
          </w:p>
        </w:tc>
      </w:tr>
      <w:tr>
        <w:tc>
          <w:tcPr>
            <w:tcW w:type="dxa" w:w="907"/>
          </w:tcPr>
          <w:p>
            <w:pPr>
              <w:spacing w:after="40"/>
            </w:pPr>
            <w:r/>
            <w:r>
              <w:rPr>
                <w:rFonts w:ascii="맑은 고딕" w:hAnsi="맑은 고딕" w:eastAsia="맑은 고딕"/>
                <w:sz w:val="19"/>
              </w:rPr>
              <w:t>N-2</w:t>
            </w:r>
          </w:p>
        </w:tc>
        <w:tc>
          <w:tcPr>
            <w:tcW w:type="dxa" w:w="8164"/>
          </w:tcPr>
          <w:p>
            <w:pPr>
              <w:spacing w:after="40"/>
            </w:pPr>
            <w:r/>
            <w:r>
              <w:rPr>
                <w:rFonts w:ascii="맑은 고딕" w:hAnsi="맑은 고딕" w:eastAsia="맑은 고딕"/>
                <w:sz w:val="19"/>
              </w:rPr>
              <w:t>데이터 로딩은 캐싱하여 재실행 시 재로딩이 발생하지 않도록 한다.</w:t>
            </w:r>
          </w:p>
        </w:tc>
      </w:tr>
      <w:tr>
        <w:tc>
          <w:tcPr>
            <w:tcW w:type="dxa" w:w="907"/>
          </w:tcPr>
          <w:p>
            <w:pPr>
              <w:spacing w:after="40"/>
            </w:pPr>
            <w:r/>
            <w:r>
              <w:rPr>
                <w:rFonts w:ascii="맑은 고딕" w:hAnsi="맑은 고딕" w:eastAsia="맑은 고딕"/>
                <w:sz w:val="19"/>
              </w:rPr>
              <w:t>N-3</w:t>
            </w:r>
          </w:p>
        </w:tc>
        <w:tc>
          <w:tcPr>
            <w:tcW w:type="dxa" w:w="8164"/>
          </w:tcPr>
          <w:p>
            <w:pPr>
              <w:spacing w:after="40"/>
            </w:pPr>
            <w:r/>
            <w:r>
              <w:rPr>
                <w:rFonts w:ascii="맑은 고딕" w:hAnsi="맑은 고딕" w:eastAsia="맑은 고딕"/>
                <w:sz w:val="19"/>
              </w:rPr>
              <w:t>모든 그래프는 Plotly 기반 인터랙티브 요소(확대, 툴팁, 범례 토글)를 제공한다.</w:t>
            </w:r>
          </w:p>
        </w:tc>
      </w:tr>
      <w:tr>
        <w:tc>
          <w:tcPr>
            <w:tcW w:type="dxa" w:w="907"/>
          </w:tcPr>
          <w:p>
            <w:pPr>
              <w:spacing w:after="40"/>
            </w:pPr>
            <w:r/>
            <w:r>
              <w:rPr>
                <w:rFonts w:ascii="맑은 고딕" w:hAnsi="맑은 고딕" w:eastAsia="맑은 고딕"/>
                <w:sz w:val="19"/>
              </w:rPr>
              <w:t>N-4</w:t>
            </w:r>
          </w:p>
        </w:tc>
        <w:tc>
          <w:tcPr>
            <w:tcW w:type="dxa" w:w="8164"/>
          </w:tcPr>
          <w:p>
            <w:pPr>
              <w:spacing w:after="40"/>
            </w:pPr>
            <w:r/>
            <w:r>
              <w:rPr>
                <w:rFonts w:ascii="맑은 고딕" w:hAnsi="맑은 고딕" w:eastAsia="맑은 고딕"/>
                <w:sz w:val="19"/>
              </w:rPr>
              <w:t>필터 조건에 해당하는 데이터가 없을 경우 빈 화면 대신 안내 문구를 표시한다.</w:t>
            </w:r>
          </w:p>
        </w:tc>
      </w:tr>
      <w:tr>
        <w:tc>
          <w:tcPr>
            <w:tcW w:type="dxa" w:w="907"/>
          </w:tcPr>
          <w:p>
            <w:pPr>
              <w:spacing w:after="40"/>
            </w:pPr>
            <w:r/>
            <w:r>
              <w:rPr>
                <w:rFonts w:ascii="맑은 고딕" w:hAnsi="맑은 고딕" w:eastAsia="맑은 고딕"/>
                <w:sz w:val="19"/>
              </w:rPr>
              <w:t>N-5</w:t>
            </w:r>
          </w:p>
        </w:tc>
        <w:tc>
          <w:tcPr>
            <w:tcW w:type="dxa" w:w="8164"/>
          </w:tcPr>
          <w:p>
            <w:pPr>
              <w:spacing w:after="40"/>
            </w:pPr>
            <w:r/>
            <w:r>
              <w:rPr>
                <w:rFonts w:ascii="맑은 고딕" w:hAnsi="맑은 고딕" w:eastAsia="맑은 고딕"/>
                <w:sz w:val="19"/>
              </w:rPr>
              <w:t>표본 수가 통계적으로 불충분한 구간은 화면상에 별도 표기한다.</w:t>
            </w:r>
          </w:p>
        </w:tc>
      </w:tr>
      <w:tr>
        <w:tc>
          <w:tcPr>
            <w:tcW w:type="dxa" w:w="907"/>
          </w:tcPr>
          <w:p>
            <w:pPr>
              <w:spacing w:after="40"/>
            </w:pPr>
            <w:r/>
            <w:r>
              <w:rPr>
                <w:rFonts w:ascii="맑은 고딕" w:hAnsi="맑은 고딕" w:eastAsia="맑은 고딕"/>
                <w:sz w:val="19"/>
              </w:rPr>
              <w:t>N-6</w:t>
            </w:r>
          </w:p>
        </w:tc>
        <w:tc>
          <w:tcPr>
            <w:tcW w:type="dxa" w:w="8164"/>
          </w:tcPr>
          <w:p>
            <w:pPr>
              <w:spacing w:after="40"/>
            </w:pPr>
            <w:r/>
            <w:r>
              <w:rPr>
                <w:rFonts w:ascii="맑은 고딕" w:hAnsi="맑은 고딕" w:eastAsia="맑은 고딕"/>
                <w:sz w:val="19"/>
              </w:rPr>
              <w:t>Streamlit Cloud에 배포하여 별도 설치 없이 URL로 접근 가능하도록 한다.</w:t>
            </w:r>
          </w:p>
        </w:tc>
      </w:tr>
    </w:tbl>
    <w:p>
      <w:pPr>
        <w:spacing w:after="40"/>
      </w:pPr>
    </w:p>
    <w:p>
      <w:pPr>
        <w:pStyle w:val="Heading1"/>
      </w:pPr>
      <w:r>
        <w:rPr>
          <w:rFonts w:ascii="맑은 고딕" w:hAnsi="맑은 고딕" w:eastAsia="맑은 고딕"/>
          <w:b/>
          <w:color w:val="1F3864"/>
          <w:sz w:val="30"/>
        </w:rPr>
        <w:t>7. 기술 스택 및 구조</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구분</w:t>
            </w:r>
          </w:p>
        </w:tc>
        <w:tc>
          <w:tcPr>
            <w:tcW w:type="dxa" w:w="2494"/>
            <w:shd w:val="clear" w:fill="DCE3EF"/>
          </w:tcPr>
          <w:p>
            <w:pPr>
              <w:spacing w:after="40"/>
            </w:pPr>
            <w:r/>
            <w:r>
              <w:rPr>
                <w:rFonts w:ascii="맑은 고딕" w:hAnsi="맑은 고딕" w:eastAsia="맑은 고딕"/>
                <w:b/>
                <w:sz w:val="19"/>
              </w:rPr>
              <w:t>기술</w:t>
            </w:r>
          </w:p>
        </w:tc>
        <w:tc>
          <w:tcPr>
            <w:tcW w:type="dxa" w:w="4762"/>
            <w:shd w:val="clear" w:fill="DCE3EF"/>
          </w:tcPr>
          <w:p>
            <w:pPr>
              <w:spacing w:after="40"/>
            </w:pPr>
            <w:r/>
            <w:r>
              <w:rPr>
                <w:rFonts w:ascii="맑은 고딕" w:hAnsi="맑은 고딕" w:eastAsia="맑은 고딕"/>
                <w:b/>
                <w:sz w:val="19"/>
              </w:rPr>
              <w:t>용도</w:t>
            </w:r>
          </w:p>
        </w:tc>
      </w:tr>
      <w:tr>
        <w:tc>
          <w:tcPr>
            <w:tcW w:type="dxa" w:w="1814"/>
          </w:tcPr>
          <w:p>
            <w:pPr>
              <w:spacing w:after="40"/>
            </w:pPr>
            <w:r/>
            <w:r>
              <w:rPr>
                <w:rFonts w:ascii="맑은 고딕" w:hAnsi="맑은 고딕" w:eastAsia="맑은 고딕"/>
                <w:sz w:val="19"/>
              </w:rPr>
              <w:t>데이터 수집</w:t>
            </w:r>
          </w:p>
        </w:tc>
        <w:tc>
          <w:tcPr>
            <w:tcW w:type="dxa" w:w="2494"/>
          </w:tcPr>
          <w:p>
            <w:pPr>
              <w:spacing w:after="40"/>
            </w:pPr>
            <w:r/>
            <w:r>
              <w:rPr>
                <w:rFonts w:ascii="맑은 고딕" w:hAnsi="맑은 고딕" w:eastAsia="맑은 고딕"/>
                <w:sz w:val="19"/>
              </w:rPr>
              <w:t>Python, requests</w:t>
            </w:r>
          </w:p>
        </w:tc>
        <w:tc>
          <w:tcPr>
            <w:tcW w:type="dxa" w:w="4762"/>
          </w:tcPr>
          <w:p>
            <w:pPr>
              <w:spacing w:after="40"/>
            </w:pPr>
            <w:r/>
            <w:r>
              <w:rPr>
                <w:rFonts w:ascii="맑은 고딕" w:hAnsi="맑은 고딕" w:eastAsia="맑은 고딕"/>
                <w:sz w:val="19"/>
              </w:rPr>
              <w:t>Open API 호출 및 원본 적재</w:t>
            </w:r>
          </w:p>
        </w:tc>
      </w:tr>
      <w:tr>
        <w:tc>
          <w:tcPr>
            <w:tcW w:type="dxa" w:w="1814"/>
          </w:tcPr>
          <w:p>
            <w:pPr>
              <w:spacing w:after="40"/>
            </w:pPr>
            <w:r/>
            <w:r>
              <w:rPr>
                <w:rFonts w:ascii="맑은 고딕" w:hAnsi="맑은 고딕" w:eastAsia="맑은 고딕"/>
                <w:sz w:val="19"/>
              </w:rPr>
              <w:t>데이터 처리</w:t>
            </w:r>
          </w:p>
        </w:tc>
        <w:tc>
          <w:tcPr>
            <w:tcW w:type="dxa" w:w="2494"/>
          </w:tcPr>
          <w:p>
            <w:pPr>
              <w:spacing w:after="40"/>
            </w:pPr>
            <w:r/>
            <w:r>
              <w:rPr>
                <w:rFonts w:ascii="맑은 고딕" w:hAnsi="맑은 고딕" w:eastAsia="맑은 고딕"/>
                <w:sz w:val="19"/>
              </w:rPr>
              <w:t>pandas, pyarrow</w:t>
            </w:r>
          </w:p>
        </w:tc>
        <w:tc>
          <w:tcPr>
            <w:tcW w:type="dxa" w:w="4762"/>
          </w:tcPr>
          <w:p>
            <w:pPr>
              <w:spacing w:after="40"/>
            </w:pPr>
            <w:r/>
            <w:r>
              <w:rPr>
                <w:rFonts w:ascii="맑은 고딕" w:hAnsi="맑은 고딕" w:eastAsia="맑은 고딕"/>
                <w:sz w:val="19"/>
              </w:rPr>
              <w:t>정제·통합 및 parquet 저장</w:t>
            </w:r>
          </w:p>
        </w:tc>
      </w:tr>
      <w:tr>
        <w:tc>
          <w:tcPr>
            <w:tcW w:type="dxa" w:w="1814"/>
          </w:tcPr>
          <w:p>
            <w:pPr>
              <w:spacing w:after="40"/>
            </w:pPr>
            <w:r/>
            <w:r>
              <w:rPr>
                <w:rFonts w:ascii="맑은 고딕" w:hAnsi="맑은 고딕" w:eastAsia="맑은 고딕"/>
                <w:sz w:val="19"/>
              </w:rPr>
              <w:t>시각화</w:t>
            </w:r>
          </w:p>
        </w:tc>
        <w:tc>
          <w:tcPr>
            <w:tcW w:type="dxa" w:w="2494"/>
          </w:tcPr>
          <w:p>
            <w:pPr>
              <w:spacing w:after="40"/>
            </w:pPr>
            <w:r/>
            <w:r>
              <w:rPr>
                <w:rFonts w:ascii="맑은 고딕" w:hAnsi="맑은 고딕" w:eastAsia="맑은 고딕"/>
                <w:sz w:val="19"/>
              </w:rPr>
              <w:t>Plotly</w:t>
            </w:r>
          </w:p>
        </w:tc>
        <w:tc>
          <w:tcPr>
            <w:tcW w:type="dxa" w:w="4762"/>
          </w:tcPr>
          <w:p>
            <w:pPr>
              <w:spacing w:after="40"/>
            </w:pPr>
            <w:r/>
            <w:r>
              <w:rPr>
                <w:rFonts w:ascii="맑은 고딕" w:hAnsi="맑은 고딕" w:eastAsia="맑은 고딕"/>
                <w:sz w:val="19"/>
              </w:rPr>
              <w:t>인터랙티브 그래프</w:t>
            </w:r>
          </w:p>
        </w:tc>
      </w:tr>
      <w:tr>
        <w:tc>
          <w:tcPr>
            <w:tcW w:type="dxa" w:w="1814"/>
          </w:tcPr>
          <w:p>
            <w:pPr>
              <w:spacing w:after="40"/>
            </w:pPr>
            <w:r/>
            <w:r>
              <w:rPr>
                <w:rFonts w:ascii="맑은 고딕" w:hAnsi="맑은 고딕" w:eastAsia="맑은 고딕"/>
                <w:sz w:val="19"/>
              </w:rPr>
              <w:t>대시보드</w:t>
            </w:r>
          </w:p>
        </w:tc>
        <w:tc>
          <w:tcPr>
            <w:tcW w:type="dxa" w:w="2494"/>
          </w:tcPr>
          <w:p>
            <w:pPr>
              <w:spacing w:after="40"/>
            </w:pPr>
            <w:r/>
            <w:r>
              <w:rPr>
                <w:rFonts w:ascii="맑은 고딕" w:hAnsi="맑은 고딕" w:eastAsia="맑은 고딕"/>
                <w:sz w:val="19"/>
              </w:rPr>
              <w:t>Streamlit</w:t>
            </w:r>
          </w:p>
        </w:tc>
        <w:tc>
          <w:tcPr>
            <w:tcW w:type="dxa" w:w="4762"/>
          </w:tcPr>
          <w:p>
            <w:pPr>
              <w:spacing w:after="40"/>
            </w:pPr>
            <w:r/>
            <w:r>
              <w:rPr>
                <w:rFonts w:ascii="맑은 고딕" w:hAnsi="맑은 고딕" w:eastAsia="맑은 고딕"/>
                <w:sz w:val="19"/>
              </w:rPr>
              <w:t>화면 구성 및 배포</w:t>
            </w:r>
          </w:p>
        </w:tc>
      </w:tr>
      <w:tr>
        <w:tc>
          <w:tcPr>
            <w:tcW w:type="dxa" w:w="1814"/>
          </w:tcPr>
          <w:p>
            <w:pPr>
              <w:spacing w:after="40"/>
            </w:pPr>
            <w:r/>
            <w:r>
              <w:rPr>
                <w:rFonts w:ascii="맑은 고딕" w:hAnsi="맑은 고딕" w:eastAsia="맑은 고딕"/>
                <w:sz w:val="19"/>
              </w:rPr>
              <w:t>형상 관리</w:t>
            </w:r>
          </w:p>
        </w:tc>
        <w:tc>
          <w:tcPr>
            <w:tcW w:type="dxa" w:w="2494"/>
          </w:tcPr>
          <w:p>
            <w:pPr>
              <w:spacing w:after="40"/>
            </w:pPr>
            <w:r/>
            <w:r>
              <w:rPr>
                <w:rFonts w:ascii="맑은 고딕" w:hAnsi="맑은 고딕" w:eastAsia="맑은 고딕"/>
                <w:sz w:val="19"/>
              </w:rPr>
              <w:t>git</w:t>
            </w:r>
          </w:p>
        </w:tc>
        <w:tc>
          <w:tcPr>
            <w:tcW w:type="dxa" w:w="4762"/>
          </w:tcPr>
          <w:p>
            <w:pPr>
              <w:spacing w:after="40"/>
            </w:pPr>
            <w:r/>
            <w:r>
              <w:rPr>
                <w:rFonts w:ascii="맑은 고딕" w:hAnsi="맑은 고딕" w:eastAsia="맑은 고딕"/>
                <w:sz w:val="19"/>
              </w:rPr>
              <w:t>코드 및 문서 이력 관리</w:t>
            </w:r>
          </w:p>
        </w:tc>
      </w:tr>
    </w:tbl>
    <w:p>
      <w:pPr>
        <w:spacing w:after="40"/>
      </w:pPr>
    </w:p>
    <w:p>
      <w:pPr>
        <w:spacing w:after="80"/>
      </w:pPr>
      <w:r>
        <w:rPr>
          <w:rFonts w:ascii="맑은 고딕" w:hAnsi="맑은 고딕" w:eastAsia="맑은 고딕"/>
          <w:b w:val="0"/>
          <w:sz w:val="20"/>
        </w:rPr>
        <w:t>데이터 흐름: Open API → raw(원본 보존) → interim(정제) → processed(통합 Dataset) → 대시보드</w:t>
      </w:r>
    </w:p>
    <w:p>
      <w:pPr>
        <w:spacing w:after="80"/>
      </w:pPr>
      <w:r>
        <w:rPr>
          <w:rFonts w:ascii="맑은 고딕" w:hAnsi="맑은 고딕" w:eastAsia="맑은 고딕"/>
          <w:b w:val="0"/>
          <w:sz w:val="20"/>
        </w:rPr>
        <w:t>별도 데이터베이스는 사용하지 않는다. 정적 스냅샷 기준 분석이므로 파일 기반 저장으로 충분하며, 클라우드 배포 시 접근성 측면에서도 유리하다.</w:t>
      </w:r>
    </w:p>
    <w:p>
      <w:pPr>
        <w:pStyle w:val="Heading1"/>
      </w:pPr>
      <w:r>
        <w:rPr>
          <w:rFonts w:ascii="맑은 고딕" w:hAnsi="맑은 고딕" w:eastAsia="맑은 고딕"/>
          <w:b/>
          <w:color w:val="1F3864"/>
          <w:sz w:val="30"/>
        </w:rPr>
        <w:t>8. 산출물</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ID</w:t>
            </w:r>
          </w:p>
        </w:tc>
        <w:tc>
          <w:tcPr>
            <w:tcW w:type="dxa" w:w="4762"/>
            <w:shd w:val="clear" w:fill="DCE3EF"/>
          </w:tcPr>
          <w:p>
            <w:pPr>
              <w:spacing w:after="40"/>
            </w:pPr>
            <w:r/>
            <w:r>
              <w:rPr>
                <w:rFonts w:ascii="맑은 고딕" w:hAnsi="맑은 고딕" w:eastAsia="맑은 고딕"/>
                <w:b/>
                <w:sz w:val="19"/>
              </w:rPr>
              <w:t>산출물</w:t>
            </w:r>
          </w:p>
        </w:tc>
        <w:tc>
          <w:tcPr>
            <w:tcW w:type="dxa" w:w="3402"/>
            <w:shd w:val="clear" w:fill="DCE3EF"/>
          </w:tcPr>
          <w:p>
            <w:pPr>
              <w:spacing w:after="40"/>
            </w:pPr>
            <w:r/>
            <w:r>
              <w:rPr>
                <w:rFonts w:ascii="맑은 고딕" w:hAnsi="맑은 고딕" w:eastAsia="맑은 고딕"/>
                <w:b/>
                <w:sz w:val="19"/>
              </w:rPr>
              <w:t>형태</w:t>
            </w:r>
          </w:p>
        </w:tc>
      </w:tr>
      <w:tr>
        <w:tc>
          <w:tcPr>
            <w:tcW w:type="dxa" w:w="907"/>
          </w:tcPr>
          <w:p>
            <w:pPr>
              <w:spacing w:after="40"/>
            </w:pPr>
            <w:r/>
            <w:r>
              <w:rPr>
                <w:rFonts w:ascii="맑은 고딕" w:hAnsi="맑은 고딕" w:eastAsia="맑은 고딕"/>
                <w:sz w:val="19"/>
              </w:rPr>
              <w:t>O-1</w:t>
            </w:r>
          </w:p>
        </w:tc>
        <w:tc>
          <w:tcPr>
            <w:tcW w:type="dxa" w:w="4762"/>
          </w:tcPr>
          <w:p>
            <w:pPr>
              <w:spacing w:after="40"/>
            </w:pPr>
            <w:r/>
            <w:r>
              <w:rPr>
                <w:rFonts w:ascii="맑은 고딕" w:hAnsi="맑은 고딕" w:eastAsia="맑은 고딕"/>
                <w:sz w:val="19"/>
              </w:rPr>
              <w:t>게임·영상물 등급분류 통합 분석 Dataset</w:t>
            </w:r>
          </w:p>
        </w:tc>
        <w:tc>
          <w:tcPr>
            <w:tcW w:type="dxa" w:w="3402"/>
          </w:tcPr>
          <w:p>
            <w:pPr>
              <w:spacing w:after="40"/>
            </w:pPr>
            <w:r/>
            <w:r>
              <w:rPr>
                <w:rFonts w:ascii="맑은 고딕" w:hAnsi="맑은 고딕" w:eastAsia="맑은 고딕"/>
                <w:sz w:val="19"/>
              </w:rPr>
              <w:t>parquet / csv</w:t>
            </w:r>
          </w:p>
        </w:tc>
      </w:tr>
      <w:tr>
        <w:tc>
          <w:tcPr>
            <w:tcW w:type="dxa" w:w="907"/>
          </w:tcPr>
          <w:p>
            <w:pPr>
              <w:spacing w:after="40"/>
            </w:pPr>
            <w:r/>
            <w:r>
              <w:rPr>
                <w:rFonts w:ascii="맑은 고딕" w:hAnsi="맑은 고딕" w:eastAsia="맑은 고딕"/>
                <w:sz w:val="19"/>
              </w:rPr>
              <w:t>O-2</w:t>
            </w:r>
          </w:p>
        </w:tc>
        <w:tc>
          <w:tcPr>
            <w:tcW w:type="dxa" w:w="4762"/>
          </w:tcPr>
          <w:p>
            <w:pPr>
              <w:spacing w:after="40"/>
            </w:pPr>
            <w:r/>
            <w:r>
              <w:rPr>
                <w:rFonts w:ascii="맑은 고딕" w:hAnsi="맑은 고딕" w:eastAsia="맑은 고딕"/>
                <w:sz w:val="19"/>
              </w:rPr>
              <w:t>내용정보 매핑표 및 매핑 근거</w:t>
            </w:r>
          </w:p>
        </w:tc>
        <w:tc>
          <w:tcPr>
            <w:tcW w:type="dxa" w:w="3402"/>
          </w:tcPr>
          <w:p>
            <w:pPr>
              <w:spacing w:after="40"/>
            </w:pPr>
            <w:r/>
            <w:r>
              <w:rPr>
                <w:rFonts w:ascii="맑은 고딕" w:hAnsi="맑은 고딕" w:eastAsia="맑은 고딕"/>
                <w:sz w:val="19"/>
              </w:rPr>
              <w:t>csv + 설명 문서</w:t>
            </w:r>
          </w:p>
        </w:tc>
      </w:tr>
      <w:tr>
        <w:tc>
          <w:tcPr>
            <w:tcW w:type="dxa" w:w="907"/>
          </w:tcPr>
          <w:p>
            <w:pPr>
              <w:spacing w:after="40"/>
            </w:pPr>
            <w:r/>
            <w:r>
              <w:rPr>
                <w:rFonts w:ascii="맑은 고딕" w:hAnsi="맑은 고딕" w:eastAsia="맑은 고딕"/>
                <w:sz w:val="19"/>
              </w:rPr>
              <w:t>O-3</w:t>
            </w:r>
          </w:p>
        </w:tc>
        <w:tc>
          <w:tcPr>
            <w:tcW w:type="dxa" w:w="4762"/>
          </w:tcPr>
          <w:p>
            <w:pPr>
              <w:spacing w:after="40"/>
            </w:pPr>
            <w:r/>
            <w:r>
              <w:rPr>
                <w:rFonts w:ascii="맑은 고딕" w:hAnsi="맑은 고딕" w:eastAsia="맑은 고딕"/>
                <w:sz w:val="19"/>
              </w:rPr>
              <w:t>연령등급 및 내용정보 EDA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O-4</w:t>
            </w:r>
          </w:p>
        </w:tc>
        <w:tc>
          <w:tcPr>
            <w:tcW w:type="dxa" w:w="4762"/>
          </w:tcPr>
          <w:p>
            <w:pPr>
              <w:spacing w:after="40"/>
            </w:pPr>
            <w:r/>
            <w:r>
              <w:rPr>
                <w:rFonts w:ascii="맑은 고딕" w:hAnsi="맑은 고딕" w:eastAsia="맑은 고딕"/>
                <w:sz w:val="19"/>
              </w:rPr>
              <w:t>청소년 이용 제한 콘텐츠 주요 특성 분석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O-5</w:t>
            </w:r>
          </w:p>
        </w:tc>
        <w:tc>
          <w:tcPr>
            <w:tcW w:type="dxa" w:w="4762"/>
          </w:tcPr>
          <w:p>
            <w:pPr>
              <w:spacing w:after="40"/>
            </w:pPr>
            <w:r/>
            <w:r>
              <w:rPr>
                <w:rFonts w:ascii="맑은 고딕" w:hAnsi="맑은 고딕" w:eastAsia="맑은 고딕"/>
                <w:sz w:val="19"/>
              </w:rPr>
              <w:t>Streamlit 인터랙티브 대시보드</w:t>
            </w:r>
          </w:p>
        </w:tc>
        <w:tc>
          <w:tcPr>
            <w:tcW w:type="dxa" w:w="3402"/>
          </w:tcPr>
          <w:p>
            <w:pPr>
              <w:spacing w:after="40"/>
            </w:pPr>
            <w:r/>
            <w:r>
              <w:rPr>
                <w:rFonts w:ascii="맑은 고딕" w:hAnsi="맑은 고딕" w:eastAsia="맑은 고딕"/>
                <w:sz w:val="19"/>
              </w:rPr>
              <w:t>공개 URL</w:t>
            </w:r>
          </w:p>
        </w:tc>
      </w:tr>
      <w:tr>
        <w:tc>
          <w:tcPr>
            <w:tcW w:type="dxa" w:w="907"/>
          </w:tcPr>
          <w:p>
            <w:pPr>
              <w:spacing w:after="40"/>
            </w:pPr>
            <w:r/>
            <w:r>
              <w:rPr>
                <w:rFonts w:ascii="맑은 고딕" w:hAnsi="맑은 고딕" w:eastAsia="맑은 고딕"/>
                <w:sz w:val="19"/>
              </w:rPr>
              <w:t>O-6</w:t>
            </w:r>
          </w:p>
        </w:tc>
        <w:tc>
          <w:tcPr>
            <w:tcW w:type="dxa" w:w="4762"/>
          </w:tcPr>
          <w:p>
            <w:pPr>
              <w:spacing w:after="40"/>
            </w:pPr>
            <w:r/>
            <w:r>
              <w:rPr>
                <w:rFonts w:ascii="맑은 고딕" w:hAnsi="맑은 고딕" w:eastAsia="맑은 고딕"/>
                <w:sz w:val="19"/>
              </w:rPr>
              <w:t>주요 분석 인사이트 리포트</w:t>
            </w:r>
          </w:p>
        </w:tc>
        <w:tc>
          <w:tcPr>
            <w:tcW w:type="dxa" w:w="3402"/>
          </w:tcPr>
          <w:p>
            <w:pPr>
              <w:spacing w:after="40"/>
            </w:pPr>
            <w:r/>
            <w:r>
              <w:rPr>
                <w:rFonts w:ascii="맑은 고딕" w:hAnsi="맑은 고딕" w:eastAsia="맑은 고딕"/>
                <w:sz w:val="19"/>
              </w:rPr>
              <w:t>문서</w:t>
            </w:r>
          </w:p>
        </w:tc>
      </w:tr>
    </w:tbl>
    <w:p>
      <w:pPr>
        <w:spacing w:after="40"/>
      </w:pPr>
    </w:p>
    <w:p>
      <w:pPr>
        <w:pStyle w:val="Heading1"/>
      </w:pPr>
      <w:r>
        <w:rPr>
          <w:rFonts w:ascii="맑은 고딕" w:hAnsi="맑은 고딕" w:eastAsia="맑은 고딕"/>
          <w:b/>
          <w:color w:val="1F3864"/>
          <w:sz w:val="30"/>
        </w:rPr>
        <w:t>9. 일정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fill="DCE3EF"/>
          </w:tcPr>
          <w:p>
            <w:pPr>
              <w:spacing w:after="40"/>
            </w:pPr>
            <w:r/>
            <w:r>
              <w:rPr>
                <w:rFonts w:ascii="맑은 고딕" w:hAnsi="맑은 고딕" w:eastAsia="맑은 고딕"/>
                <w:b/>
                <w:sz w:val="19"/>
              </w:rPr>
              <w:t>단계</w:t>
            </w:r>
          </w:p>
        </w:tc>
        <w:tc>
          <w:tcPr>
            <w:tcW w:type="dxa" w:w="1134"/>
            <w:shd w:val="clear" w:fill="DCE3EF"/>
          </w:tcPr>
          <w:p>
            <w:pPr>
              <w:spacing w:after="40"/>
            </w:pPr>
            <w:r/>
            <w:r>
              <w:rPr>
                <w:rFonts w:ascii="맑은 고딕" w:hAnsi="맑은 고딕" w:eastAsia="맑은 고딕"/>
                <w:b/>
                <w:sz w:val="19"/>
              </w:rPr>
              <w:t>기간</w:t>
            </w:r>
          </w:p>
        </w:tc>
        <w:tc>
          <w:tcPr>
            <w:tcW w:type="dxa" w:w="3628"/>
            <w:shd w:val="clear" w:fill="DCE3EF"/>
          </w:tcPr>
          <w:p>
            <w:pPr>
              <w:spacing w:after="40"/>
            </w:pPr>
            <w:r/>
            <w:r>
              <w:rPr>
                <w:rFonts w:ascii="맑은 고딕" w:hAnsi="맑은 고딕" w:eastAsia="맑은 고딕"/>
                <w:b/>
                <w:sz w:val="19"/>
              </w:rPr>
              <w:t>주요 작업</w:t>
            </w:r>
          </w:p>
        </w:tc>
        <w:tc>
          <w:tcPr>
            <w:tcW w:type="dxa" w:w="2721"/>
            <w:shd w:val="clear" w:fill="DCE3EF"/>
          </w:tcPr>
          <w:p>
            <w:pPr>
              <w:spacing w:after="40"/>
            </w:pPr>
            <w:r/>
            <w:r>
              <w:rPr>
                <w:rFonts w:ascii="맑은 고딕" w:hAnsi="맑은 고딕" w:eastAsia="맑은 고딕"/>
                <w:b/>
                <w:sz w:val="19"/>
              </w:rPr>
              <w:t>완료 기준</w:t>
            </w:r>
          </w:p>
        </w:tc>
      </w:tr>
      <w:tr>
        <w:tc>
          <w:tcPr>
            <w:tcW w:type="dxa" w:w="1587"/>
          </w:tcPr>
          <w:p>
            <w:pPr>
              <w:spacing w:after="40"/>
            </w:pPr>
            <w:r/>
            <w:r>
              <w:rPr>
                <w:rFonts w:ascii="맑은 고딕" w:hAnsi="맑은 고딕" w:eastAsia="맑은 고딕"/>
                <w:sz w:val="19"/>
              </w:rPr>
              <w:t>0. 데이터 검증</w:t>
            </w:r>
          </w:p>
        </w:tc>
        <w:tc>
          <w:tcPr>
            <w:tcW w:type="dxa" w:w="1134"/>
          </w:tcPr>
          <w:p>
            <w:pPr>
              <w:spacing w:after="40"/>
            </w:pPr>
            <w:r/>
            <w:r>
              <w:rPr>
                <w:rFonts w:ascii="맑은 고딕" w:hAnsi="맑은 고딕" w:eastAsia="맑은 고딕"/>
                <w:sz w:val="19"/>
              </w:rPr>
              <w:t>1일차</w:t>
            </w:r>
          </w:p>
        </w:tc>
        <w:tc>
          <w:tcPr>
            <w:tcW w:type="dxa" w:w="3628"/>
          </w:tcPr>
          <w:p>
            <w:pPr>
              <w:spacing w:after="40"/>
            </w:pPr>
            <w:r/>
            <w:r>
              <w:rPr>
                <w:rFonts w:ascii="맑은 고딕" w:hAnsi="맑은 고딕" w:eastAsia="맑은 고딕"/>
                <w:sz w:val="19"/>
              </w:rPr>
              <w:t>API 응답 필드 확인, 4.5절 가정 검증</w:t>
            </w:r>
          </w:p>
        </w:tc>
        <w:tc>
          <w:tcPr>
            <w:tcW w:type="dxa" w:w="2721"/>
          </w:tcPr>
          <w:p>
            <w:pPr>
              <w:spacing w:after="40"/>
            </w:pPr>
            <w:r/>
            <w:r>
              <w:rPr>
                <w:rFonts w:ascii="맑은 고딕" w:hAnsi="맑은 고딕" w:eastAsia="맑은 고딕"/>
                <w:sz w:val="19"/>
              </w:rPr>
              <w:t>가정 검증 결과 문서화</w:t>
            </w:r>
          </w:p>
        </w:tc>
      </w:tr>
      <w:tr>
        <w:tc>
          <w:tcPr>
            <w:tcW w:type="dxa" w:w="1587"/>
          </w:tcPr>
          <w:p>
            <w:pPr>
              <w:spacing w:after="40"/>
            </w:pPr>
            <w:r/>
            <w:r>
              <w:rPr>
                <w:rFonts w:ascii="맑은 고딕" w:hAnsi="맑은 고딕" w:eastAsia="맑은 고딕"/>
                <w:sz w:val="19"/>
              </w:rPr>
              <w:t>1. 수집</w:t>
            </w:r>
          </w:p>
        </w:tc>
        <w:tc>
          <w:tcPr>
            <w:tcW w:type="dxa" w:w="1134"/>
          </w:tcPr>
          <w:p>
            <w:pPr>
              <w:spacing w:after="40"/>
            </w:pPr>
            <w:r/>
            <w:r>
              <w:rPr>
                <w:rFonts w:ascii="맑은 고딕" w:hAnsi="맑은 고딕" w:eastAsia="맑은 고딕"/>
                <w:sz w:val="19"/>
              </w:rPr>
              <w:t>2~4일차</w:t>
            </w:r>
          </w:p>
        </w:tc>
        <w:tc>
          <w:tcPr>
            <w:tcW w:type="dxa" w:w="3628"/>
          </w:tcPr>
          <w:p>
            <w:pPr>
              <w:spacing w:after="40"/>
            </w:pPr>
            <w:r/>
            <w:r>
              <w:rPr>
                <w:rFonts w:ascii="맑은 고딕" w:hAnsi="맑은 고딕" w:eastAsia="맑은 고딕"/>
                <w:sz w:val="19"/>
              </w:rPr>
              <w:t>수집 스크립트 개발, 전량 수집, 완결성 점검</w:t>
            </w:r>
          </w:p>
        </w:tc>
        <w:tc>
          <w:tcPr>
            <w:tcW w:type="dxa" w:w="2721"/>
          </w:tcPr>
          <w:p>
            <w:pPr>
              <w:spacing w:after="40"/>
            </w:pPr>
            <w:r/>
            <w:r>
              <w:rPr>
                <w:rFonts w:ascii="맑은 고딕" w:hAnsi="맑은 고딕" w:eastAsia="맑은 고딕"/>
                <w:sz w:val="19"/>
              </w:rPr>
              <w:t>raw 데이터 확정</w:t>
            </w:r>
          </w:p>
        </w:tc>
      </w:tr>
      <w:tr>
        <w:tc>
          <w:tcPr>
            <w:tcW w:type="dxa" w:w="1587"/>
          </w:tcPr>
          <w:p>
            <w:pPr>
              <w:spacing w:after="40"/>
            </w:pPr>
            <w:r/>
            <w:r>
              <w:rPr>
                <w:rFonts w:ascii="맑은 고딕" w:hAnsi="맑은 고딕" w:eastAsia="맑은 고딕"/>
                <w:sz w:val="19"/>
              </w:rPr>
              <w:t>2. 정제·통합</w:t>
            </w:r>
          </w:p>
        </w:tc>
        <w:tc>
          <w:tcPr>
            <w:tcW w:type="dxa" w:w="1134"/>
          </w:tcPr>
          <w:p>
            <w:pPr>
              <w:spacing w:after="40"/>
            </w:pPr>
            <w:r/>
            <w:r>
              <w:rPr>
                <w:rFonts w:ascii="맑은 고딕" w:hAnsi="맑은 고딕" w:eastAsia="맑은 고딕"/>
                <w:sz w:val="19"/>
              </w:rPr>
              <w:t>5~9일차</w:t>
            </w:r>
          </w:p>
        </w:tc>
        <w:tc>
          <w:tcPr>
            <w:tcW w:type="dxa" w:w="3628"/>
          </w:tcPr>
          <w:p>
            <w:pPr>
              <w:spacing w:after="40"/>
            </w:pPr>
            <w:r/>
            <w:r>
              <w:rPr>
                <w:rFonts w:ascii="맑은 고딕" w:hAnsi="맑은 고딕" w:eastAsia="맑은 고딕"/>
                <w:sz w:val="19"/>
              </w:rPr>
              <w:t>등급 표준화, 매핑표 작성, 중복·결측 처리</w:t>
            </w:r>
          </w:p>
        </w:tc>
        <w:tc>
          <w:tcPr>
            <w:tcW w:type="dxa" w:w="2721"/>
          </w:tcPr>
          <w:p>
            <w:pPr>
              <w:spacing w:after="40"/>
            </w:pPr>
            <w:r/>
            <w:r>
              <w:rPr>
                <w:rFonts w:ascii="맑은 고딕" w:hAnsi="맑은 고딕" w:eastAsia="맑은 고딕"/>
                <w:sz w:val="19"/>
              </w:rPr>
              <w:t>통합 Dataset 확정</w:t>
            </w:r>
          </w:p>
        </w:tc>
      </w:tr>
      <w:tr>
        <w:tc>
          <w:tcPr>
            <w:tcW w:type="dxa" w:w="1587"/>
          </w:tcPr>
          <w:p>
            <w:pPr>
              <w:spacing w:after="40"/>
            </w:pPr>
            <w:r/>
            <w:r>
              <w:rPr>
                <w:rFonts w:ascii="맑은 고딕" w:hAnsi="맑은 고딕" w:eastAsia="맑은 고딕"/>
                <w:sz w:val="19"/>
              </w:rPr>
              <w:t>3. 현황 EDA</w:t>
            </w:r>
          </w:p>
        </w:tc>
        <w:tc>
          <w:tcPr>
            <w:tcW w:type="dxa" w:w="1134"/>
          </w:tcPr>
          <w:p>
            <w:pPr>
              <w:spacing w:after="40"/>
            </w:pPr>
            <w:r/>
            <w:r>
              <w:rPr>
                <w:rFonts w:ascii="맑은 고딕" w:hAnsi="맑은 고딕" w:eastAsia="맑은 고딕"/>
                <w:sz w:val="19"/>
              </w:rPr>
              <w:t>10~12일차</w:t>
            </w:r>
          </w:p>
        </w:tc>
        <w:tc>
          <w:tcPr>
            <w:tcW w:type="dxa" w:w="3628"/>
          </w:tcPr>
          <w:p>
            <w:pPr>
              <w:spacing w:after="40"/>
            </w:pPr>
            <w:r/>
            <w:r>
              <w:rPr>
                <w:rFonts w:ascii="맑은 고딕" w:hAnsi="맑은 고딕" w:eastAsia="맑은 고딕"/>
                <w:sz w:val="19"/>
              </w:rPr>
              <w:t>등급 분포·추이·장르별 분석</w:t>
            </w:r>
          </w:p>
        </w:tc>
        <w:tc>
          <w:tcPr>
            <w:tcW w:type="dxa" w:w="2721"/>
          </w:tcPr>
          <w:p>
            <w:pPr>
              <w:spacing w:after="40"/>
            </w:pPr>
            <w:r/>
            <w:r>
              <w:rPr>
                <w:rFonts w:ascii="맑은 고딕" w:hAnsi="맑은 고딕" w:eastAsia="맑은 고딕"/>
                <w:sz w:val="19"/>
              </w:rPr>
              <w:t>EDA 결과 정리</w:t>
            </w:r>
          </w:p>
        </w:tc>
      </w:tr>
      <w:tr>
        <w:tc>
          <w:tcPr>
            <w:tcW w:type="dxa" w:w="1587"/>
          </w:tcPr>
          <w:p>
            <w:pPr>
              <w:spacing w:after="40"/>
            </w:pPr>
            <w:r/>
            <w:r>
              <w:rPr>
                <w:rFonts w:ascii="맑은 고딕" w:hAnsi="맑은 고딕" w:eastAsia="맑은 고딕"/>
                <w:sz w:val="19"/>
              </w:rPr>
              <w:t>4. 핵심 분석</w:t>
            </w:r>
          </w:p>
        </w:tc>
        <w:tc>
          <w:tcPr>
            <w:tcW w:type="dxa" w:w="1134"/>
          </w:tcPr>
          <w:p>
            <w:pPr>
              <w:spacing w:after="40"/>
            </w:pPr>
            <w:r/>
            <w:r>
              <w:rPr>
                <w:rFonts w:ascii="맑은 고딕" w:hAnsi="맑은 고딕" w:eastAsia="맑은 고딕"/>
                <w:sz w:val="19"/>
              </w:rPr>
              <w:t>13~17일차</w:t>
            </w:r>
          </w:p>
        </w:tc>
        <w:tc>
          <w:tcPr>
            <w:tcW w:type="dxa" w:w="3628"/>
          </w:tcPr>
          <w:p>
            <w:pPr>
              <w:spacing w:after="40"/>
            </w:pPr>
            <w:r/>
            <w:r>
              <w:rPr>
                <w:rFonts w:ascii="맑은 고딕" w:hAnsi="맑은 고딕" w:eastAsia="맑은 고딕"/>
                <w:sz w:val="19"/>
              </w:rPr>
              <w:t>5.4절 3축 분석</w:t>
            </w:r>
          </w:p>
        </w:tc>
        <w:tc>
          <w:tcPr>
            <w:tcW w:type="dxa" w:w="2721"/>
          </w:tcPr>
          <w:p>
            <w:pPr>
              <w:spacing w:after="40"/>
            </w:pPr>
            <w:r/>
            <w:r>
              <w:rPr>
                <w:rFonts w:ascii="맑은 고딕" w:hAnsi="맑은 고딕" w:eastAsia="맑은 고딕"/>
                <w:sz w:val="19"/>
              </w:rPr>
              <w:t>분석 결과 정리</w:t>
            </w:r>
          </w:p>
        </w:tc>
      </w:tr>
      <w:tr>
        <w:tc>
          <w:tcPr>
            <w:tcW w:type="dxa" w:w="1587"/>
          </w:tcPr>
          <w:p>
            <w:pPr>
              <w:spacing w:after="40"/>
            </w:pPr>
            <w:r/>
            <w:r>
              <w:rPr>
                <w:rFonts w:ascii="맑은 고딕" w:hAnsi="맑은 고딕" w:eastAsia="맑은 고딕"/>
                <w:sz w:val="19"/>
              </w:rPr>
              <w:t>5. 대시보드</w:t>
            </w:r>
          </w:p>
        </w:tc>
        <w:tc>
          <w:tcPr>
            <w:tcW w:type="dxa" w:w="1134"/>
          </w:tcPr>
          <w:p>
            <w:pPr>
              <w:spacing w:after="40"/>
            </w:pPr>
            <w:r/>
            <w:r>
              <w:rPr>
                <w:rFonts w:ascii="맑은 고딕" w:hAnsi="맑은 고딕" w:eastAsia="맑은 고딕"/>
                <w:sz w:val="19"/>
              </w:rPr>
              <w:t>18~22일차</w:t>
            </w:r>
          </w:p>
        </w:tc>
        <w:tc>
          <w:tcPr>
            <w:tcW w:type="dxa" w:w="3628"/>
          </w:tcPr>
          <w:p>
            <w:pPr>
              <w:spacing w:after="40"/>
            </w:pPr>
            <w:r/>
            <w:r>
              <w:rPr>
                <w:rFonts w:ascii="맑은 고딕" w:hAnsi="맑은 고딕" w:eastAsia="맑은 고딕"/>
                <w:sz w:val="19"/>
              </w:rPr>
              <w:t>5개 탭 구현 및 배포</w:t>
            </w:r>
          </w:p>
        </w:tc>
        <w:tc>
          <w:tcPr>
            <w:tcW w:type="dxa" w:w="2721"/>
          </w:tcPr>
          <w:p>
            <w:pPr>
              <w:spacing w:after="40"/>
            </w:pPr>
            <w:r/>
            <w:r>
              <w:rPr>
                <w:rFonts w:ascii="맑은 고딕" w:hAnsi="맑은 고딕" w:eastAsia="맑은 고딕"/>
                <w:sz w:val="19"/>
              </w:rPr>
              <w:t>공개 URL 동작</w:t>
            </w:r>
          </w:p>
        </w:tc>
      </w:tr>
      <w:tr>
        <w:tc>
          <w:tcPr>
            <w:tcW w:type="dxa" w:w="1587"/>
          </w:tcPr>
          <w:p>
            <w:pPr>
              <w:spacing w:after="40"/>
            </w:pPr>
            <w:r/>
            <w:r>
              <w:rPr>
                <w:rFonts w:ascii="맑은 고딕" w:hAnsi="맑은 고딕" w:eastAsia="맑은 고딕"/>
                <w:sz w:val="19"/>
              </w:rPr>
              <w:t>6. 리포트</w:t>
            </w:r>
          </w:p>
        </w:tc>
        <w:tc>
          <w:tcPr>
            <w:tcW w:type="dxa" w:w="1134"/>
          </w:tcPr>
          <w:p>
            <w:pPr>
              <w:spacing w:after="40"/>
            </w:pPr>
            <w:r/>
            <w:r>
              <w:rPr>
                <w:rFonts w:ascii="맑은 고딕" w:hAnsi="맑은 고딕" w:eastAsia="맑은 고딕"/>
                <w:sz w:val="19"/>
              </w:rPr>
              <w:t>23~24일차</w:t>
            </w:r>
          </w:p>
        </w:tc>
        <w:tc>
          <w:tcPr>
            <w:tcW w:type="dxa" w:w="3628"/>
          </w:tcPr>
          <w:p>
            <w:pPr>
              <w:spacing w:after="40"/>
            </w:pPr>
            <w:r/>
            <w:r>
              <w:rPr>
                <w:rFonts w:ascii="맑은 고딕" w:hAnsi="맑은 고딕" w:eastAsia="맑은 고딕"/>
                <w:sz w:val="19"/>
              </w:rPr>
              <w:t>인사이트 리포트 및 방법론 부록 작성</w:t>
            </w:r>
          </w:p>
        </w:tc>
        <w:tc>
          <w:tcPr>
            <w:tcW w:type="dxa" w:w="2721"/>
          </w:tcPr>
          <w:p>
            <w:pPr>
              <w:spacing w:after="40"/>
            </w:pPr>
            <w:r/>
            <w:r>
              <w:rPr>
                <w:rFonts w:ascii="맑은 고딕" w:hAnsi="맑은 고딕" w:eastAsia="맑은 고딕"/>
                <w:sz w:val="19"/>
              </w:rPr>
              <w:t>리포트 완성</w:t>
            </w:r>
          </w:p>
        </w:tc>
      </w:tr>
    </w:tbl>
    <w:p>
      <w:pPr>
        <w:spacing w:after="40"/>
      </w:pPr>
    </w:p>
    <w:p>
      <w:pPr>
        <w:spacing w:after="80"/>
      </w:pPr>
      <w:r>
        <w:rPr>
          <w:rFonts w:ascii="맑은 고딕" w:hAnsi="맑은 고딕" w:eastAsia="맑은 고딕"/>
          <w:b w:val="0"/>
          <w:sz w:val="20"/>
        </w:rPr>
        <w:t>2단계(정제·통합)가 전체 공수의 약 40%를 차지한다. 기관 간 항목 매핑과 중복 판정 기준 수립에 가장 많은 시간이 소요되며, 이 단계의 결과가 이후 모든 분석의 전제가 된다.</w:t>
      </w:r>
    </w:p>
    <w:p>
      <w:pPr>
        <w:pStyle w:val="Heading1"/>
      </w:pPr>
      <w:r>
        <w:rPr>
          <w:rFonts w:ascii="맑은 고딕" w:hAnsi="맑은 고딕" w:eastAsia="맑은 고딕"/>
          <w:b/>
          <w:color w:val="1F3864"/>
          <w:sz w:val="30"/>
        </w:rPr>
        <w:t>10. 리스크 및 대응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DCE3EF"/>
          </w:tcPr>
          <w:p>
            <w:pPr>
              <w:spacing w:after="40"/>
            </w:pPr>
            <w:r/>
            <w:r>
              <w:rPr>
                <w:rFonts w:ascii="맑은 고딕" w:hAnsi="맑은 고딕" w:eastAsia="맑은 고딕"/>
                <w:b/>
                <w:sz w:val="19"/>
              </w:rPr>
              <w:t>ID</w:t>
            </w:r>
          </w:p>
        </w:tc>
        <w:tc>
          <w:tcPr>
            <w:tcW w:type="dxa" w:w="2721"/>
            <w:shd w:val="clear" w:fill="DCE3EF"/>
          </w:tcPr>
          <w:p>
            <w:pPr>
              <w:spacing w:after="40"/>
            </w:pPr>
            <w:r/>
            <w:r>
              <w:rPr>
                <w:rFonts w:ascii="맑은 고딕" w:hAnsi="맑은 고딕" w:eastAsia="맑은 고딕"/>
                <w:b/>
                <w:sz w:val="19"/>
              </w:rPr>
              <w:t>리스크</w:t>
            </w:r>
          </w:p>
        </w:tc>
        <w:tc>
          <w:tcPr>
            <w:tcW w:type="dxa" w:w="907"/>
            <w:shd w:val="clear" w:fill="DCE3EF"/>
          </w:tcPr>
          <w:p>
            <w:pPr>
              <w:spacing w:after="40"/>
            </w:pPr>
            <w:r/>
            <w:r>
              <w:rPr>
                <w:rFonts w:ascii="맑은 고딕" w:hAnsi="맑은 고딕" w:eastAsia="맑은 고딕"/>
                <w:b/>
                <w:sz w:val="19"/>
              </w:rPr>
              <w:t>영향</w:t>
            </w:r>
          </w:p>
        </w:tc>
        <w:tc>
          <w:tcPr>
            <w:tcW w:type="dxa" w:w="4706"/>
            <w:shd w:val="clear" w:fill="DCE3EF"/>
          </w:tcPr>
          <w:p>
            <w:pPr>
              <w:spacing w:after="40"/>
            </w:pPr>
            <w:r/>
            <w:r>
              <w:rPr>
                <w:rFonts w:ascii="맑은 고딕" w:hAnsi="맑은 고딕" w:eastAsia="맑은 고딕"/>
                <w:b/>
                <w:sz w:val="19"/>
              </w:rPr>
              <w:t>대응</w:t>
            </w:r>
          </w:p>
        </w:tc>
      </w:tr>
      <w:tr>
        <w:tc>
          <w:tcPr>
            <w:tcW w:type="dxa" w:w="737"/>
          </w:tcPr>
          <w:p>
            <w:pPr>
              <w:spacing w:after="40"/>
            </w:pPr>
            <w:r/>
            <w:r>
              <w:rPr>
                <w:rFonts w:ascii="맑은 고딕" w:hAnsi="맑은 고딕" w:eastAsia="맑은 고딕"/>
                <w:sz w:val="19"/>
              </w:rPr>
              <w:t>R-1</w:t>
            </w:r>
          </w:p>
        </w:tc>
        <w:tc>
          <w:tcPr>
            <w:tcW w:type="dxa" w:w="2721"/>
          </w:tcPr>
          <w:p>
            <w:pPr>
              <w:spacing w:after="40"/>
            </w:pPr>
            <w:r/>
            <w:r>
              <w:rPr>
                <w:rFonts w:ascii="맑은 고딕" w:hAnsi="맑은 고딕" w:eastAsia="맑은 고딕"/>
                <w:sz w:val="19"/>
              </w:rPr>
              <w:t>API에 내용정보가 제공되지 않음</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0단계에서 최우선 확인. 미제공 시 게임물 단독 심화 분석으로 주제 조정</w:t>
            </w:r>
          </w:p>
        </w:tc>
      </w:tr>
      <w:tr>
        <w:tc>
          <w:tcPr>
            <w:tcW w:type="dxa" w:w="737"/>
          </w:tcPr>
          <w:p>
            <w:pPr>
              <w:spacing w:after="40"/>
            </w:pPr>
            <w:r/>
            <w:r>
              <w:rPr>
                <w:rFonts w:ascii="맑은 고딕" w:hAnsi="맑은 고딕" w:eastAsia="맑은 고딕"/>
                <w:sz w:val="19"/>
              </w:rPr>
              <w:t>R-2</w:t>
            </w:r>
          </w:p>
        </w:tc>
        <w:tc>
          <w:tcPr>
            <w:tcW w:type="dxa" w:w="2721"/>
          </w:tcPr>
          <w:p>
            <w:pPr>
              <w:spacing w:after="40"/>
            </w:pPr>
            <w:r/>
            <w:r>
              <w:rPr>
                <w:rFonts w:ascii="맑은 고딕" w:hAnsi="맑은 고딕" w:eastAsia="맑은 고딕"/>
                <w:sz w:val="19"/>
              </w:rPr>
              <w:t>두 기관 내용정보 항목의 대응 관계가 불명확</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매핑표에 근거와 한계를 명시하고, 느슨한 매핑 항목은 해석 시 별도 표기</w:t>
            </w:r>
          </w:p>
        </w:tc>
      </w:tr>
      <w:tr>
        <w:tc>
          <w:tcPr>
            <w:tcW w:type="dxa" w:w="737"/>
          </w:tcPr>
          <w:p>
            <w:pPr>
              <w:spacing w:after="40"/>
            </w:pPr>
            <w:r/>
            <w:r>
              <w:rPr>
                <w:rFonts w:ascii="맑은 고딕" w:hAnsi="맑은 고딕" w:eastAsia="맑은 고딕"/>
                <w:sz w:val="19"/>
              </w:rPr>
              <w:t>R-3</w:t>
            </w:r>
          </w:p>
        </w:tc>
        <w:tc>
          <w:tcPr>
            <w:tcW w:type="dxa" w:w="2721"/>
          </w:tcPr>
          <w:p>
            <w:pPr>
              <w:spacing w:after="40"/>
            </w:pPr>
            <w:r/>
            <w:r>
              <w:rPr>
                <w:rFonts w:ascii="맑은 고딕" w:hAnsi="맑은 고딕" w:eastAsia="맑은 고딕"/>
                <w:sz w:val="19"/>
              </w:rPr>
              <w:t>자체등급분류 물량 급증으로 시계열 해석 왜곡</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등급분류기관별 층화 분석을 기본값으로 설정 (5.3절 함정 2)</w:t>
            </w:r>
          </w:p>
        </w:tc>
      </w:tr>
      <w:tr>
        <w:tc>
          <w:tcPr>
            <w:tcW w:type="dxa" w:w="737"/>
          </w:tcPr>
          <w:p>
            <w:pPr>
              <w:spacing w:after="40"/>
            </w:pPr>
            <w:r/>
            <w:r>
              <w:rPr>
                <w:rFonts w:ascii="맑은 고딕" w:hAnsi="맑은 고딕" w:eastAsia="맑은 고딕"/>
                <w:sz w:val="19"/>
              </w:rPr>
              <w:t>R-4</w:t>
            </w:r>
          </w:p>
        </w:tc>
        <w:tc>
          <w:tcPr>
            <w:tcW w:type="dxa" w:w="2721"/>
          </w:tcPr>
          <w:p>
            <w:pPr>
              <w:spacing w:after="40"/>
            </w:pPr>
            <w:r/>
            <w:r>
              <w:rPr>
                <w:rFonts w:ascii="맑은 고딕" w:hAnsi="맑은 고딕" w:eastAsia="맑은 고딕"/>
                <w:sz w:val="19"/>
              </w:rPr>
              <w:t>API 호출 제한으로 수집 지연</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체크포인트 기반 분할 수집, 필요 시 대상 기간 축소</w:t>
            </w:r>
          </w:p>
        </w:tc>
      </w:tr>
      <w:tr>
        <w:tc>
          <w:tcPr>
            <w:tcW w:type="dxa" w:w="737"/>
          </w:tcPr>
          <w:p>
            <w:pPr>
              <w:spacing w:after="40"/>
            </w:pPr>
            <w:r/>
            <w:r>
              <w:rPr>
                <w:rFonts w:ascii="맑은 고딕" w:hAnsi="맑은 고딕" w:eastAsia="맑은 고딕"/>
                <w:sz w:val="19"/>
              </w:rPr>
              <w:t>R-5</w:t>
            </w:r>
          </w:p>
        </w:tc>
        <w:tc>
          <w:tcPr>
            <w:tcW w:type="dxa" w:w="2721"/>
          </w:tcPr>
          <w:p>
            <w:pPr>
              <w:spacing w:after="40"/>
            </w:pPr>
            <w:r/>
            <w:r>
              <w:rPr>
                <w:rFonts w:ascii="맑은 고딕" w:hAnsi="맑은 고딕" w:eastAsia="맑은 고딕"/>
                <w:sz w:val="19"/>
              </w:rPr>
              <w:t>분석 결과가 제도 설계의 재확인에 그침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5.4절 3축을 분석의 중심으로 설정 (5.3절 함정 1)</w:t>
            </w:r>
          </w:p>
        </w:tc>
      </w:tr>
      <w:tr>
        <w:tc>
          <w:tcPr>
            <w:tcW w:type="dxa" w:w="737"/>
          </w:tcPr>
          <w:p>
            <w:pPr>
              <w:spacing w:after="40"/>
            </w:pPr>
            <w:r/>
            <w:r>
              <w:rPr>
                <w:rFonts w:ascii="맑은 고딕" w:hAnsi="맑은 고딕" w:eastAsia="맑은 고딕"/>
                <w:sz w:val="19"/>
              </w:rPr>
              <w:t>R-6</w:t>
            </w:r>
          </w:p>
        </w:tc>
        <w:tc>
          <w:tcPr>
            <w:tcW w:type="dxa" w:w="2721"/>
          </w:tcPr>
          <w:p>
            <w:pPr>
              <w:spacing w:after="40"/>
            </w:pPr>
            <w:r/>
            <w:r>
              <w:rPr>
                <w:rFonts w:ascii="맑은 고딕" w:hAnsi="맑은 고딕" w:eastAsia="맑은 고딕"/>
                <w:sz w:val="19"/>
              </w:rPr>
              <w:t>조합 분석 시 셀 표본 수 부족</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최소 표본 기준을 설정하고 미달 구간은 화면·리포트에 표기 (N-5)</w:t>
            </w:r>
          </w:p>
        </w:tc>
      </w:tr>
    </w:tbl>
    <w:p>
      <w:pPr>
        <w:spacing w:after="40"/>
      </w:pPr>
    </w:p>
    <w:p>
      <w:pPr>
        <w:pStyle w:val="Heading1"/>
      </w:pPr>
      <w:r>
        <w:rPr>
          <w:rFonts w:ascii="맑은 고딕" w:hAnsi="맑은 고딕" w:eastAsia="맑은 고딕"/>
          <w:b/>
          <w:color w:val="1F3864"/>
          <w:sz w:val="30"/>
        </w:rPr>
        <w:t>11. 용어 정의</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용어</w:t>
            </w:r>
          </w:p>
        </w:tc>
        <w:tc>
          <w:tcPr>
            <w:tcW w:type="dxa" w:w="6803"/>
            <w:shd w:val="clear" w:fill="DCE3EF"/>
          </w:tcPr>
          <w:p>
            <w:pPr>
              <w:spacing w:after="40"/>
            </w:pPr>
            <w:r/>
            <w:r>
              <w:rPr>
                <w:rFonts w:ascii="맑은 고딕" w:hAnsi="맑은 고딕" w:eastAsia="맑은 고딕"/>
                <w:b/>
                <w:sz w:val="19"/>
              </w:rPr>
              <w:t>정의</w:t>
            </w:r>
          </w:p>
        </w:tc>
      </w:tr>
      <w:tr>
        <w:tc>
          <w:tcPr>
            <w:tcW w:type="dxa" w:w="2268"/>
          </w:tcPr>
          <w:p>
            <w:pPr>
              <w:spacing w:after="40"/>
            </w:pPr>
            <w:r/>
            <w:r>
              <w:rPr>
                <w:rFonts w:ascii="맑은 고딕" w:hAnsi="맑은 고딕" w:eastAsia="맑은 고딕"/>
                <w:sz w:val="19"/>
              </w:rPr>
              <w:t>연령등급</w:t>
            </w:r>
          </w:p>
        </w:tc>
        <w:tc>
          <w:tcPr>
            <w:tcW w:type="dxa" w:w="6803"/>
          </w:tcPr>
          <w:p>
            <w:pPr>
              <w:spacing w:after="40"/>
            </w:pPr>
            <w:r/>
            <w:r>
              <w:rPr>
                <w:rFonts w:ascii="맑은 고딕" w:hAnsi="맑은 고딕" w:eastAsia="맑은 고딕"/>
                <w:sz w:val="19"/>
              </w:rPr>
              <w:t>전체이용가, 12세이용가, 15세이용가, 청소년이용불가로 구분되는 이용 가능 연령 구분</w:t>
            </w:r>
          </w:p>
        </w:tc>
      </w:tr>
      <w:tr>
        <w:tc>
          <w:tcPr>
            <w:tcW w:type="dxa" w:w="2268"/>
          </w:tcPr>
          <w:p>
            <w:pPr>
              <w:spacing w:after="40"/>
            </w:pPr>
            <w:r/>
            <w:r>
              <w:rPr>
                <w:rFonts w:ascii="맑은 고딕" w:hAnsi="맑은 고딕" w:eastAsia="맑은 고딕"/>
                <w:sz w:val="19"/>
              </w:rPr>
              <w:t>청소년 이용 제한 콘텐츠</w:t>
            </w:r>
          </w:p>
        </w:tc>
        <w:tc>
          <w:tcPr>
            <w:tcW w:type="dxa" w:w="6803"/>
          </w:tcPr>
          <w:p>
            <w:pPr>
              <w:spacing w:after="40"/>
            </w:pPr>
            <w:r/>
            <w:r>
              <w:rPr>
                <w:rFonts w:ascii="맑은 고딕" w:hAnsi="맑은 고딕" w:eastAsia="맑은 고딕"/>
                <w:sz w:val="19"/>
              </w:rPr>
              <w:t>본 문서에서는 청소년이용불가 등급을 받은 콘텐츠를 의미</w:t>
            </w:r>
          </w:p>
        </w:tc>
      </w:tr>
      <w:tr>
        <w:tc>
          <w:tcPr>
            <w:tcW w:type="dxa" w:w="2268"/>
          </w:tcPr>
          <w:p>
            <w:pPr>
              <w:spacing w:after="40"/>
            </w:pPr>
            <w:r/>
            <w:r>
              <w:rPr>
                <w:rFonts w:ascii="맑은 고딕" w:hAnsi="맑은 고딕" w:eastAsia="맑은 고딕"/>
                <w:sz w:val="19"/>
              </w:rPr>
              <w:t>내용정보</w:t>
            </w:r>
          </w:p>
        </w:tc>
        <w:tc>
          <w:tcPr>
            <w:tcW w:type="dxa" w:w="6803"/>
          </w:tcPr>
          <w:p>
            <w:pPr>
              <w:spacing w:after="40"/>
            </w:pPr>
            <w:r/>
            <w:r>
              <w:rPr>
                <w:rFonts w:ascii="맑은 고딕" w:hAnsi="맑은 고딕" w:eastAsia="맑은 고딕"/>
                <w:sz w:val="19"/>
              </w:rPr>
              <w:t>등급 판정의 근거가 되는 콘텐츠 속성 항목 (선정성, 폭력성, 공포, 약물 등)</w:t>
            </w:r>
          </w:p>
        </w:tc>
      </w:tr>
      <w:tr>
        <w:tc>
          <w:tcPr>
            <w:tcW w:type="dxa" w:w="2268"/>
          </w:tcPr>
          <w:p>
            <w:pPr>
              <w:spacing w:after="40"/>
            </w:pPr>
            <w:r/>
            <w:r>
              <w:rPr>
                <w:rFonts w:ascii="맑은 고딕" w:hAnsi="맑은 고딕" w:eastAsia="맑은 고딕"/>
                <w:sz w:val="19"/>
              </w:rPr>
              <w:t>내용 프로필</w:t>
            </w:r>
          </w:p>
        </w:tc>
        <w:tc>
          <w:tcPr>
            <w:tcW w:type="dxa" w:w="6803"/>
          </w:tcPr>
          <w:p>
            <w:pPr>
              <w:spacing w:after="40"/>
            </w:pPr>
            <w:r/>
            <w:r>
              <w:rPr>
                <w:rFonts w:ascii="맑은 고딕" w:hAnsi="맑은 고딕" w:eastAsia="맑은 고딕"/>
                <w:sz w:val="19"/>
              </w:rPr>
              <w:t>하나의 콘텐츠가 가지는 내용정보 항목별 수준의 조합</w:t>
            </w:r>
          </w:p>
        </w:tc>
      </w:tr>
      <w:tr>
        <w:tc>
          <w:tcPr>
            <w:tcW w:type="dxa" w:w="2268"/>
          </w:tcPr>
          <w:p>
            <w:pPr>
              <w:spacing w:after="40"/>
            </w:pPr>
            <w:r/>
            <w:r>
              <w:rPr>
                <w:rFonts w:ascii="맑은 고딕" w:hAnsi="맑은 고딕" w:eastAsia="맑은 고딕"/>
                <w:sz w:val="19"/>
              </w:rPr>
              <w:t>자체등급분류</w:t>
            </w:r>
          </w:p>
        </w:tc>
        <w:tc>
          <w:tcPr>
            <w:tcW w:type="dxa" w:w="6803"/>
          </w:tcPr>
          <w:p>
            <w:pPr>
              <w:spacing w:after="40"/>
            </w:pPr>
            <w:r/>
            <w:r>
              <w:rPr>
                <w:rFonts w:ascii="맑은 고딕" w:hAnsi="맑은 고딕" w:eastAsia="맑은 고딕"/>
                <w:sz w:val="19"/>
              </w:rPr>
              <w:t>게임물관리위원회가 지정한 사업자가 직접 등급을 분류하는 제도</w:t>
            </w:r>
          </w:p>
        </w:tc>
      </w:tr>
      <w:tr>
        <w:tc>
          <w:tcPr>
            <w:tcW w:type="dxa" w:w="2268"/>
          </w:tcPr>
          <w:p>
            <w:pPr>
              <w:spacing w:after="40"/>
            </w:pPr>
            <w:r/>
            <w:r>
              <w:rPr>
                <w:rFonts w:ascii="맑은 고딕" w:hAnsi="맑은 고딕" w:eastAsia="맑은 고딕"/>
                <w:sz w:val="19"/>
              </w:rPr>
              <w:t>통합 Dataset</w:t>
            </w:r>
          </w:p>
        </w:tc>
        <w:tc>
          <w:tcPr>
            <w:tcW w:type="dxa" w:w="6803"/>
          </w:tcPr>
          <w:p>
            <w:pPr>
              <w:spacing w:after="40"/>
            </w:pPr>
            <w:r/>
            <w:r>
              <w:rPr>
                <w:rFonts w:ascii="맑은 고딕" w:hAnsi="맑은 고딕" w:eastAsia="맑은 고딕"/>
                <w:sz w:val="19"/>
              </w:rPr>
              <w:t>두 기관 데이터를 표준화·매핑하여 매체 간 비교가 가능하도록 구성한 최종 분석용 데이터</w:t>
            </w:r>
          </w:p>
        </w:tc>
      </w:tr>
    </w:tbl>
    <w:p>
      <w:pPr>
        <w:spacing w:after="40"/>
      </w:pP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eastAsia="맑은 고딕"/>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