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1F3864"/>
          <w:sz w:val="32"/>
        </w:rPr>
        <w:t>20260908 - 최은혜</w:t>
      </w:r>
    </w:p>
    <w:p>
      <w:pPr>
        <w:spacing w:after="0"/>
      </w:pPr>
      <w:r>
        <w:rPr>
          <w:rFonts w:ascii="맑은 고딕" w:hAnsi="맑은 고딕" w:eastAsia="맑은 고딕"/>
          <w:color w:val="595959"/>
          <w:sz w:val="20"/>
        </w:rPr>
        <w:t>주제: 게임·영상물 등급분류 공공데이터 기반 청소년 이용 부적합 콘텐츠 특성 분석 및 시각화</w:t>
      </w:r>
    </w:p>
    <w:p>
      <w:pPr>
        <w:pStyle w:val="Heading1"/>
      </w:pPr>
      <w:r>
        <w:rPr>
          <w:rFonts w:ascii="맑은 고딕" w:hAnsi="맑은 고딕" w:eastAsia="맑은 고딕"/>
          <w:b/>
          <w:color w:val="1F3864"/>
          <w:sz w:val="30"/>
        </w:rPr>
        <w:t>오늘 한 일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1. 집에서 받아둔 수집 결과를 사무실 저장소로 옮기고 커밋했다. 게임물 29,417건, 영상물 134,464건으로 두 기관 모두 전량이다.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2. 영상물을 전량 기준으로 다시 정제했다. 9,900건만 보던 때의 판단 두 가지가 뒤집혔다.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3. 게임물 정제와 현황 파악을 새로 만들었다. 내용정보가 점수가 아니라 이름 나열이라 항목별 보유 여부로 펼쳤다.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4. 두 매체를 나란히 놓고 비교했다. 이름이 같은 4개 항목으로만 비교하고, 비교 대상 밖의 항목이 붙은 건은 양쪽에서 똑같이 뺐다.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5. 사업자가 스스로 매긴 등급 자료를 비교용으로 들여왔다. 같은 기간으로 맞추니 공개 API로 볼 수 있는 것은 게임물 등급분류의 0.27%였다.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6. 분석 스크립트가 옛 데이터를 파일명으로 직접 가리키고 있어 걷어냈다. 다시 수집하고도 예전 것을 보고 있었다.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7. 흩어져 있던 보고서 다섯 개를 하나로 합쳤다. 처음에는 작업한 순서대로 썼다가, 결론이 앞에 오도록 다시 짰다.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8. 기획서(PRD)를 v1.3에서 v1.6까지 갱신하고, 강사님 회신 자료를 문서로 작성했다.</w:t>
      </w:r>
    </w:p>
    <w:p>
      <w:pPr>
        <w:pStyle w:val="Heading1"/>
      </w:pPr>
      <w:r>
        <w:rPr>
          <w:rFonts w:ascii="맑은 고딕" w:hAnsi="맑은 고딕" w:eastAsia="맑은 고딕"/>
          <w:b/>
          <w:color w:val="1F3864"/>
          <w:sz w:val="30"/>
        </w:rPr>
        <w:t>오늘 나온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134"/>
            <w:shd w:val="clear" w:fill="DCE3EF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매체</w:t>
            </w:r>
          </w:p>
        </w:tc>
        <w:tc>
          <w:tcPr>
            <w:tcW w:type="dxa" w:w="7937"/>
            <w:shd w:val="clear" w:fill="DCE3EF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게임물</w:t>
            </w:r>
          </w:p>
        </w:tc>
        <w:tc>
          <w:tcPr>
            <w:tcW w:type="dxa" w:w="793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청소년이용불가를 만드는 것은 폭력성이 아니라 사행성이었다. 사행성이 붙으면 95.3%, 없으면 8.9%다.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게임물</w:t>
            </w:r>
          </w:p>
        </w:tc>
        <w:tc>
          <w:tcPr>
            <w:tcW w:type="dxa" w:w="793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사행성이 붙은 게임의 73.5%가 '보드게임(베팅성)' 한 장르였다.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영상물</w:t>
            </w:r>
          </w:p>
        </w:tc>
        <w:tc>
          <w:tcPr>
            <w:tcW w:type="dxa" w:w="793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등급은 내용정보 7개 항목의 최고값과 같다(99.93%). 판단이 들어가는 곳은 신청 등급을 조정하는 12.2%뿐이다.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맑은 고딕" w:hAnsi="맑은 고딕" w:eastAsia="맑은 고딕"/>
          <w:b/>
          <w:color w:val="1F3864"/>
          <w:sz w:val="30"/>
        </w:rPr>
        <w:t>이슈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sz w:val="20"/>
        </w:rPr>
        <w:t>등급취소 1,040건의 사유가 자료에 없어 위반인지 자진 반납인지 가릴 수 없다.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sz w:val="20"/>
        </w:rPr>
        <w:t>두 매체 비교는 영상물을 몇 점부터 '있음'으로 볼지에 따라 결과가 달라진다. 3점 기준에서만 성립하므로 결론에 기준을 함께 적어야 한다.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sz w:val="20"/>
        </w:rPr>
        <w:t>남은 것은 대시보드와 최종 리포트다.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86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864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