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皮瓣修复围手术期管理要点</w:t>
      </w:r>
    </w:p>
    <w:p>
      <w:r>
        <w:t>科室内部培训资料 · 医档通 MediHub 演示文档</w:t>
      </w:r>
    </w:p>
    <w:p>
      <w:pPr>
        <w:pStyle w:val="Heading1"/>
      </w:pPr>
      <w:r>
        <w:t>一、术前评估</w:t>
      </w:r>
    </w:p>
    <w:p>
      <w:pPr>
        <w:pStyle w:val="ListBullet"/>
      </w:pPr>
      <w:r>
        <w:t>缺损部位、面积与血供评估，必要时行彩色多普勒定位穿支。</w:t>
      </w:r>
    </w:p>
    <w:p>
      <w:pPr>
        <w:pStyle w:val="ListBullet"/>
      </w:pPr>
      <w:r>
        <w:t>吸烟、糖尿病、放疗史等影响皮瓣存活的危险因素需记录在案。</w:t>
      </w:r>
    </w:p>
    <w:p>
      <w:pPr>
        <w:pStyle w:val="ListBullet"/>
      </w:pPr>
      <w:r>
        <w:t>术前照片统一在自然光下拍摄，包含正面、侧面与局部特写。</w:t>
      </w:r>
    </w:p>
    <w:p>
      <w:pPr>
        <w:pStyle w:val="Heading1"/>
      </w:pPr>
      <w:r>
        <w:t>二、术中记录</w:t>
      </w:r>
    </w:p>
    <w:p>
      <w:r>
        <w:t>记录皮瓣类型、蒂部旋转角度、供区处理方式与止血情况；术中照片按时间顺序归档。</w:t>
      </w:r>
    </w:p>
    <w:p>
      <w:pPr>
        <w:pStyle w:val="Heading1"/>
      </w:pPr>
      <w:r>
        <w:t>三、术后观察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时间点</w:t>
            </w:r>
          </w:p>
        </w:tc>
        <w:tc>
          <w:tcPr>
            <w:tcW w:type="dxa" w:w="2880"/>
          </w:tcPr>
          <w:p>
            <w:r>
              <w:t>观察重点</w:t>
            </w:r>
          </w:p>
        </w:tc>
        <w:tc>
          <w:tcPr>
            <w:tcW w:type="dxa" w:w="2880"/>
          </w:tcPr>
          <w:p>
            <w:r>
              <w:t>处理</w:t>
            </w:r>
          </w:p>
        </w:tc>
      </w:tr>
      <w:tr>
        <w:tc>
          <w:tcPr>
            <w:tcW w:type="dxa" w:w="2880"/>
          </w:tcPr>
          <w:p>
            <w:r>
              <w:t>术后 6 小时</w:t>
            </w:r>
          </w:p>
        </w:tc>
        <w:tc>
          <w:tcPr>
            <w:tcW w:type="dxa" w:w="2880"/>
          </w:tcPr>
          <w:p>
            <w:r>
              <w:t>皮瓣颜色、毛细血管反应</w:t>
            </w:r>
          </w:p>
        </w:tc>
        <w:tc>
          <w:tcPr>
            <w:tcW w:type="dxa" w:w="2880"/>
          </w:tcPr>
          <w:p>
            <w:r>
              <w:t>保暖、解除压迫</w:t>
            </w:r>
          </w:p>
        </w:tc>
      </w:tr>
      <w:tr>
        <w:tc>
          <w:tcPr>
            <w:tcW w:type="dxa" w:w="2880"/>
          </w:tcPr>
          <w:p>
            <w:r>
              <w:t>术后 24 小时</w:t>
            </w:r>
          </w:p>
        </w:tc>
        <w:tc>
          <w:tcPr>
            <w:tcW w:type="dxa" w:w="2880"/>
          </w:tcPr>
          <w:p>
            <w:r>
              <w:t>肿胀程度、渗血</w:t>
            </w:r>
          </w:p>
        </w:tc>
        <w:tc>
          <w:tcPr>
            <w:tcW w:type="dxa" w:w="2880"/>
          </w:tcPr>
          <w:p>
            <w:r>
              <w:t>换药、记录照片</w:t>
            </w:r>
          </w:p>
        </w:tc>
      </w:tr>
      <w:tr>
        <w:tc>
          <w:tcPr>
            <w:tcW w:type="dxa" w:w="2880"/>
          </w:tcPr>
          <w:p>
            <w:r>
              <w:t>术后 72 小时</w:t>
            </w:r>
          </w:p>
        </w:tc>
        <w:tc>
          <w:tcPr>
            <w:tcW w:type="dxa" w:w="2880"/>
          </w:tcPr>
          <w:p>
            <w:r>
              <w:t>静脉回流、水疱</w:t>
            </w:r>
          </w:p>
        </w:tc>
        <w:tc>
          <w:tcPr>
            <w:tcW w:type="dxa" w:w="2880"/>
          </w:tcPr>
          <w:p>
            <w:r>
              <w:t>必要时拆线减压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