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C847E1">
      <w:pPr>
        <w:jc w:val="left"/>
        <w:rPr>
          <w:rFonts w:hint="eastAsia" w:eastAsia="楷体_GB2312"/>
          <w:b/>
          <w:bCs/>
          <w:sz w:val="52"/>
          <w:szCs w:val="52"/>
          <w:u w:val="single"/>
          <w:lang w:eastAsia="zh-CN"/>
        </w:rPr>
      </w:pPr>
      <w:bookmarkStart w:id="0" w:name="_Hlk509917724"/>
      <w:bookmarkEnd w:id="0"/>
      <w:bookmarkStart w:id="1" w:name="_Toc7888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92200" cy="882015"/>
            <wp:effectExtent l="0" t="0" r="0" b="0"/>
            <wp:wrapSquare wrapText="bothSides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88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eastAsia="楷体_GB2312"/>
          <w:b/>
          <w:bCs/>
          <w:sz w:val="52"/>
          <w:szCs w:val="52"/>
        </w:rPr>
        <w:t xml:space="preserve"> </w:t>
      </w:r>
      <w:r>
        <w:rPr>
          <w:rFonts w:eastAsia="楷体_GB2312"/>
          <w:b/>
          <w:bCs/>
          <w:sz w:val="52"/>
          <w:szCs w:val="52"/>
        </w:rPr>
        <w:t xml:space="preserve">             </w:t>
      </w:r>
      <w:r>
        <w:rPr>
          <w:rFonts w:hint="eastAsia" w:eastAsia="楷体_GB2312"/>
          <w:b/>
          <w:bCs/>
          <w:sz w:val="52"/>
          <w:szCs w:val="52"/>
        </w:rPr>
        <w:t>评分：</w:t>
      </w:r>
      <w:r>
        <w:rPr>
          <w:rFonts w:hint="eastAsia" w:eastAsia="楷体_GB2312"/>
          <w:b/>
          <w:bCs/>
          <w:sz w:val="52"/>
          <w:szCs w:val="52"/>
          <w:u w:val="single"/>
        </w:rPr>
        <w:t xml:space="preserve"> </w:t>
      </w:r>
      <w:r>
        <w:rPr>
          <w:rFonts w:eastAsia="楷体_GB2312"/>
          <w:b/>
          <w:bCs/>
          <w:sz w:val="52"/>
          <w:szCs w:val="52"/>
          <w:u w:val="single"/>
        </w:rPr>
        <w:t xml:space="preserve">   </w:t>
      </w:r>
    </w:p>
    <w:p w14:paraId="401BE390">
      <w:pPr>
        <w:jc w:val="left"/>
        <w:rPr>
          <w:rFonts w:hint="eastAsia" w:eastAsia="楷体_GB2312"/>
          <w:b/>
          <w:bCs/>
          <w:sz w:val="52"/>
          <w:szCs w:val="52"/>
          <w:u w:val="single"/>
          <w:lang w:eastAsia="zh-CN"/>
        </w:rPr>
      </w:pPr>
    </w:p>
    <w:p w14:paraId="40973989">
      <w:pPr>
        <w:jc w:val="center"/>
        <w:rPr>
          <w:rFonts w:eastAsia="楷体_GB2312"/>
          <w:b/>
          <w:bCs/>
          <w:sz w:val="52"/>
          <w:szCs w:val="52"/>
        </w:rPr>
      </w:pPr>
    </w:p>
    <w:p w14:paraId="5B78FEC0">
      <w:pPr>
        <w:jc w:val="center"/>
        <w:rPr>
          <w:rFonts w:eastAsia="楷体_GB2312"/>
          <w:b/>
          <w:bCs/>
          <w:sz w:val="72"/>
          <w:szCs w:val="72"/>
        </w:rPr>
      </w:pPr>
      <w:r>
        <w:rPr>
          <w:rFonts w:hint="eastAsia" w:eastAsia="楷体_GB2312"/>
          <w:b/>
          <w:bCs/>
          <w:sz w:val="72"/>
          <w:szCs w:val="72"/>
        </w:rPr>
        <w:t>《功率电子与运动控制实验二》</w:t>
      </w:r>
    </w:p>
    <w:p w14:paraId="660FAA96">
      <w:pPr>
        <w:jc w:val="center"/>
        <w:rPr>
          <w:rFonts w:eastAsia="楷体_GB2312"/>
          <w:b/>
          <w:bCs/>
          <w:sz w:val="72"/>
          <w:szCs w:val="72"/>
        </w:rPr>
      </w:pPr>
      <w:r>
        <w:rPr>
          <w:rFonts w:hint="eastAsia" w:eastAsia="楷体_GB2312"/>
          <w:b/>
          <w:bCs/>
          <w:sz w:val="72"/>
          <w:szCs w:val="72"/>
        </w:rPr>
        <w:t>实验报告</w:t>
      </w:r>
    </w:p>
    <w:p w14:paraId="33E87ECE">
      <w:pPr>
        <w:jc w:val="center"/>
        <w:rPr>
          <w:rFonts w:eastAsia="楷体_GB2312"/>
          <w:b/>
          <w:bCs/>
          <w:sz w:val="52"/>
          <w:szCs w:val="52"/>
        </w:rPr>
      </w:pPr>
    </w:p>
    <w:p w14:paraId="29B90C2A">
      <w:pPr>
        <w:jc w:val="center"/>
        <w:rPr>
          <w:rFonts w:eastAsia="楷体_GB2312"/>
          <w:b/>
          <w:bCs/>
          <w:sz w:val="52"/>
          <w:szCs w:val="52"/>
        </w:rPr>
      </w:pPr>
    </w:p>
    <w:p w14:paraId="71878838">
      <w:pPr>
        <w:spacing w:line="720" w:lineRule="auto"/>
        <w:ind w:firstLine="1124" w:firstLineChars="400"/>
        <w:rPr>
          <w:rFonts w:hint="eastAsia" w:ascii="楷体_GB2312" w:eastAsia="楷体_GB2312"/>
          <w:b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>实验名称：</w:t>
      </w:r>
      <w:r>
        <w:rPr>
          <w:rFonts w:hint="eastAsia" w:ascii="楷体_GB2312" w:eastAsia="楷体_GB2312"/>
          <w:b/>
          <w:bCs/>
          <w:sz w:val="28"/>
          <w:szCs w:val="28"/>
          <w:u w:val="single"/>
        </w:rPr>
        <w:t xml:space="preserve">单相交直交变频性能研究及单相正弦波（SPWM）逆变电路实验 </w:t>
      </w:r>
    </w:p>
    <w:p w14:paraId="74707214">
      <w:pPr>
        <w:ind w:firstLine="1134" w:firstLineChars="353"/>
        <w:rPr>
          <w:rFonts w:eastAsia="楷体_GB2312"/>
          <w:b/>
          <w:bCs/>
          <w:sz w:val="32"/>
          <w:szCs w:val="32"/>
        </w:rPr>
      </w:pPr>
    </w:p>
    <w:p w14:paraId="7FBFE428">
      <w:pPr>
        <w:ind w:firstLine="1134" w:firstLineChars="353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 导 教 师 </w:t>
      </w:r>
      <w:r>
        <w:rPr>
          <w:rFonts w:hint="eastAsia" w:eastAsia="楷体_GB2312"/>
          <w:b/>
          <w:bCs/>
          <w:sz w:val="32"/>
          <w:szCs w:val="32"/>
          <w:u w:val="single"/>
        </w:rPr>
        <w:t xml:space="preserve">  张智雄  </w:t>
      </w:r>
    </w:p>
    <w:p w14:paraId="4F9D602F">
      <w:pPr>
        <w:jc w:val="center"/>
        <w:rPr>
          <w:rFonts w:eastAsia="楷体_GB2312"/>
          <w:b/>
          <w:bCs/>
          <w:sz w:val="52"/>
          <w:szCs w:val="52"/>
        </w:rPr>
      </w:pPr>
    </w:p>
    <w:p w14:paraId="501C8F63">
      <w:pPr>
        <w:ind w:firstLine="1134" w:firstLineChars="353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>学生专业班级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      自卓2201班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   </w:t>
      </w:r>
      <w:r>
        <w:rPr>
          <w:rFonts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</w:p>
    <w:p w14:paraId="0605551C">
      <w:pPr>
        <w:ind w:firstLine="1129" w:firstLineChars="211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pacing w:val="107"/>
          <w:kern w:val="0"/>
          <w:sz w:val="32"/>
          <w:szCs w:val="32"/>
          <w:fitText w:val="1926" w:id="1726832602"/>
        </w:rPr>
        <w:t>学生姓</w:t>
      </w:r>
      <w:r>
        <w:rPr>
          <w:rFonts w:hint="eastAsia" w:eastAsia="楷体_GB2312"/>
          <w:b/>
          <w:bCs/>
          <w:spacing w:val="2"/>
          <w:kern w:val="0"/>
          <w:sz w:val="32"/>
          <w:szCs w:val="32"/>
          <w:fitText w:val="1926" w:id="1726832602"/>
        </w:rPr>
        <w:t>名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杨欣怡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/>
          <w:bCs/>
          <w:sz w:val="32"/>
          <w:szCs w:val="32"/>
        </w:rPr>
        <w:t>学号</w:t>
      </w:r>
      <w:r>
        <w:rPr>
          <w:rFonts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U202215067</w:t>
      </w:r>
      <w:r>
        <w:rPr>
          <w:rFonts w:eastAsia="楷体_GB2312"/>
          <w:bCs/>
          <w:sz w:val="32"/>
          <w:szCs w:val="32"/>
          <w:u w:val="single"/>
        </w:rPr>
        <w:t xml:space="preserve">    </w:t>
      </w:r>
    </w:p>
    <w:p w14:paraId="421BBEFD">
      <w:pPr>
        <w:ind w:firstLine="1134" w:firstLineChars="353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>同组学生姓名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董晨晨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/>
          <w:bCs/>
          <w:sz w:val="32"/>
          <w:szCs w:val="32"/>
        </w:rPr>
        <w:t>学号</w:t>
      </w:r>
      <w:r>
        <w:rPr>
          <w:rFonts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U</w:t>
      </w:r>
      <w:r>
        <w:rPr>
          <w:rFonts w:hint="eastAsia" w:eastAsia="楷体_GB2312"/>
          <w:bCs/>
          <w:sz w:val="32"/>
          <w:szCs w:val="32"/>
          <w:u w:val="single"/>
        </w:rPr>
        <w:t>202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</w:t>
      </w:r>
      <w:r>
        <w:rPr>
          <w:rFonts w:hint="eastAsia" w:eastAsia="楷体_GB2312"/>
          <w:bCs/>
          <w:sz w:val="32"/>
          <w:szCs w:val="32"/>
          <w:u w:val="single"/>
        </w:rPr>
        <w:t>15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275</w:t>
      </w:r>
      <w:r>
        <w:rPr>
          <w:rFonts w:eastAsia="楷体_GB2312"/>
          <w:bCs/>
          <w:sz w:val="32"/>
          <w:szCs w:val="32"/>
          <w:u w:val="single"/>
        </w:rPr>
        <w:t xml:space="preserve">    </w:t>
      </w:r>
    </w:p>
    <w:p w14:paraId="7A875CD0">
      <w:pPr>
        <w:ind w:firstLine="1134" w:firstLineChars="353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>同组学生姓名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怀振深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/>
          <w:bCs/>
          <w:sz w:val="32"/>
          <w:szCs w:val="32"/>
        </w:rPr>
        <w:t>学号</w:t>
      </w:r>
      <w:r>
        <w:rPr>
          <w:rFonts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U202215018</w:t>
      </w:r>
      <w:r>
        <w:rPr>
          <w:rFonts w:eastAsia="楷体_GB2312"/>
          <w:bCs/>
          <w:sz w:val="32"/>
          <w:szCs w:val="32"/>
          <w:u w:val="single"/>
        </w:rPr>
        <w:t xml:space="preserve">    </w:t>
      </w:r>
    </w:p>
    <w:p w14:paraId="5A50D981">
      <w:pPr>
        <w:jc w:val="center"/>
        <w:rPr>
          <w:rFonts w:eastAsia="楷体_GB2312"/>
          <w:b/>
          <w:bCs/>
          <w:sz w:val="52"/>
          <w:szCs w:val="52"/>
        </w:rPr>
      </w:pPr>
    </w:p>
    <w:p w14:paraId="7990BADA">
      <w:pPr>
        <w:jc w:val="center"/>
        <w:rPr>
          <w:rFonts w:eastAsia="楷体_GB2312"/>
          <w:b/>
          <w:bCs/>
          <w:sz w:val="52"/>
          <w:szCs w:val="52"/>
        </w:rPr>
      </w:pPr>
    </w:p>
    <w:p w14:paraId="1E3FD32A">
      <w:pPr>
        <w:jc w:val="center"/>
        <w:rPr>
          <w:rFonts w:eastAsia="楷体_GB2312"/>
          <w:b/>
          <w:bCs/>
          <w:sz w:val="36"/>
          <w:szCs w:val="36"/>
        </w:rPr>
      </w:pPr>
    </w:p>
    <w:p w14:paraId="048BC9E0">
      <w:pPr>
        <w:jc w:val="center"/>
        <w:rPr>
          <w:rFonts w:eastAsia="楷体_GB2312"/>
          <w:b/>
          <w:bCs/>
          <w:sz w:val="36"/>
          <w:szCs w:val="36"/>
        </w:rPr>
      </w:pPr>
    </w:p>
    <w:p w14:paraId="2814383D">
      <w:pPr>
        <w:jc w:val="center"/>
        <w:rPr>
          <w:rFonts w:eastAsia="楷体_GB2312"/>
          <w:b/>
          <w:bCs/>
          <w:sz w:val="36"/>
          <w:szCs w:val="36"/>
        </w:rPr>
      </w:pPr>
    </w:p>
    <w:p w14:paraId="39759812">
      <w:pPr>
        <w:jc w:val="center"/>
        <w:rPr>
          <w:rFonts w:eastAsia="楷体_GB2312"/>
          <w:b/>
          <w:bCs/>
          <w:sz w:val="36"/>
          <w:szCs w:val="36"/>
        </w:rPr>
      </w:pPr>
    </w:p>
    <w:p w14:paraId="0CD28D38">
      <w:pPr>
        <w:jc w:val="center"/>
        <w:rPr>
          <w:rFonts w:hint="eastAsia" w:eastAsia="楷体_GB2312"/>
          <w:b/>
          <w:bCs/>
          <w:sz w:val="36"/>
          <w:szCs w:val="36"/>
        </w:rPr>
      </w:pPr>
      <w:r>
        <w:rPr>
          <w:rFonts w:hint="eastAsia" w:eastAsia="楷体_GB2312"/>
          <w:b/>
          <w:bCs/>
          <w:sz w:val="36"/>
          <w:szCs w:val="36"/>
        </w:rPr>
        <w:t>自动化学院教学实验中心</w:t>
      </w:r>
      <w:bookmarkEnd w:id="1"/>
    </w:p>
    <w:p w14:paraId="60D1666E">
      <w:pPr>
        <w:sectPr>
          <w:headerReference r:id="rId4" w:type="first"/>
          <w:headerReference r:id="rId3" w:type="default"/>
          <w:footerReference r:id="rId5" w:type="default"/>
          <w:pgSz w:w="11906" w:h="16838"/>
          <w:pgMar w:top="851" w:right="851" w:bottom="851" w:left="720" w:header="567" w:footer="567" w:gutter="0"/>
          <w:pgNumType w:fmt="upperRoman" w:start="1"/>
          <w:cols w:space="720" w:num="1"/>
          <w:titlePg/>
          <w:docGrid w:type="lines" w:linePitch="312" w:charSpace="0"/>
        </w:sectPr>
      </w:pPr>
    </w:p>
    <w:p w14:paraId="599597EA">
      <w:pPr>
        <w:pStyle w:val="2"/>
      </w:pPr>
      <w:bookmarkStart w:id="2" w:name="_Toc8200"/>
      <w:bookmarkStart w:id="3" w:name="_Toc510639961"/>
      <w:r>
        <w:rPr>
          <w:rFonts w:hint="eastAsia"/>
        </w:rPr>
        <w:t>目录</w:t>
      </w:r>
      <w:bookmarkEnd w:id="2"/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-98276647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 w14:paraId="5BC5F6E6">
          <w:pPr>
            <w:pStyle w:val="12"/>
          </w:pPr>
        </w:p>
        <w:p w14:paraId="64DE494A">
          <w:pPr>
            <w:pStyle w:val="7"/>
            <w:tabs>
              <w:tab w:val="right" w:leader="dot" w:pos="10335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_Toc8200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04616EC2">
          <w:pPr>
            <w:pStyle w:val="7"/>
            <w:tabs>
              <w:tab w:val="right" w:leader="dot" w:pos="10335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实验报告内容</w:t>
          </w:r>
          <w:r>
            <w:tab/>
          </w:r>
          <w:r>
            <w:fldChar w:fldCharType="begin"/>
          </w:r>
          <w:r>
            <w:instrText xml:space="preserve"> PAGEREF _Toc31044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600A12D2">
          <w:pPr>
            <w:pStyle w:val="8"/>
            <w:tabs>
              <w:tab w:val="right" w:leader="dot" w:pos="10335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一、实验目的</w:t>
          </w:r>
          <w:r>
            <w:tab/>
          </w:r>
          <w:r>
            <w:fldChar w:fldCharType="begin"/>
          </w:r>
          <w:r>
            <w:instrText xml:space="preserve"> PAGEREF _Toc4474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7FE2A230">
          <w:pPr>
            <w:pStyle w:val="8"/>
            <w:tabs>
              <w:tab w:val="right" w:leader="dot" w:pos="10335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二、实验所需挂件及附件</w:t>
          </w:r>
          <w:r>
            <w:tab/>
          </w:r>
          <w:r>
            <w:fldChar w:fldCharType="begin"/>
          </w:r>
          <w:r>
            <w:instrText xml:space="preserve"> PAGEREF _Toc24071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5FB0AB15">
          <w:pPr>
            <w:pStyle w:val="8"/>
            <w:tabs>
              <w:tab w:val="right" w:leader="dot" w:pos="10335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_Toc30215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三、实验线路及原理</w:t>
          </w:r>
          <w:r>
            <w:tab/>
          </w:r>
          <w:r>
            <w:fldChar w:fldCharType="begin"/>
          </w:r>
          <w:r>
            <w:instrText xml:space="preserve"> PAGEREF _Toc30215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72AAE067">
          <w:pPr>
            <w:pStyle w:val="8"/>
            <w:tabs>
              <w:tab w:val="right" w:leader="dot" w:pos="10335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_Toc15745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四、实验结论及分析</w:t>
          </w:r>
          <w:r>
            <w:tab/>
          </w:r>
          <w:r>
            <w:fldChar w:fldCharType="begin"/>
          </w:r>
          <w:r>
            <w:instrText xml:space="preserve"> PAGEREF _Toc15745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0FF827FC">
          <w:pPr>
            <w:pStyle w:val="8"/>
            <w:tabs>
              <w:tab w:val="right" w:leader="dot" w:pos="10335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五、思考题</w:t>
          </w:r>
          <w:r>
            <w:tab/>
          </w:r>
          <w:r>
            <w:fldChar w:fldCharType="begin"/>
          </w:r>
          <w:r>
            <w:instrText xml:space="preserve"> PAGEREF _Toc15512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568F4DDD">
          <w:pPr>
            <w:pStyle w:val="8"/>
            <w:tabs>
              <w:tab w:val="right" w:leader="dot" w:pos="10335"/>
            </w:tabs>
          </w:pPr>
          <w:r>
            <w:rPr>
              <w:rFonts w:hint="eastAsia"/>
              <w:lang w:val="zh-CN"/>
            </w:rPr>
            <w:fldChar w:fldCharType="begin"/>
          </w:r>
          <w:r>
            <w:rPr>
              <w:rFonts w:hint="eastAsia"/>
              <w:lang w:val="zh-CN"/>
            </w:rPr>
            <w:instrText xml:space="preserve"> HYPERLINK \l _Toc8977 </w:instrText>
          </w:r>
          <w:r>
            <w:rPr>
              <w:rFonts w:hint="eastAsia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 实验心得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PAGEREF _Toc8977 \h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  <w:lang w:val="zh-CN"/>
            </w:rPr>
            <w:fldChar w:fldCharType="end"/>
          </w:r>
        </w:p>
        <w:p w14:paraId="4DF4F44A">
          <w:r>
            <w:rPr>
              <w:bCs/>
              <w:lang w:val="zh-CN"/>
            </w:rPr>
            <w:fldChar w:fldCharType="end"/>
          </w:r>
        </w:p>
      </w:sdtContent>
    </w:sdt>
    <w:p w14:paraId="2F8D2FB7"/>
    <w:p w14:paraId="04ACBCC0">
      <w:pPr>
        <w:sectPr>
          <w:headerReference r:id="rId6" w:type="default"/>
          <w:footerReference r:id="rId7" w:type="default"/>
          <w:pgSz w:w="11906" w:h="16838"/>
          <w:pgMar w:top="851" w:right="851" w:bottom="851" w:left="720" w:header="283" w:footer="567" w:gutter="0"/>
          <w:pgNumType w:start="1"/>
          <w:cols w:space="720" w:num="1"/>
          <w:docGrid w:type="lines" w:linePitch="312" w:charSpace="0"/>
        </w:sectPr>
      </w:pPr>
    </w:p>
    <w:bookmarkEnd w:id="3"/>
    <w:p w14:paraId="78E25C70">
      <w:pPr>
        <w:pStyle w:val="2"/>
        <w:rPr>
          <w:rFonts w:hint="eastAsia"/>
        </w:rPr>
      </w:pPr>
      <w:bookmarkStart w:id="4" w:name="_Toc31044"/>
      <w:r>
        <w:rPr>
          <w:rFonts w:hint="eastAsia"/>
        </w:rPr>
        <w:t>实验报告内容</w:t>
      </w:r>
      <w:bookmarkEnd w:id="4"/>
    </w:p>
    <w:p w14:paraId="51FF44EE">
      <w:pPr>
        <w:pStyle w:val="3"/>
        <w:spacing w:before="561"/>
        <w:ind w:left="0" w:leftChars="0" w:right="210" w:firstLine="0" w:firstLineChars="0"/>
      </w:pPr>
      <w:bookmarkStart w:id="5" w:name="_Toc135215924"/>
      <w:bookmarkStart w:id="6" w:name="_Toc4474"/>
      <w:r>
        <w:rPr>
          <w:rFonts w:hint="eastAsia"/>
        </w:rPr>
        <w:t>一、实验目的</w:t>
      </w:r>
      <w:bookmarkEnd w:id="5"/>
      <w:bookmarkEnd w:id="6"/>
    </w:p>
    <w:p w14:paraId="06ED7FCA">
      <w:pPr>
        <w:pStyle w:val="13"/>
        <w:numPr>
          <w:ilvl w:val="0"/>
          <w:numId w:val="1"/>
        </w:numPr>
        <w:ind w:firstLineChars="0"/>
        <w:rPr>
          <w:sz w:val="28"/>
          <w:szCs w:val="36"/>
        </w:rPr>
      </w:pPr>
      <w:r>
        <w:rPr>
          <w:sz w:val="28"/>
          <w:szCs w:val="36"/>
        </w:rPr>
        <w:t>熟悉单相交直交变频电路原理及电路组成。</w:t>
      </w:r>
    </w:p>
    <w:p w14:paraId="5A48C7C1">
      <w:pPr>
        <w:pStyle w:val="13"/>
        <w:numPr>
          <w:ilvl w:val="0"/>
          <w:numId w:val="1"/>
        </w:numPr>
        <w:ind w:firstLineChars="0"/>
        <w:rPr>
          <w:sz w:val="28"/>
          <w:szCs w:val="36"/>
        </w:rPr>
      </w:pPr>
      <w:r>
        <w:rPr>
          <w:sz w:val="28"/>
          <w:szCs w:val="36"/>
        </w:rPr>
        <w:t>熟悉 ICL8038 的功能。</w:t>
      </w:r>
    </w:p>
    <w:p w14:paraId="58AA99DE">
      <w:pPr>
        <w:pStyle w:val="13"/>
        <w:numPr>
          <w:ilvl w:val="0"/>
          <w:numId w:val="1"/>
        </w:numPr>
        <w:ind w:firstLineChars="0"/>
        <w:rPr>
          <w:sz w:val="28"/>
          <w:szCs w:val="36"/>
        </w:rPr>
      </w:pPr>
      <w:r>
        <w:rPr>
          <w:sz w:val="28"/>
          <w:szCs w:val="36"/>
        </w:rPr>
        <w:t>掌握 SPWM 波产生的基理。</w:t>
      </w:r>
    </w:p>
    <w:p w14:paraId="6CF93D2A">
      <w:pPr>
        <w:pStyle w:val="13"/>
        <w:numPr>
          <w:ilvl w:val="0"/>
          <w:numId w:val="1"/>
        </w:numPr>
        <w:ind w:firstLineChars="0"/>
        <w:rPr>
          <w:sz w:val="28"/>
          <w:szCs w:val="36"/>
        </w:rPr>
      </w:pPr>
      <w:r>
        <w:rPr>
          <w:sz w:val="28"/>
          <w:szCs w:val="36"/>
        </w:rPr>
        <w:t>分析交直交变频电路在不同负载时的工作情况和波形，并研究工作频率对电路工作波形的影响。</w:t>
      </w:r>
    </w:p>
    <w:p w14:paraId="266E0137">
      <w:pPr>
        <w:pStyle w:val="3"/>
        <w:spacing w:before="561"/>
        <w:ind w:left="0" w:leftChars="0" w:right="210" w:firstLine="0" w:firstLineChars="0"/>
      </w:pPr>
      <w:bookmarkStart w:id="7" w:name="_Toc135215925"/>
      <w:bookmarkStart w:id="8" w:name="_Toc24071"/>
      <w:r>
        <w:rPr>
          <w:rFonts w:hint="eastAsia"/>
        </w:rPr>
        <w:t>二、实验所需挂件及附件</w:t>
      </w:r>
      <w:bookmarkEnd w:id="7"/>
      <w:bookmarkEnd w:id="8"/>
    </w:p>
    <w:tbl>
      <w:tblPr>
        <w:tblStyle w:val="10"/>
        <w:tblW w:w="1062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"/>
        <w:gridCol w:w="3955"/>
        <w:gridCol w:w="5670"/>
      </w:tblGrid>
      <w:tr w14:paraId="230F9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  <w:jc w:val="center"/>
        </w:trPr>
        <w:tc>
          <w:tcPr>
            <w:tcW w:w="1002" w:type="dxa"/>
            <w:vAlign w:val="center"/>
          </w:tcPr>
          <w:p w14:paraId="3C82A786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序号</w:t>
            </w:r>
          </w:p>
        </w:tc>
        <w:tc>
          <w:tcPr>
            <w:tcW w:w="3955" w:type="dxa"/>
            <w:vAlign w:val="center"/>
          </w:tcPr>
          <w:p w14:paraId="68AE160D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型号</w:t>
            </w:r>
          </w:p>
        </w:tc>
        <w:tc>
          <w:tcPr>
            <w:tcW w:w="5670" w:type="dxa"/>
            <w:vAlign w:val="center"/>
          </w:tcPr>
          <w:p w14:paraId="555AC10D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实验中使用部件</w:t>
            </w:r>
          </w:p>
        </w:tc>
      </w:tr>
      <w:tr w14:paraId="07F138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  <w:jc w:val="center"/>
        </w:trPr>
        <w:tc>
          <w:tcPr>
            <w:tcW w:w="1002" w:type="dxa"/>
            <w:vAlign w:val="center"/>
          </w:tcPr>
          <w:p w14:paraId="2F470744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</w:p>
        </w:tc>
        <w:tc>
          <w:tcPr>
            <w:tcW w:w="3955" w:type="dxa"/>
            <w:vAlign w:val="center"/>
          </w:tcPr>
          <w:p w14:paraId="385661FD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DJK01电源控制屏</w:t>
            </w:r>
          </w:p>
        </w:tc>
        <w:tc>
          <w:tcPr>
            <w:tcW w:w="5670" w:type="dxa"/>
            <w:vAlign w:val="center"/>
          </w:tcPr>
          <w:p w14:paraId="2B4228BF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该控制屏包含“三相电源输出”等几个模块</w:t>
            </w:r>
          </w:p>
        </w:tc>
      </w:tr>
      <w:tr w14:paraId="46B346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002" w:type="dxa"/>
            <w:vAlign w:val="center"/>
          </w:tcPr>
          <w:p w14:paraId="1CBA6BE3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</w:p>
        </w:tc>
        <w:tc>
          <w:tcPr>
            <w:tcW w:w="3955" w:type="dxa"/>
            <w:vAlign w:val="center"/>
          </w:tcPr>
          <w:p w14:paraId="16BDAFE9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DJK09单相调压与可控负载</w:t>
            </w:r>
          </w:p>
        </w:tc>
        <w:tc>
          <w:tcPr>
            <w:tcW w:w="5670" w:type="dxa"/>
            <w:vAlign w:val="center"/>
          </w:tcPr>
          <w:p w14:paraId="4383F9ED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该挂件包含“单相自耦调压器”等模块</w:t>
            </w:r>
          </w:p>
        </w:tc>
      </w:tr>
      <w:tr w14:paraId="486D6F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  <w:jc w:val="center"/>
        </w:trPr>
        <w:tc>
          <w:tcPr>
            <w:tcW w:w="1002" w:type="dxa"/>
            <w:vAlign w:val="center"/>
          </w:tcPr>
          <w:p w14:paraId="54B4D9F3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</w:t>
            </w:r>
          </w:p>
        </w:tc>
        <w:tc>
          <w:tcPr>
            <w:tcW w:w="3955" w:type="dxa"/>
            <w:vAlign w:val="center"/>
          </w:tcPr>
          <w:p w14:paraId="23249128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DJK14单相交直交变频原理</w:t>
            </w:r>
          </w:p>
        </w:tc>
        <w:tc>
          <w:tcPr>
            <w:tcW w:w="5670" w:type="dxa"/>
            <w:vAlign w:val="center"/>
          </w:tcPr>
          <w:p w14:paraId="07EC379A">
            <w:pPr>
              <w:jc w:val="left"/>
              <w:rPr>
                <w:sz w:val="24"/>
                <w:szCs w:val="32"/>
              </w:rPr>
            </w:pPr>
          </w:p>
        </w:tc>
      </w:tr>
      <w:tr w14:paraId="0C39D9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  <w:jc w:val="center"/>
        </w:trPr>
        <w:tc>
          <w:tcPr>
            <w:tcW w:w="1002" w:type="dxa"/>
            <w:vAlign w:val="center"/>
          </w:tcPr>
          <w:p w14:paraId="7FF75A9D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</w:t>
            </w:r>
          </w:p>
        </w:tc>
        <w:tc>
          <w:tcPr>
            <w:tcW w:w="3955" w:type="dxa"/>
            <w:vAlign w:val="center"/>
          </w:tcPr>
          <w:p w14:paraId="171A0ADF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双踪示波器</w:t>
            </w:r>
          </w:p>
        </w:tc>
        <w:tc>
          <w:tcPr>
            <w:tcW w:w="5670" w:type="dxa"/>
            <w:vAlign w:val="center"/>
          </w:tcPr>
          <w:p w14:paraId="62B4AFB1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自备</w:t>
            </w:r>
          </w:p>
        </w:tc>
      </w:tr>
      <w:tr w14:paraId="0986DE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  <w:jc w:val="center"/>
        </w:trPr>
        <w:tc>
          <w:tcPr>
            <w:tcW w:w="1002" w:type="dxa"/>
            <w:vAlign w:val="center"/>
          </w:tcPr>
          <w:p w14:paraId="4FB082E2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</w:t>
            </w:r>
          </w:p>
        </w:tc>
        <w:tc>
          <w:tcPr>
            <w:tcW w:w="3955" w:type="dxa"/>
            <w:vAlign w:val="center"/>
          </w:tcPr>
          <w:p w14:paraId="37762B05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万用表</w:t>
            </w:r>
          </w:p>
        </w:tc>
        <w:tc>
          <w:tcPr>
            <w:tcW w:w="5670" w:type="dxa"/>
            <w:vAlign w:val="center"/>
          </w:tcPr>
          <w:p w14:paraId="6F82ED41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自备</w:t>
            </w:r>
          </w:p>
        </w:tc>
      </w:tr>
    </w:tbl>
    <w:p w14:paraId="5E1D4F6E">
      <w:pPr>
        <w:pStyle w:val="3"/>
        <w:spacing w:before="561"/>
        <w:ind w:left="0" w:leftChars="0" w:right="210" w:firstLine="0" w:firstLineChars="0"/>
      </w:pPr>
      <w:bookmarkStart w:id="9" w:name="_Toc30215"/>
      <w:bookmarkStart w:id="10" w:name="_Toc135215926"/>
      <w:r>
        <w:rPr>
          <w:rFonts w:hint="eastAsia"/>
        </w:rPr>
        <w:t>三、实验线路及原理</w:t>
      </w:r>
      <w:bookmarkEnd w:id="9"/>
      <w:bookmarkEnd w:id="10"/>
    </w:p>
    <w:p w14:paraId="15E71B48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1、实验原理图及工作原理分析</w:t>
      </w:r>
    </w:p>
    <w:p w14:paraId="0D27E254">
      <w:p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采用SPWM正弦波脉宽调制，通过改变调制频率，实现交直交变频的目的。</w:t>
      </w:r>
      <w:r>
        <w:rPr>
          <w:rFonts w:hint="eastAsia"/>
          <w:sz w:val="28"/>
          <w:szCs w:val="36"/>
        </w:rPr>
        <w:t>实验</w:t>
      </w:r>
      <w:r>
        <w:rPr>
          <w:sz w:val="28"/>
          <w:szCs w:val="36"/>
        </w:rPr>
        <w:t>电路由三部分组成：即主电路, 驱动电路和控制电路。</w:t>
      </w:r>
    </w:p>
    <w:p w14:paraId="3B6CCBA1">
      <w:pPr>
        <w:ind w:left="840" w:hanging="840" w:hangingChars="300"/>
        <w:rPr>
          <w:sz w:val="28"/>
          <w:szCs w:val="36"/>
        </w:rPr>
      </w:pPr>
      <w:r>
        <w:rPr>
          <w:rFonts w:hint="eastAsia"/>
          <w:sz w:val="28"/>
          <w:szCs w:val="36"/>
        </w:rPr>
        <w:t>（1）主电路部分：</w:t>
      </w:r>
    </w:p>
    <w:p w14:paraId="376E8D4A">
      <w:pPr>
        <w:ind w:left="630" w:hanging="630" w:hangingChars="300"/>
        <w:jc w:val="center"/>
        <w:rPr>
          <w:sz w:val="28"/>
          <w:szCs w:val="36"/>
        </w:rPr>
      </w:pPr>
      <w:r>
        <w:drawing>
          <wp:inline distT="0" distB="0" distL="0" distR="0">
            <wp:extent cx="3929380" cy="1153795"/>
            <wp:effectExtent l="0" t="0" r="2540" b="4445"/>
            <wp:docPr id="1030436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646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398" cy="11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E892">
      <w:pPr>
        <w:ind w:left="560"/>
        <w:jc w:val="center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图1 主电路结构原理图</w:t>
      </w:r>
    </w:p>
    <w:p w14:paraId="4A44BBDA">
      <w:p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如图 1 所示, 交直流变换部分（AC/DC）为不可控整流电路（由实验挂箱 DJK09 提供）；逆变部分（DC/AC）由四只IGBT管组成单相桥式逆变电路，采用双极性调制方式。输出经LC低通滤波器，滤除高次谐波，得到频率可调的正弦波（基波）交流输出</w:t>
      </w:r>
      <w:r>
        <w:rPr>
          <w:rFonts w:hint="eastAsia"/>
          <w:sz w:val="28"/>
          <w:szCs w:val="36"/>
        </w:rPr>
        <w:t>。</w:t>
      </w:r>
      <w:r>
        <w:rPr>
          <w:sz w:val="28"/>
          <w:szCs w:val="36"/>
        </w:rPr>
        <w:t>本实验设计的负载为电阻性或电阻电感性负载，在满足一定条件下,可接电阻启动式单相鼠笼式异步电动机。</w:t>
      </w:r>
    </w:p>
    <w:p w14:paraId="6C25EC83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（2）驱动电路部分：</w:t>
      </w:r>
    </w:p>
    <w:p w14:paraId="42DD5BE3">
      <w:p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如图 2（以其中一路为例）所示，采用IGBT管专用驱动芯片M57962L，其输入端接</w:t>
      </w:r>
      <w:r>
        <w:rPr>
          <w:rFonts w:hint="eastAsia"/>
          <w:sz w:val="28"/>
          <w:szCs w:val="36"/>
        </w:rPr>
        <w:t>控制</w:t>
      </w:r>
      <w:r>
        <w:rPr>
          <w:sz w:val="28"/>
          <w:szCs w:val="36"/>
        </w:rPr>
        <w:t>电路产生的SPWM信号，其输出可用以直接驱动IGBT管。其特点如下</w:t>
      </w:r>
      <w:r>
        <w:rPr>
          <w:rFonts w:hint="eastAsia"/>
          <w:sz w:val="28"/>
          <w:szCs w:val="36"/>
        </w:rPr>
        <w:t>:</w:t>
      </w:r>
    </w:p>
    <w:p w14:paraId="52F63E59">
      <w:pPr>
        <w:pStyle w:val="13"/>
        <w:numPr>
          <w:ilvl w:val="0"/>
          <w:numId w:val="2"/>
        </w:numPr>
        <w:ind w:firstLineChars="0"/>
        <w:rPr>
          <w:sz w:val="28"/>
          <w:szCs w:val="36"/>
        </w:rPr>
      </w:pPr>
      <w:r>
        <w:rPr>
          <w:sz w:val="28"/>
          <w:szCs w:val="36"/>
        </w:rPr>
        <w:t>采用快速型的光藕实现电气隔离。</w:t>
      </w:r>
    </w:p>
    <w:p w14:paraId="09543597">
      <w:pPr>
        <w:pStyle w:val="13"/>
        <w:numPr>
          <w:ilvl w:val="0"/>
          <w:numId w:val="2"/>
        </w:numPr>
        <w:ind w:firstLineChars="0"/>
        <w:rPr>
          <w:sz w:val="28"/>
          <w:szCs w:val="36"/>
        </w:rPr>
      </w:pPr>
      <w:r>
        <w:rPr>
          <w:sz w:val="28"/>
          <w:szCs w:val="36"/>
        </w:rPr>
        <w:t>具有过流保护功能，通过检测IGBT管的饱和压降来判断IGBT是否</w:t>
      </w:r>
      <w:r>
        <w:rPr>
          <w:rFonts w:hint="eastAsia"/>
          <w:sz w:val="28"/>
          <w:szCs w:val="36"/>
        </w:rPr>
        <w:t>过流，</w:t>
      </w:r>
      <w:r>
        <w:rPr>
          <w:sz w:val="28"/>
          <w:szCs w:val="36"/>
        </w:rPr>
        <w:t>过流时IGBT管CE结之间的饱和压降升到某一定值，使8脚输出低电平，在</w:t>
      </w:r>
      <w:r>
        <w:rPr>
          <w:rFonts w:hint="eastAsia"/>
          <w:sz w:val="28"/>
          <w:szCs w:val="36"/>
        </w:rPr>
        <w:t>光耦</w:t>
      </w:r>
      <w:r>
        <w:rPr>
          <w:sz w:val="28"/>
          <w:szCs w:val="36"/>
        </w:rPr>
        <w:t>TLP521的输出端OC1呈现高电平，经过流保护电路（见图3），使4013 的输出Q端呈现低电平，送控制电路，起到了封锁保护作用。</w:t>
      </w:r>
    </w:p>
    <w:p w14:paraId="31486E57">
      <w:pPr>
        <w:ind w:left="560"/>
        <w:jc w:val="center"/>
      </w:pPr>
      <w:r>
        <w:drawing>
          <wp:inline distT="0" distB="0" distL="0" distR="0">
            <wp:extent cx="4170045" cy="1799590"/>
            <wp:effectExtent l="0" t="0" r="5715" b="13970"/>
            <wp:docPr id="122328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874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664" cy="18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E220">
      <w:pPr>
        <w:ind w:left="560"/>
        <w:jc w:val="center"/>
      </w:pPr>
      <w:r>
        <w:rPr>
          <w:rFonts w:hint="eastAsia"/>
          <w:sz w:val="22"/>
          <w:szCs w:val="28"/>
        </w:rPr>
        <w:t>图2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驱动电路结构原理图 </w:t>
      </w:r>
      <w:r>
        <w:rPr>
          <w:sz w:val="22"/>
          <w:szCs w:val="28"/>
        </w:rPr>
        <w:t xml:space="preserve"> </w:t>
      </w:r>
    </w:p>
    <w:p w14:paraId="2CB27EAD">
      <w:pPr>
        <w:ind w:left="560"/>
        <w:jc w:val="center"/>
      </w:pPr>
      <w:r>
        <w:drawing>
          <wp:inline distT="0" distB="0" distL="0" distR="0">
            <wp:extent cx="1840230" cy="1835150"/>
            <wp:effectExtent l="0" t="0" r="3810" b="8890"/>
            <wp:docPr id="563606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637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9084" cy="185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ACDD">
      <w:pPr>
        <w:ind w:left="560"/>
        <w:jc w:val="center"/>
      </w:pPr>
      <w:r>
        <w:rPr>
          <w:rFonts w:hint="eastAsia"/>
          <w:sz w:val="22"/>
          <w:szCs w:val="28"/>
        </w:rPr>
        <w:t>图3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保护电路结构原理图</w:t>
      </w:r>
    </w:p>
    <w:p w14:paraId="63400106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（3）控制电路部分：</w:t>
      </w:r>
    </w:p>
    <w:p w14:paraId="5EBB9CB2">
      <w:p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控制电路如图5所示，它是由两片集成函数信号发生器ICL803</w:t>
      </w:r>
      <w:r>
        <w:rPr>
          <w:rFonts w:hint="eastAsia"/>
          <w:sz w:val="28"/>
          <w:szCs w:val="36"/>
        </w:rPr>
        <w:t>8</w:t>
      </w:r>
      <w:r>
        <w:rPr>
          <w:sz w:val="28"/>
          <w:szCs w:val="36"/>
        </w:rPr>
        <w:t>为核心组成，其中一片8038产生正弦调制波Ur，另一片用以产生三角载波Uc，将此两路信号经比较电路LM311异步调制后， 产生一系列等幅，不等宽的矩形波Um，即SPWM波。Um经反相器后，生成两路相位相差180°的</w:t>
      </w:r>
      <m:oMath>
        <m:r>
          <m:rPr/>
          <w:rPr>
            <w:rFonts w:ascii="Cambria Math" w:hAnsi="Cambria Math"/>
            <w:sz w:val="28"/>
            <w:szCs w:val="36"/>
          </w:rPr>
          <m:t>±</m:t>
        </m:r>
      </m:oMath>
      <w:r>
        <w:rPr>
          <w:sz w:val="28"/>
          <w:szCs w:val="36"/>
        </w:rPr>
        <w:t>PWM波，再经触发器CD4528延时后，得到两路相位相差180度并带一定死区范围的两路SPWM1和SPWM2波，作为主电路中两对开关管IGBT的控制信号。各波形的观测点均已引到面板上，可通过示波器进行观测。</w:t>
      </w:r>
    </w:p>
    <w:p w14:paraId="44947D47">
      <w:p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 xml:space="preserve">为了便于观察SPWM波，面板上设置了“测试”和“运行”选择开关，在“测试”状态下，三角载波Uc的频率为180Hz左右,此时可较清楚地观察到异步调制的SPWM波，通过示波器可比较清晰地观测SPWM波，但在此状态下不能带载运行，因载波比N 太低，不利于设备的正常运行。在“运行” 状态下，三角载波Uc频率为10kHz左右, 因波形的宽窄快速变化致使无法用普通示波器观察到SPWM波形，通过带储存的数字示波器的存储功能也可较清晰地观测SPWM波形。 </w:t>
      </w:r>
    </w:p>
    <w:p w14:paraId="5CBBC6CD">
      <w:p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 xml:space="preserve">正弦调制波Ur频率的调节范围设定为5-60Hz。 </w:t>
      </w:r>
    </w:p>
    <w:p w14:paraId="571E2A9A">
      <w:p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控制电路还设置了过流保护接口端 STOP，当有过流信号时，STOP呈低电平，经与门输出低电平，封锁了两路SPWM信号，使IGBT关断，起到保护作用。</w:t>
      </w:r>
    </w:p>
    <w:p w14:paraId="6C568AA9">
      <w:pPr>
        <w:ind w:firstLine="420" w:firstLineChars="200"/>
        <w:jc w:val="center"/>
        <w:rPr>
          <w:sz w:val="28"/>
          <w:szCs w:val="36"/>
        </w:rPr>
      </w:pPr>
      <w:r>
        <w:drawing>
          <wp:inline distT="0" distB="0" distL="0" distR="0">
            <wp:extent cx="4195445" cy="1588770"/>
            <wp:effectExtent l="0" t="0" r="10795" b="11430"/>
            <wp:docPr id="236172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7277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t="969"/>
                    <a:stretch>
                      <a:fillRect/>
                    </a:stretch>
                  </pic:blipFill>
                  <pic:spPr>
                    <a:xfrm>
                      <a:off x="0" y="0"/>
                      <a:ext cx="4208327" cy="15940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E763">
      <w:pPr>
        <w:ind w:firstLine="440" w:firstLineChars="200"/>
        <w:jc w:val="center"/>
        <w:rPr>
          <w:sz w:val="22"/>
          <w:szCs w:val="28"/>
        </w:rPr>
      </w:pPr>
      <w:r>
        <w:rPr>
          <w:rFonts w:hint="eastAsia"/>
          <w:sz w:val="22"/>
          <w:szCs w:val="28"/>
        </w:rPr>
        <w:t>图4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控制电路结构框图</w:t>
      </w:r>
    </w:p>
    <w:p w14:paraId="4389B6EB">
      <w:pPr>
        <w:ind w:firstLine="420" w:firstLineChars="200"/>
        <w:jc w:val="center"/>
        <w:rPr>
          <w:sz w:val="28"/>
          <w:szCs w:val="36"/>
        </w:rPr>
      </w:pPr>
      <w:r>
        <w:drawing>
          <wp:inline distT="0" distB="0" distL="0" distR="0">
            <wp:extent cx="5355590" cy="2097405"/>
            <wp:effectExtent l="0" t="0" r="8890" b="5715"/>
            <wp:docPr id="98897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7190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t="381"/>
                    <a:stretch>
                      <a:fillRect/>
                    </a:stretch>
                  </pic:blipFill>
                  <pic:spPr>
                    <a:xfrm>
                      <a:off x="0" y="0"/>
                      <a:ext cx="5377283" cy="21062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72BC">
      <w:pPr>
        <w:ind w:firstLine="440" w:firstLineChars="200"/>
        <w:jc w:val="center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图5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控制电路原理图</w:t>
      </w:r>
    </w:p>
    <w:p w14:paraId="778E336A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2、实验原理的理论分析及定量计算推导</w:t>
      </w:r>
    </w:p>
    <w:p w14:paraId="7F405470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  <w:lang w:eastAsia="zh-CN"/>
        </w:rPr>
        <w:t>）</w:t>
      </w:r>
      <w:r>
        <w:rPr>
          <w:rFonts w:hint="eastAsia"/>
          <w:sz w:val="28"/>
          <w:szCs w:val="28"/>
          <w:lang w:val="en-US" w:eastAsia="zh-CN"/>
        </w:rPr>
        <w:t>正弦调制SPWM信号分析</w:t>
      </w:r>
    </w:p>
    <w:p w14:paraId="1C838045"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在正弦波和三角波的自然交点时刻控制功率开关器件的通断，这种生成SPWM波形的方法称为自然采样法。</w:t>
      </w:r>
    </w:p>
    <w:p w14:paraId="4174A4BB">
      <w:pPr>
        <w:ind w:firstLine="420" w:firstLineChars="200"/>
        <w:jc w:val="center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61585" cy="1979930"/>
            <wp:effectExtent l="0" t="0" r="1333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376E">
      <w:pPr>
        <w:tabs>
          <w:tab w:val="left" w:pos="1162"/>
        </w:tabs>
        <w:jc w:val="center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图6</w:t>
      </w:r>
      <w:r>
        <w:rPr>
          <w:rFonts w:hint="eastAsia"/>
          <w:sz w:val="22"/>
          <w:szCs w:val="28"/>
          <w:lang w:val="en-US" w:eastAsia="zh-CN"/>
        </w:rPr>
        <w:t xml:space="preserve"> 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SPWM信号自然采样法或规则采样法</w:t>
      </w:r>
    </w:p>
    <w:p w14:paraId="6C26A1E5">
      <w:pPr>
        <w:tabs>
          <w:tab w:val="left" w:pos="1162"/>
        </w:tabs>
        <w:jc w:val="center"/>
      </w:pPr>
      <w:r>
        <w:drawing>
          <wp:inline distT="0" distB="0" distL="114300" distR="114300">
            <wp:extent cx="3855720" cy="2160270"/>
            <wp:effectExtent l="0" t="0" r="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C5B7">
      <w:pPr>
        <w:tabs>
          <w:tab w:val="left" w:pos="1162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 SPWM实验原理图</w:t>
      </w:r>
    </w:p>
    <w:p w14:paraId="0FE232DB">
      <w:pPr>
        <w:widowControl/>
        <w:ind w:firstLine="560" w:firstLineChars="20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</w:rPr>
        <w:t>工作时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1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2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的通断状态互补，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3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4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的通断状态互补。在输出电压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u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0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的正半周，让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1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保持通态，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2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保持断态，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3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4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交替通断；在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u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0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的负半周，让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2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保持通态，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1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保持断态，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3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和</w:t>
      </w:r>
      <m:oMath>
        <m:sSub>
          <m:sSubPr>
            <m:ctrlPr>
              <w:rPr>
                <w:rFonts w:ascii="Cambria Math" w:hAnsi="Cambria Math"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V</m:t>
            </m:r>
            <m:ctrlPr>
              <w:rPr>
                <w:rFonts w:ascii="Cambria Math" w:hAnsi="Cambria Math"/>
                <w:sz w:val="28"/>
                <w:szCs w:val="36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36"/>
              </w:rPr>
              <m:t>4</m:t>
            </m:r>
            <m:ctrlPr>
              <w:rPr>
                <w:rFonts w:ascii="Cambria Math" w:hAnsi="Cambria Math"/>
                <w:sz w:val="28"/>
                <w:szCs w:val="36"/>
              </w:rPr>
            </m:ctrlPr>
          </m:sub>
        </m:sSub>
      </m:oMath>
      <w:r>
        <w:rPr>
          <w:rFonts w:hint="eastAsia"/>
          <w:sz w:val="28"/>
          <w:szCs w:val="36"/>
        </w:rPr>
        <w:t>交替通断。</w:t>
      </w:r>
      <w:r>
        <w:rPr>
          <w:rFonts w:hint="eastAsia"/>
          <w:sz w:val="28"/>
          <w:szCs w:val="36"/>
          <w:lang w:val="en-US" w:eastAsia="zh-CN"/>
        </w:rPr>
        <w:t>通过控制信号波Ur和载波Uc的频率可以控制占空比以及频率。改变电压Ud可以改变输出电压的有效值。</w:t>
      </w:r>
    </w:p>
    <w:p w14:paraId="533FAF28">
      <w:pPr>
        <w:ind w:firstLine="560"/>
        <w:rPr>
          <w:rFonts w:hint="eastAsia" w:eastAsia="宋体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占空比</w:t>
      </w:r>
      <m:oMath>
        <m:r>
          <m:rPr>
            <m:sty m:val="p"/>
          </m:rPr>
          <w:rPr>
            <w:rFonts w:hint="eastAsia" w:ascii="Cambria Math" w:hAnsi="Cambria Math"/>
            <w:sz w:val="28"/>
            <w:szCs w:val="36"/>
            <w:lang w:val="en-US" w:eastAsia="zh-CN"/>
          </w:rPr>
          <m:t>ρ=</m:t>
        </m:r>
        <m:f>
          <m:fPr>
            <m:ctrlPr>
              <w:rPr>
                <w:rFonts w:hint="eastAsia" w:ascii="Cambria Math" w:hAnsi="Cambria Math"/>
                <w:sz w:val="28"/>
                <w:szCs w:val="36"/>
                <w:lang w:val="en-US" w:eastAsia="zh-CN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  <m:t>T</m:t>
                </m:r>
                <m:ctrl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  <m:t>on</m:t>
                </m:r>
                <m:ctrl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</m:ctrlPr>
              </m:sub>
            </m:sSub>
            <m:ctrlPr>
              <w:rPr>
                <w:rFonts w:hint="eastAsia" w:ascii="Cambria Math" w:hAnsi="Cambria Math"/>
                <w:sz w:val="28"/>
                <w:szCs w:val="36"/>
                <w:lang w:val="en-US" w:eastAsia="zh-CN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  <m:t>T</m:t>
                </m:r>
                <m:ctrl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  <m:t>c</m:t>
                </m:r>
                <m:ctrlPr>
                  <w:rPr>
                    <w:rFonts w:hint="eastAsia" w:ascii="Cambria Math" w:hAnsi="Cambria Math"/>
                    <w:sz w:val="28"/>
                    <w:szCs w:val="36"/>
                    <w:lang w:val="en-US" w:eastAsia="zh-CN"/>
                  </w:rPr>
                </m:ctrlPr>
              </m:sub>
            </m:sSub>
            <m:ctrlPr>
              <w:rPr>
                <w:rFonts w:hint="eastAsia" w:ascii="Cambria Math" w:hAnsi="Cambria Math"/>
                <w:sz w:val="28"/>
                <w:szCs w:val="36"/>
                <w:lang w:val="en-US" w:eastAsia="zh-CN"/>
              </w:rPr>
            </m:ctrlPr>
          </m:den>
        </m:f>
      </m:oMath>
      <w:r>
        <w:rPr>
          <w:rFonts w:hint="eastAsia"/>
          <w:sz w:val="28"/>
          <w:szCs w:val="36"/>
          <w:lang w:val="en-US" w:eastAsia="zh-CN"/>
        </w:rPr>
        <w:t>，调制信号Ur(t) = Urm*sin(</w:t>
      </w:r>
      <m:oMath>
        <m:r>
          <m:rPr>
            <m:sty m:val="p"/>
          </m:rPr>
          <w:rPr>
            <w:rFonts w:hint="eastAsia" w:ascii="Cambria Math" w:hAnsi="Cambria Math"/>
            <w:sz w:val="28"/>
            <w:szCs w:val="36"/>
            <w:lang w:val="en-US" w:eastAsia="zh-CN"/>
          </w:rPr>
          <m:t>ωt</m:t>
        </m:r>
      </m:oMath>
      <w:r>
        <w:rPr>
          <w:rFonts w:hint="eastAsia"/>
          <w:sz w:val="28"/>
          <w:szCs w:val="36"/>
          <w:lang w:val="en-US" w:eastAsia="zh-CN"/>
        </w:rPr>
        <w:t>);</w:t>
      </w:r>
      <w:r>
        <w:rPr>
          <w:rFonts w:hint="eastAsia"/>
          <w:sz w:val="28"/>
          <w:szCs w:val="36"/>
        </w:rPr>
        <w:t>载波比：</w:t>
      </w:r>
      <m:oMath>
        <m:r>
          <m:rPr/>
          <w:rPr>
            <w:rFonts w:ascii="Cambria Math" w:hAnsi="Cambria Math"/>
            <w:sz w:val="28"/>
            <w:szCs w:val="36"/>
          </w:rPr>
          <m:t>λ</m:t>
        </m:r>
        <m:r>
          <m:rPr/>
          <w:rPr>
            <w:rFonts w:hint="eastAsia" w:ascii="Cambria Math" w:hAnsi="Cambria Math"/>
            <w:sz w:val="28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f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c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f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</m:oMath>
      <w:r>
        <w:rPr>
          <w:rFonts w:hint="eastAsia" w:hAnsi="Cambria Math"/>
          <w:i w:val="0"/>
          <w:sz w:val="28"/>
          <w:szCs w:val="36"/>
          <w:lang w:eastAsia="zh-CN"/>
        </w:rPr>
        <w:t>；</w:t>
      </w:r>
      <w:r>
        <w:rPr>
          <w:rFonts w:hint="eastAsia"/>
          <w:sz w:val="28"/>
          <w:szCs w:val="36"/>
        </w:rPr>
        <w:t>调制比：</w:t>
      </w:r>
      <m:oMath>
        <m:r>
          <m:rPr/>
          <w:rPr>
            <w:rFonts w:ascii="Cambria Math" w:hAnsi="Cambria Math"/>
            <w:sz w:val="28"/>
            <w:szCs w:val="36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rm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cm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</m:oMath>
      <w:r>
        <w:rPr>
          <w:rFonts w:hint="eastAsia" w:hAnsi="Cambria Math"/>
          <w:i w:val="0"/>
          <w:sz w:val="28"/>
          <w:szCs w:val="36"/>
          <w:lang w:eastAsia="zh-CN"/>
        </w:rPr>
        <w:t>；</w:t>
      </w:r>
      <w:r>
        <w:rPr>
          <w:rFonts w:hint="eastAsia" w:hAnsi="Cambria Math"/>
          <w:i w:val="0"/>
          <w:sz w:val="28"/>
          <w:szCs w:val="36"/>
          <w:lang w:val="en-US" w:eastAsia="zh-CN"/>
        </w:rPr>
        <w:t>另外有</w:t>
      </w:r>
      <m:oMath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T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on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T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c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  <m:r>
          <m:rPr/>
          <w:rPr>
            <w:rFonts w:hint="eastAsia" w:ascii="Cambria Math" w:hAnsi="Cambria Math"/>
            <w:sz w:val="28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r>
              <m:rPr/>
              <w:rPr>
                <w:rFonts w:hint="default" w:ascii="Cambria Math" w:hAnsi="Cambria Math"/>
                <w:sz w:val="28"/>
                <w:szCs w:val="36"/>
                <w:lang w:val="en-US" w:eastAsia="zh-CN"/>
              </w:rPr>
              <m:t>Ur(t)</m:t>
            </m:r>
            <m:r>
              <m:rPr/>
              <w:rPr>
                <w:rFonts w:ascii="Cambria Math" w:hAnsi="Cambria Math"/>
                <w:sz w:val="28"/>
                <w:szCs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cm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36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cm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  <m:r>
          <m:rPr/>
          <w:rPr>
            <w:rFonts w:ascii="Cambria Math" w:hAnsi="Cambria Math"/>
            <w:sz w:val="28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36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36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  <m:r>
          <m:rPr/>
          <w:rPr>
            <w:rFonts w:ascii="Cambria Math" w:hAnsi="Cambria Math"/>
            <w:sz w:val="28"/>
            <w:szCs w:val="36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r>
              <m:rPr/>
              <w:rPr>
                <w:rFonts w:hint="default" w:ascii="Cambria Math" w:hAnsi="Cambria Math"/>
                <w:sz w:val="28"/>
                <w:szCs w:val="36"/>
                <w:lang w:val="en-US" w:eastAsia="zh-CN"/>
              </w:rPr>
              <m:t>Ur(t)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36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cm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  <m:r>
          <m:rPr/>
          <w:rPr>
            <w:rFonts w:ascii="Cambria Math" w:hAnsi="Cambria Math"/>
            <w:sz w:val="28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36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36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  <m:r>
          <m:rPr/>
          <w:rPr>
            <w:rFonts w:ascii="Cambria Math" w:hAnsi="Cambria Math"/>
            <w:sz w:val="28"/>
            <w:szCs w:val="36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t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</m:d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36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cm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</m:oMath>
      <w:r>
        <w:rPr>
          <w:rFonts w:hint="eastAsia" w:hAnsi="Cambria Math"/>
          <w:i w:val="0"/>
          <w:sz w:val="28"/>
          <w:szCs w:val="36"/>
          <w:lang w:val="en-US" w:eastAsia="zh-CN"/>
        </w:rPr>
        <w:t>≈</w:t>
      </w:r>
      <m:oMath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r>
              <m:rPr/>
              <w:rPr>
                <w:rFonts w:hint="eastAsia" w:ascii="Cambria Math" w:hAnsi="Cambria Math"/>
                <w:sz w:val="28"/>
                <w:szCs w:val="36"/>
              </w:rPr>
              <m:t>1+m</m:t>
            </m:r>
            <m:r>
              <m:rPr/>
              <w:rPr>
                <w:rFonts w:ascii="Cambria Math" w:hAnsi="Cambria Math"/>
                <w:sz w:val="28"/>
                <w:szCs w:val="36"/>
              </w:rPr>
              <m:t>sin(ωt)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r>
              <m:rPr/>
              <w:rPr>
                <w:rFonts w:hint="eastAsia" w:ascii="Cambria Math" w:hAnsi="Cambria Math"/>
                <w:sz w:val="28"/>
                <w:szCs w:val="36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</m:oMath>
      <w:r>
        <w:rPr>
          <w:rFonts w:hint="eastAsia" w:hAnsi="Cambria Math"/>
          <w:i w:val="0"/>
          <w:sz w:val="28"/>
          <w:szCs w:val="36"/>
          <w:lang w:eastAsia="zh-CN"/>
        </w:rPr>
        <w:t>。</w:t>
      </w:r>
    </w:p>
    <w:p w14:paraId="73BFEDFE">
      <w:pPr>
        <w:widowControl/>
        <w:numPr>
          <w:ilvl w:val="0"/>
          <w:numId w:val="3"/>
        </w:numPr>
        <w:jc w:val="left"/>
        <w:rPr>
          <w:rFonts w:hint="eastAsia"/>
          <w:kern w:val="0"/>
          <w:sz w:val="28"/>
          <w:szCs w:val="28"/>
          <w:lang w:val="en-US" w:eastAsia="zh-CN"/>
        </w:rPr>
      </w:pPr>
      <w:r>
        <w:rPr>
          <w:rFonts w:hint="eastAsia"/>
          <w:kern w:val="0"/>
          <w:sz w:val="28"/>
          <w:szCs w:val="28"/>
          <w:lang w:val="en-US" w:eastAsia="zh-CN"/>
        </w:rPr>
        <w:t>死区时间</w:t>
      </w:r>
    </w:p>
    <w:p w14:paraId="738C7C1A">
      <w:pPr>
        <w:widowControl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22040" cy="1800225"/>
            <wp:effectExtent l="0" t="0" r="508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80CB">
      <w:pPr>
        <w:widowControl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 PWM输出波形图</w:t>
      </w:r>
    </w:p>
    <w:p w14:paraId="3AF86090">
      <w:pPr>
        <w:pStyle w:val="3"/>
        <w:spacing w:before="561"/>
        <w:ind w:left="0" w:leftChars="0" w:right="210" w:firstLine="0" w:firstLineChars="0"/>
      </w:pPr>
      <w:bookmarkStart w:id="11" w:name="_Toc15745"/>
      <w:bookmarkStart w:id="12" w:name="_Toc135215927"/>
      <w:r>
        <w:rPr>
          <w:rFonts w:hint="eastAsia"/>
        </w:rPr>
        <w:t>四、实验结论及分析</w:t>
      </w:r>
      <w:bookmarkEnd w:id="11"/>
      <w:bookmarkEnd w:id="12"/>
    </w:p>
    <w:p w14:paraId="7F94FBEF">
      <w:pPr>
        <w:widowControl/>
        <w:numPr>
          <w:ilvl w:val="0"/>
          <w:numId w:val="0"/>
        </w:numPr>
        <w:jc w:val="left"/>
        <w:rPr>
          <w:rFonts w:hint="eastAsia"/>
          <w:kern w:val="0"/>
          <w:sz w:val="28"/>
          <w:szCs w:val="28"/>
          <w:lang w:val="en-US" w:eastAsia="zh-CN"/>
        </w:rPr>
      </w:pPr>
      <w:r>
        <w:rPr>
          <w:rFonts w:hint="eastAsia"/>
          <w:kern w:val="0"/>
          <w:sz w:val="28"/>
          <w:szCs w:val="28"/>
          <w:lang w:val="en-US" w:eastAsia="zh-CN"/>
        </w:rPr>
        <w:t>1.实验数据</w:t>
      </w:r>
    </w:p>
    <w:p w14:paraId="4757160D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表1：运行状态，纯阻性负载，研究定量关系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8"/>
              </w:rPr>
              <m:t>f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sub>
        </m:sSub>
        <m:r>
          <m:rPr/>
          <w:rPr>
            <w:rFonts w:hint="eastAsia" w:ascii="Cambria Math" w:hAnsi="Cambria Math"/>
            <w:sz w:val="22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2"/>
                    <w:szCs w:val="28"/>
                  </w:rPr>
                  <m:t>f</m:t>
                </m: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2"/>
                    <w:szCs w:val="28"/>
                  </w:rPr>
                  <m:t>r</m:t>
                </m: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sub>
            </m:sSub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</m:d>
        <m:r>
          <m:rPr/>
          <w:rPr>
            <w:rFonts w:hint="eastAsia" w:ascii="Cambria Math" w:hAnsi="Cambria Math"/>
            <w:sz w:val="22"/>
            <w:szCs w:val="28"/>
          </w:rPr>
          <m:t>、</m:t>
        </m:r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m:rPr/>
              <w:rPr>
                <w:rFonts w:hint="eastAsia" w:ascii="Cambria Math" w:hAnsi="Cambria Math"/>
                <w:sz w:val="22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sub>
        </m:sSub>
        <m:r>
          <m:rPr/>
          <w:rPr>
            <w:rFonts w:hint="eastAsia" w:ascii="Cambria Math" w:hAnsi="Cambria Math"/>
            <w:sz w:val="22"/>
            <w:szCs w:val="28"/>
          </w:rPr>
          <m:t>=f</m:t>
        </m:r>
        <m:r>
          <m:rPr/>
          <w:rPr>
            <w:rFonts w:ascii="Cambria Math" w:hAnsi="Cambria Math"/>
            <w:sz w:val="22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8"/>
              </w:rPr>
              <m:t>f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8"/>
              </w:rPr>
              <m:t>r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sub>
        </m:sSub>
        <m:r>
          <m:rPr/>
          <w:rPr>
            <w:rFonts w:ascii="Cambria Math" w:hAnsi="Cambria Math"/>
            <w:sz w:val="22"/>
            <w:szCs w:val="28"/>
          </w:rPr>
          <m:t>)</m:t>
        </m:r>
      </m:oMath>
    </w:p>
    <w:tbl>
      <w:tblPr>
        <w:tblStyle w:val="10"/>
        <w:tblW w:w="104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7"/>
        <w:gridCol w:w="773"/>
        <w:gridCol w:w="776"/>
        <w:gridCol w:w="779"/>
        <w:gridCol w:w="779"/>
        <w:gridCol w:w="777"/>
        <w:gridCol w:w="783"/>
        <w:gridCol w:w="783"/>
        <w:gridCol w:w="784"/>
        <w:gridCol w:w="784"/>
        <w:gridCol w:w="784"/>
        <w:gridCol w:w="784"/>
        <w:gridCol w:w="807"/>
      </w:tblGrid>
      <w:tr w14:paraId="7CCC2B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420" w:type="dxa"/>
            <w:gridSpan w:val="13"/>
            <w:noWrap w:val="0"/>
            <w:vAlign w:val="top"/>
          </w:tcPr>
          <w:p w14:paraId="513D1B33"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H桥直流母线电压Ud =100.0（V）</w:t>
            </w:r>
          </w:p>
        </w:tc>
      </w:tr>
      <w:tr w14:paraId="3BF719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27" w:type="dxa"/>
            <w:noWrap w:val="0"/>
            <w:vAlign w:val="top"/>
          </w:tcPr>
          <w:p w14:paraId="741E86E0">
            <w:pPr>
              <w:rPr>
                <w:rFonts w:hint="default" w:eastAsia="宋体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ub>
              </m:sSub>
            </m:oMath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773" w:type="dxa"/>
            <w:noWrap w:val="0"/>
            <w:vAlign w:val="top"/>
          </w:tcPr>
          <w:p w14:paraId="55DE417D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5.0</w:t>
            </w:r>
          </w:p>
        </w:tc>
        <w:tc>
          <w:tcPr>
            <w:tcW w:w="776" w:type="dxa"/>
            <w:noWrap w:val="0"/>
            <w:vAlign w:val="top"/>
          </w:tcPr>
          <w:p w14:paraId="110B1B9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</w:t>
            </w:r>
          </w:p>
        </w:tc>
        <w:tc>
          <w:tcPr>
            <w:tcW w:w="779" w:type="dxa"/>
            <w:noWrap w:val="0"/>
            <w:vAlign w:val="top"/>
          </w:tcPr>
          <w:p w14:paraId="62FE1318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15.0</w:t>
            </w:r>
          </w:p>
        </w:tc>
        <w:tc>
          <w:tcPr>
            <w:tcW w:w="779" w:type="dxa"/>
            <w:noWrap w:val="0"/>
            <w:vAlign w:val="top"/>
          </w:tcPr>
          <w:p w14:paraId="6C4D098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</w:t>
            </w:r>
          </w:p>
        </w:tc>
        <w:tc>
          <w:tcPr>
            <w:tcW w:w="777" w:type="dxa"/>
            <w:noWrap w:val="0"/>
            <w:vAlign w:val="top"/>
          </w:tcPr>
          <w:p w14:paraId="43014ED8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25.0</w:t>
            </w:r>
          </w:p>
        </w:tc>
        <w:tc>
          <w:tcPr>
            <w:tcW w:w="783" w:type="dxa"/>
            <w:noWrap w:val="0"/>
            <w:vAlign w:val="top"/>
          </w:tcPr>
          <w:p w14:paraId="51A4201E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30.0</w:t>
            </w:r>
          </w:p>
        </w:tc>
        <w:tc>
          <w:tcPr>
            <w:tcW w:w="783" w:type="dxa"/>
            <w:noWrap w:val="0"/>
            <w:vAlign w:val="top"/>
          </w:tcPr>
          <w:p w14:paraId="54235F7E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35.0</w:t>
            </w:r>
          </w:p>
        </w:tc>
        <w:tc>
          <w:tcPr>
            <w:tcW w:w="784" w:type="dxa"/>
            <w:noWrap w:val="0"/>
            <w:vAlign w:val="top"/>
          </w:tcPr>
          <w:p w14:paraId="6232ED0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40.0</w:t>
            </w:r>
          </w:p>
        </w:tc>
        <w:tc>
          <w:tcPr>
            <w:tcW w:w="784" w:type="dxa"/>
            <w:noWrap w:val="0"/>
            <w:vAlign w:val="top"/>
          </w:tcPr>
          <w:p w14:paraId="12D2CC27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45.0</w:t>
            </w:r>
          </w:p>
        </w:tc>
        <w:tc>
          <w:tcPr>
            <w:tcW w:w="784" w:type="dxa"/>
            <w:noWrap w:val="0"/>
            <w:vAlign w:val="top"/>
          </w:tcPr>
          <w:p w14:paraId="117BD8D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784" w:type="dxa"/>
            <w:noWrap w:val="0"/>
            <w:vAlign w:val="top"/>
          </w:tcPr>
          <w:p w14:paraId="5A2D805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55.0</w:t>
            </w:r>
          </w:p>
        </w:tc>
        <w:tc>
          <w:tcPr>
            <w:tcW w:w="807" w:type="dxa"/>
            <w:noWrap w:val="0"/>
            <w:vAlign w:val="top"/>
          </w:tcPr>
          <w:p w14:paraId="05F005E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60.0</w:t>
            </w:r>
          </w:p>
        </w:tc>
      </w:tr>
      <w:tr w14:paraId="13A934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027" w:type="dxa"/>
            <w:noWrap w:val="0"/>
            <w:vAlign w:val="top"/>
          </w:tcPr>
          <w:p w14:paraId="533031D0">
            <w:pPr>
              <w:rPr>
                <w:rFonts w:hint="default" w:eastAsia="宋体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ub>
              </m:sSub>
            </m:oMath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773" w:type="dxa"/>
            <w:noWrap w:val="0"/>
            <w:vAlign w:val="top"/>
          </w:tcPr>
          <w:p w14:paraId="3130A954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5.319</w:t>
            </w:r>
          </w:p>
        </w:tc>
        <w:tc>
          <w:tcPr>
            <w:tcW w:w="776" w:type="dxa"/>
            <w:noWrap w:val="0"/>
            <w:vAlign w:val="top"/>
          </w:tcPr>
          <w:p w14:paraId="70A86C5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10.42</w:t>
            </w:r>
          </w:p>
        </w:tc>
        <w:tc>
          <w:tcPr>
            <w:tcW w:w="779" w:type="dxa"/>
            <w:noWrap w:val="0"/>
            <w:vAlign w:val="top"/>
          </w:tcPr>
          <w:p w14:paraId="06D8F2A4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15.82</w:t>
            </w:r>
          </w:p>
        </w:tc>
        <w:tc>
          <w:tcPr>
            <w:tcW w:w="779" w:type="dxa"/>
            <w:noWrap w:val="0"/>
            <w:vAlign w:val="top"/>
          </w:tcPr>
          <w:p w14:paraId="7C03CB2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20.49</w:t>
            </w:r>
          </w:p>
        </w:tc>
        <w:tc>
          <w:tcPr>
            <w:tcW w:w="777" w:type="dxa"/>
            <w:noWrap w:val="0"/>
            <w:vAlign w:val="top"/>
          </w:tcPr>
          <w:p w14:paraId="42FC30D8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24.27</w:t>
            </w:r>
          </w:p>
        </w:tc>
        <w:tc>
          <w:tcPr>
            <w:tcW w:w="783" w:type="dxa"/>
            <w:noWrap w:val="0"/>
            <w:vAlign w:val="top"/>
          </w:tcPr>
          <w:p w14:paraId="3D7EB9F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29.07</w:t>
            </w:r>
          </w:p>
        </w:tc>
        <w:tc>
          <w:tcPr>
            <w:tcW w:w="783" w:type="dxa"/>
            <w:noWrap w:val="0"/>
            <w:vAlign w:val="top"/>
          </w:tcPr>
          <w:p w14:paraId="1BD8A2D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35.21</w:t>
            </w:r>
          </w:p>
        </w:tc>
        <w:tc>
          <w:tcPr>
            <w:tcW w:w="784" w:type="dxa"/>
            <w:noWrap w:val="0"/>
            <w:vAlign w:val="top"/>
          </w:tcPr>
          <w:p w14:paraId="771F4874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39.68</w:t>
            </w:r>
          </w:p>
        </w:tc>
        <w:tc>
          <w:tcPr>
            <w:tcW w:w="784" w:type="dxa"/>
            <w:noWrap w:val="0"/>
            <w:vAlign w:val="top"/>
          </w:tcPr>
          <w:p w14:paraId="18B77871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45.05</w:t>
            </w:r>
          </w:p>
        </w:tc>
        <w:tc>
          <w:tcPr>
            <w:tcW w:w="784" w:type="dxa"/>
            <w:noWrap w:val="0"/>
            <w:vAlign w:val="top"/>
          </w:tcPr>
          <w:p w14:paraId="6167906E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49.5</w:t>
            </w:r>
          </w:p>
        </w:tc>
        <w:tc>
          <w:tcPr>
            <w:tcW w:w="784" w:type="dxa"/>
            <w:noWrap w:val="0"/>
            <w:vAlign w:val="top"/>
          </w:tcPr>
          <w:p w14:paraId="424FFE08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55.56</w:t>
            </w:r>
          </w:p>
        </w:tc>
        <w:tc>
          <w:tcPr>
            <w:tcW w:w="807" w:type="dxa"/>
            <w:noWrap w:val="0"/>
            <w:vAlign w:val="top"/>
          </w:tcPr>
          <w:p w14:paraId="4974DB9A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59.52</w:t>
            </w:r>
          </w:p>
        </w:tc>
      </w:tr>
      <w:tr w14:paraId="0EFCF0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027" w:type="dxa"/>
            <w:noWrap w:val="0"/>
            <w:vAlign w:val="top"/>
          </w:tcPr>
          <w:p w14:paraId="23CCA58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</w:t>
            </w:r>
            <w:r>
              <w:rPr>
                <w:rFonts w:hint="eastAsia"/>
                <w:vertAlign w:val="subscript"/>
                <w:lang w:val="en-US" w:eastAsia="zh-CN"/>
              </w:rPr>
              <w:t>o</w:t>
            </w:r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773" w:type="dxa"/>
            <w:noWrap w:val="0"/>
            <w:vAlign w:val="top"/>
          </w:tcPr>
          <w:p w14:paraId="2481F6DD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44.4</w:t>
            </w:r>
          </w:p>
        </w:tc>
        <w:tc>
          <w:tcPr>
            <w:tcW w:w="776" w:type="dxa"/>
            <w:noWrap w:val="0"/>
            <w:vAlign w:val="top"/>
          </w:tcPr>
          <w:p w14:paraId="309E6EEC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46.6</w:t>
            </w:r>
          </w:p>
        </w:tc>
        <w:tc>
          <w:tcPr>
            <w:tcW w:w="779" w:type="dxa"/>
            <w:noWrap w:val="0"/>
            <w:vAlign w:val="top"/>
          </w:tcPr>
          <w:p w14:paraId="50E0ABD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47.5</w:t>
            </w:r>
          </w:p>
        </w:tc>
        <w:tc>
          <w:tcPr>
            <w:tcW w:w="779" w:type="dxa"/>
            <w:noWrap w:val="0"/>
            <w:vAlign w:val="top"/>
          </w:tcPr>
          <w:p w14:paraId="7D6CAA3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48.0</w:t>
            </w:r>
          </w:p>
        </w:tc>
        <w:tc>
          <w:tcPr>
            <w:tcW w:w="777" w:type="dxa"/>
            <w:noWrap w:val="0"/>
            <w:vAlign w:val="top"/>
          </w:tcPr>
          <w:p w14:paraId="04771DBA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48.1</w:t>
            </w:r>
          </w:p>
        </w:tc>
        <w:tc>
          <w:tcPr>
            <w:tcW w:w="783" w:type="dxa"/>
            <w:noWrap w:val="0"/>
            <w:vAlign w:val="top"/>
          </w:tcPr>
          <w:p w14:paraId="1B74BCF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48.9</w:t>
            </w:r>
          </w:p>
        </w:tc>
        <w:tc>
          <w:tcPr>
            <w:tcW w:w="783" w:type="dxa"/>
            <w:noWrap w:val="0"/>
            <w:vAlign w:val="top"/>
          </w:tcPr>
          <w:p w14:paraId="750A79D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49.2</w:t>
            </w:r>
          </w:p>
        </w:tc>
        <w:tc>
          <w:tcPr>
            <w:tcW w:w="784" w:type="dxa"/>
            <w:noWrap w:val="0"/>
            <w:vAlign w:val="top"/>
          </w:tcPr>
          <w:p w14:paraId="2D99427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49.2</w:t>
            </w:r>
          </w:p>
        </w:tc>
        <w:tc>
          <w:tcPr>
            <w:tcW w:w="784" w:type="dxa"/>
            <w:noWrap w:val="0"/>
            <w:vAlign w:val="top"/>
          </w:tcPr>
          <w:p w14:paraId="1EFCF81F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49.3</w:t>
            </w:r>
          </w:p>
        </w:tc>
        <w:tc>
          <w:tcPr>
            <w:tcW w:w="784" w:type="dxa"/>
            <w:noWrap w:val="0"/>
            <w:vAlign w:val="top"/>
          </w:tcPr>
          <w:p w14:paraId="3757678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49.4</w:t>
            </w:r>
          </w:p>
        </w:tc>
        <w:tc>
          <w:tcPr>
            <w:tcW w:w="784" w:type="dxa"/>
            <w:noWrap w:val="0"/>
            <w:vAlign w:val="top"/>
          </w:tcPr>
          <w:p w14:paraId="044FC5CC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49.5</w:t>
            </w:r>
          </w:p>
        </w:tc>
        <w:tc>
          <w:tcPr>
            <w:tcW w:w="807" w:type="dxa"/>
            <w:noWrap w:val="0"/>
            <w:vAlign w:val="top"/>
          </w:tcPr>
          <w:p w14:paraId="5BF24364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49.5</w:t>
            </w:r>
          </w:p>
        </w:tc>
      </w:tr>
    </w:tbl>
    <w:p w14:paraId="0382732E">
      <w:r>
        <w:rPr>
          <w:rFonts w:hint="eastAsia"/>
          <w:lang w:val="en-US" w:eastAsia="zh-CN"/>
        </w:rPr>
        <w:t>表2：运行状态，纯阻性负载，研究定量关系</w:t>
      </w:r>
      <w:r>
        <w:rPr>
          <w:rFonts w:hint="eastAsia"/>
          <w:sz w:val="22"/>
          <w:szCs w:val="28"/>
        </w:rPr>
        <w:t>研究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8"/>
              </w:rPr>
              <m:t>f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sub>
        </m:sSub>
        <m:r>
          <m:rPr/>
          <w:rPr>
            <w:rFonts w:hint="eastAsia" w:ascii="Cambria Math" w:hAnsi="Cambria Math"/>
            <w:sz w:val="22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2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2"/>
                    <w:szCs w:val="28"/>
                  </w:rPr>
                  <m:t>d</m:t>
                </m: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sub>
            </m:sSub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</m:d>
        <m:r>
          <m:rPr/>
          <w:rPr>
            <w:rFonts w:hint="eastAsia" w:ascii="Cambria Math" w:hAnsi="Cambria Math"/>
            <w:sz w:val="22"/>
            <w:szCs w:val="28"/>
          </w:rPr>
          <m:t>、</m:t>
        </m:r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m:rPr/>
              <w:rPr>
                <w:rFonts w:hint="eastAsia" w:ascii="Cambria Math" w:hAnsi="Cambria Math"/>
                <w:sz w:val="22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sub>
        </m:sSub>
        <m:r>
          <m:rPr/>
          <w:rPr>
            <w:rFonts w:hint="eastAsia" w:ascii="Cambria Math" w:hAnsi="Cambria Math"/>
            <w:sz w:val="22"/>
            <w:szCs w:val="28"/>
          </w:rPr>
          <m:t>=f</m:t>
        </m:r>
        <m:r>
          <m:rPr/>
          <w:rPr>
            <w:rFonts w:ascii="Cambria Math" w:hAnsi="Cambria Math"/>
            <w:sz w:val="22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8"/>
              </w:rPr>
              <m:t>d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sub>
        </m:sSub>
        <m:r>
          <m:rPr/>
          <w:rPr>
            <w:rFonts w:ascii="Cambria Math" w:hAnsi="Cambria Math"/>
            <w:sz w:val="22"/>
            <w:szCs w:val="28"/>
          </w:rPr>
          <m:t>)</m:t>
        </m:r>
      </m:oMath>
    </w:p>
    <w:tbl>
      <w:tblPr>
        <w:tblStyle w:val="10"/>
        <w:tblW w:w="103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1"/>
        <w:gridCol w:w="842"/>
        <w:gridCol w:w="842"/>
        <w:gridCol w:w="842"/>
        <w:gridCol w:w="842"/>
        <w:gridCol w:w="842"/>
        <w:gridCol w:w="842"/>
        <w:gridCol w:w="842"/>
        <w:gridCol w:w="842"/>
        <w:gridCol w:w="842"/>
        <w:gridCol w:w="843"/>
        <w:gridCol w:w="847"/>
      </w:tblGrid>
      <w:tr w14:paraId="27587A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0379" w:type="dxa"/>
            <w:gridSpan w:val="12"/>
            <w:noWrap w:val="0"/>
            <w:vAlign w:val="top"/>
          </w:tcPr>
          <w:p w14:paraId="7D88BC6C"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正弦信号频率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36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36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8"/>
                      <w:szCs w:val="36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3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36"/>
                    </w:rPr>
                  </m:ctrlPr>
                </m:sub>
              </m:sSub>
            </m:oMath>
            <w:r>
              <w:rPr>
                <w:rFonts w:hint="eastAsia" w:hAnsi="Cambria Math"/>
                <w:i w:val="0"/>
                <w:sz w:val="28"/>
                <w:szCs w:val="36"/>
                <w:lang w:val="en-US" w:eastAsia="zh-CN"/>
              </w:rPr>
              <w:t xml:space="preserve"> = </w:t>
            </w:r>
            <w:r>
              <w:rPr>
                <w:rFonts w:hint="eastAsia"/>
                <w:vertAlign w:val="baseline"/>
                <w:lang w:val="en-US" w:eastAsia="zh-CN"/>
              </w:rPr>
              <w:t>50Hz</w:t>
            </w:r>
          </w:p>
        </w:tc>
      </w:tr>
      <w:tr w14:paraId="2C2CC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111" w:type="dxa"/>
            <w:noWrap w:val="0"/>
            <w:vAlign w:val="top"/>
          </w:tcPr>
          <w:p w14:paraId="18E7E270">
            <w:pPr>
              <w:rPr>
                <w:vertAlign w:val="baseline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DC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ub>
              </m:sSub>
            </m:oMath>
            <w:r>
              <w:rPr>
                <w:rFonts w:hint="eastAsia"/>
                <w:sz w:val="24"/>
                <w:szCs w:val="32"/>
              </w:rPr>
              <w:t>(</w:t>
            </w:r>
            <w:r>
              <w:rPr>
                <w:sz w:val="24"/>
                <w:szCs w:val="32"/>
              </w:rPr>
              <w:t>V)</w:t>
            </w:r>
          </w:p>
        </w:tc>
        <w:tc>
          <w:tcPr>
            <w:tcW w:w="842" w:type="dxa"/>
            <w:noWrap w:val="0"/>
            <w:vAlign w:val="top"/>
          </w:tcPr>
          <w:p w14:paraId="500E456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  <w:tc>
          <w:tcPr>
            <w:tcW w:w="842" w:type="dxa"/>
            <w:noWrap w:val="0"/>
            <w:vAlign w:val="top"/>
          </w:tcPr>
          <w:p w14:paraId="7EB5FAD7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</w:t>
            </w:r>
          </w:p>
        </w:tc>
        <w:tc>
          <w:tcPr>
            <w:tcW w:w="842" w:type="dxa"/>
            <w:noWrap w:val="0"/>
            <w:vAlign w:val="top"/>
          </w:tcPr>
          <w:p w14:paraId="44036ACE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</w:t>
            </w:r>
          </w:p>
        </w:tc>
        <w:tc>
          <w:tcPr>
            <w:tcW w:w="842" w:type="dxa"/>
            <w:noWrap w:val="0"/>
            <w:vAlign w:val="top"/>
          </w:tcPr>
          <w:p w14:paraId="5ED79A7B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</w:t>
            </w:r>
          </w:p>
        </w:tc>
        <w:tc>
          <w:tcPr>
            <w:tcW w:w="842" w:type="dxa"/>
            <w:noWrap w:val="0"/>
            <w:vAlign w:val="top"/>
          </w:tcPr>
          <w:p w14:paraId="1166267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  <w:tc>
          <w:tcPr>
            <w:tcW w:w="842" w:type="dxa"/>
            <w:noWrap w:val="0"/>
            <w:vAlign w:val="top"/>
          </w:tcPr>
          <w:p w14:paraId="104E997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  <w:tc>
          <w:tcPr>
            <w:tcW w:w="842" w:type="dxa"/>
            <w:noWrap w:val="0"/>
            <w:vAlign w:val="top"/>
          </w:tcPr>
          <w:p w14:paraId="4127EE2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110</w:t>
            </w:r>
          </w:p>
        </w:tc>
        <w:tc>
          <w:tcPr>
            <w:tcW w:w="842" w:type="dxa"/>
            <w:noWrap w:val="0"/>
            <w:vAlign w:val="top"/>
          </w:tcPr>
          <w:p w14:paraId="6E53725D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120</w:t>
            </w:r>
          </w:p>
        </w:tc>
        <w:tc>
          <w:tcPr>
            <w:tcW w:w="842" w:type="dxa"/>
            <w:noWrap w:val="0"/>
            <w:vAlign w:val="top"/>
          </w:tcPr>
          <w:p w14:paraId="77355D58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130</w:t>
            </w:r>
          </w:p>
        </w:tc>
        <w:tc>
          <w:tcPr>
            <w:tcW w:w="843" w:type="dxa"/>
            <w:noWrap w:val="0"/>
            <w:vAlign w:val="top"/>
          </w:tcPr>
          <w:p w14:paraId="28D2986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140</w:t>
            </w:r>
          </w:p>
        </w:tc>
        <w:tc>
          <w:tcPr>
            <w:tcW w:w="847" w:type="dxa"/>
            <w:noWrap w:val="0"/>
            <w:vAlign w:val="top"/>
          </w:tcPr>
          <w:p w14:paraId="0A73EFBB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150</w:t>
            </w:r>
          </w:p>
        </w:tc>
      </w:tr>
      <w:tr w14:paraId="50569B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111" w:type="dxa"/>
            <w:noWrap w:val="0"/>
            <w:vAlign w:val="top"/>
          </w:tcPr>
          <w:p w14:paraId="752DCF91">
            <w:pPr>
              <w:rPr>
                <w:vertAlign w:val="baseline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  <w:szCs w:val="32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ub>
              </m:sSub>
            </m:oMath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842" w:type="dxa"/>
            <w:noWrap w:val="0"/>
            <w:vAlign w:val="top"/>
          </w:tcPr>
          <w:p w14:paraId="3E30829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2" w:type="dxa"/>
            <w:noWrap w:val="0"/>
            <w:vAlign w:val="top"/>
          </w:tcPr>
          <w:p w14:paraId="46165651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2" w:type="dxa"/>
            <w:noWrap w:val="0"/>
            <w:vAlign w:val="top"/>
          </w:tcPr>
          <w:p w14:paraId="655D2D5E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2" w:type="dxa"/>
            <w:noWrap w:val="0"/>
            <w:vAlign w:val="top"/>
          </w:tcPr>
          <w:p w14:paraId="3EB774F1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2" w:type="dxa"/>
            <w:noWrap w:val="0"/>
            <w:vAlign w:val="top"/>
          </w:tcPr>
          <w:p w14:paraId="4D148056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2" w:type="dxa"/>
            <w:noWrap w:val="0"/>
            <w:vAlign w:val="top"/>
          </w:tcPr>
          <w:p w14:paraId="44DD815F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2" w:type="dxa"/>
            <w:noWrap w:val="0"/>
            <w:vAlign w:val="top"/>
          </w:tcPr>
          <w:p w14:paraId="01B7D267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2" w:type="dxa"/>
            <w:noWrap w:val="0"/>
            <w:vAlign w:val="top"/>
          </w:tcPr>
          <w:p w14:paraId="1BF03E39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2" w:type="dxa"/>
            <w:noWrap w:val="0"/>
            <w:vAlign w:val="top"/>
          </w:tcPr>
          <w:p w14:paraId="180A8311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3" w:type="dxa"/>
            <w:noWrap w:val="0"/>
            <w:vAlign w:val="top"/>
          </w:tcPr>
          <w:p w14:paraId="2C862F02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  <w:tc>
          <w:tcPr>
            <w:tcW w:w="847" w:type="dxa"/>
            <w:noWrap w:val="0"/>
            <w:vAlign w:val="top"/>
          </w:tcPr>
          <w:p w14:paraId="6C295CDE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50.0</w:t>
            </w:r>
          </w:p>
        </w:tc>
      </w:tr>
      <w:tr w14:paraId="4D1EC3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1111" w:type="dxa"/>
            <w:noWrap w:val="0"/>
            <w:vAlign w:val="top"/>
          </w:tcPr>
          <w:p w14:paraId="519C52BF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</w:t>
            </w:r>
            <w:r>
              <w:rPr>
                <w:rFonts w:hint="eastAsia"/>
                <w:vertAlign w:val="subscript"/>
                <w:lang w:val="en-US" w:eastAsia="zh-CN"/>
              </w:rPr>
              <w:t>o</w:t>
            </w:r>
            <w:r>
              <w:rPr>
                <w:rFonts w:hint="eastAsia"/>
                <w:vertAlign w:val="baseline"/>
                <w:lang w:val="en-US" w:eastAsia="zh-CN"/>
              </w:rPr>
              <w:t>（Hz）</w:t>
            </w:r>
          </w:p>
        </w:tc>
        <w:tc>
          <w:tcPr>
            <w:tcW w:w="842" w:type="dxa"/>
            <w:noWrap w:val="0"/>
            <w:vAlign w:val="top"/>
          </w:tcPr>
          <w:p w14:paraId="12F630C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24.40</w:t>
            </w:r>
          </w:p>
        </w:tc>
        <w:tc>
          <w:tcPr>
            <w:tcW w:w="842" w:type="dxa"/>
            <w:noWrap w:val="0"/>
            <w:vAlign w:val="top"/>
          </w:tcPr>
          <w:p w14:paraId="3EE47AD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29.26</w:t>
            </w:r>
          </w:p>
        </w:tc>
        <w:tc>
          <w:tcPr>
            <w:tcW w:w="842" w:type="dxa"/>
            <w:noWrap w:val="0"/>
            <w:vAlign w:val="top"/>
          </w:tcPr>
          <w:p w14:paraId="5501AAE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34.00</w:t>
            </w:r>
          </w:p>
        </w:tc>
        <w:tc>
          <w:tcPr>
            <w:tcW w:w="842" w:type="dxa"/>
            <w:noWrap w:val="0"/>
            <w:vAlign w:val="top"/>
          </w:tcPr>
          <w:p w14:paraId="7F6FC5A8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39.35</w:t>
            </w:r>
          </w:p>
        </w:tc>
        <w:tc>
          <w:tcPr>
            <w:tcW w:w="842" w:type="dxa"/>
            <w:noWrap w:val="0"/>
            <w:vAlign w:val="top"/>
          </w:tcPr>
          <w:p w14:paraId="54AD3B6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44.00</w:t>
            </w:r>
          </w:p>
        </w:tc>
        <w:tc>
          <w:tcPr>
            <w:tcW w:w="842" w:type="dxa"/>
            <w:noWrap w:val="0"/>
            <w:vAlign w:val="top"/>
          </w:tcPr>
          <w:p w14:paraId="23D9CA3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49.1</w:t>
            </w:r>
          </w:p>
        </w:tc>
        <w:tc>
          <w:tcPr>
            <w:tcW w:w="842" w:type="dxa"/>
            <w:noWrap w:val="0"/>
            <w:vAlign w:val="top"/>
          </w:tcPr>
          <w:p w14:paraId="743A9430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53.8</w:t>
            </w:r>
          </w:p>
        </w:tc>
        <w:tc>
          <w:tcPr>
            <w:tcW w:w="842" w:type="dxa"/>
            <w:noWrap w:val="0"/>
            <w:vAlign w:val="top"/>
          </w:tcPr>
          <w:p w14:paraId="2BEE95D2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58.6</w:t>
            </w:r>
          </w:p>
        </w:tc>
        <w:tc>
          <w:tcPr>
            <w:tcW w:w="842" w:type="dxa"/>
            <w:noWrap w:val="0"/>
            <w:vAlign w:val="top"/>
          </w:tcPr>
          <w:p w14:paraId="59EBB3A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63.4</w:t>
            </w:r>
          </w:p>
        </w:tc>
        <w:tc>
          <w:tcPr>
            <w:tcW w:w="843" w:type="dxa"/>
            <w:noWrap w:val="0"/>
            <w:vAlign w:val="top"/>
          </w:tcPr>
          <w:p w14:paraId="27D3E943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68.3</w:t>
            </w:r>
          </w:p>
        </w:tc>
        <w:tc>
          <w:tcPr>
            <w:tcW w:w="847" w:type="dxa"/>
            <w:noWrap w:val="0"/>
            <w:vAlign w:val="top"/>
          </w:tcPr>
          <w:p w14:paraId="5DAFB56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73.4</w:t>
            </w:r>
          </w:p>
        </w:tc>
      </w:tr>
    </w:tbl>
    <w:p w14:paraId="4F3E5D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表3：调制比与载波比计算数据</w:t>
      </w:r>
    </w:p>
    <w:p w14:paraId="1790E3B0">
      <w:pPr>
        <w:rPr>
          <w:rFonts w:hint="default"/>
          <w:lang w:val="en-US" w:eastAsia="zh-CN"/>
        </w:rPr>
      </w:pPr>
    </w:p>
    <w:p w14:paraId="1C070485">
      <w:pPr>
        <w:widowControl/>
        <w:numPr>
          <w:ilvl w:val="0"/>
          <w:numId w:val="0"/>
        </w:numPr>
        <w:jc w:val="left"/>
        <w:rPr>
          <w:rFonts w:hint="default"/>
          <w:kern w:val="0"/>
          <w:sz w:val="28"/>
          <w:szCs w:val="28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2265"/>
      </w:tblGrid>
      <w:tr w14:paraId="052DE9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55" w:type="dxa"/>
            <w:vMerge w:val="restart"/>
            <w:noWrap w:val="0"/>
            <w:vAlign w:val="top"/>
          </w:tcPr>
          <w:p w14:paraId="1AE206FA">
            <w:pPr>
              <w:jc w:val="center"/>
              <w:rPr>
                <w:rFonts w:hint="eastAsia"/>
                <w:sz w:val="24"/>
                <w:szCs w:val="32"/>
              </w:rPr>
            </w:pPr>
          </w:p>
          <w:p w14:paraId="552E1E37"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</w:rPr>
              <w:t>正弦信号ur</w:t>
            </w:r>
          </w:p>
        </w:tc>
        <w:tc>
          <w:tcPr>
            <w:tcW w:w="2265" w:type="dxa"/>
            <w:noWrap w:val="0"/>
            <w:vAlign w:val="top"/>
          </w:tcPr>
          <w:p w14:paraId="1F135C96">
            <w:pPr>
              <w:jc w:val="center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Ucm</w:t>
            </w:r>
            <w:r>
              <w:rPr>
                <w:rFonts w:hint="eastAsia"/>
                <w:vertAlign w:val="baseline"/>
                <w:lang w:eastAsia="zh-CN"/>
              </w:rPr>
              <w:t>（</w:t>
            </w:r>
            <w:r>
              <w:rPr>
                <w:rFonts w:hint="eastAsia"/>
                <w:vertAlign w:val="baseline"/>
                <w:lang w:val="en-US" w:eastAsia="zh-CN"/>
              </w:rPr>
              <w:t>V</w:t>
            </w:r>
            <w:r>
              <w:rPr>
                <w:rFonts w:hint="eastAsia"/>
                <w:vertAlign w:val="baseline"/>
                <w:lang w:eastAsia="zh-CN"/>
              </w:rPr>
              <w:t>）</w:t>
            </w:r>
          </w:p>
        </w:tc>
      </w:tr>
      <w:tr w14:paraId="42BE3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55" w:type="dxa"/>
            <w:vMerge w:val="continue"/>
            <w:noWrap w:val="0"/>
            <w:vAlign w:val="top"/>
          </w:tcPr>
          <w:p w14:paraId="3D3DF37E">
            <w:pPr>
              <w:rPr>
                <w:vertAlign w:val="baseline"/>
              </w:rPr>
            </w:pPr>
          </w:p>
        </w:tc>
        <w:tc>
          <w:tcPr>
            <w:tcW w:w="2265" w:type="dxa"/>
            <w:noWrap w:val="0"/>
            <w:vAlign w:val="top"/>
          </w:tcPr>
          <w:p w14:paraId="5B364FAF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峰值  1.48</w:t>
            </w:r>
          </w:p>
        </w:tc>
      </w:tr>
      <w:tr w14:paraId="481731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5" w:type="dxa"/>
            <w:vMerge w:val="continue"/>
            <w:noWrap w:val="0"/>
            <w:vAlign w:val="top"/>
          </w:tcPr>
          <w:p w14:paraId="528FDE00">
            <w:pPr>
              <w:rPr>
                <w:vertAlign w:val="baseline"/>
              </w:rPr>
            </w:pPr>
          </w:p>
        </w:tc>
        <w:tc>
          <w:tcPr>
            <w:tcW w:w="2265" w:type="dxa"/>
            <w:noWrap w:val="0"/>
            <w:vAlign w:val="top"/>
          </w:tcPr>
          <w:p w14:paraId="1F18348B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谷值  -1.52</w:t>
            </w:r>
          </w:p>
        </w:tc>
      </w:tr>
      <w:tr w14:paraId="43C5AC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5" w:type="dxa"/>
            <w:vMerge w:val="restart"/>
            <w:noWrap w:val="0"/>
            <w:vAlign w:val="top"/>
          </w:tcPr>
          <w:p w14:paraId="3081826F">
            <w:pPr>
              <w:jc w:val="center"/>
              <w:rPr>
                <w:rFonts w:hint="eastAsia"/>
                <w:sz w:val="24"/>
                <w:szCs w:val="32"/>
              </w:rPr>
            </w:pPr>
          </w:p>
          <w:p w14:paraId="7DCD979A">
            <w:pPr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三角载波信号uc</w:t>
            </w:r>
          </w:p>
        </w:tc>
        <w:tc>
          <w:tcPr>
            <w:tcW w:w="2265" w:type="dxa"/>
            <w:noWrap w:val="0"/>
            <w:vAlign w:val="top"/>
          </w:tcPr>
          <w:p w14:paraId="756A1BE7">
            <w:pPr>
              <w:jc w:val="center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Ucm</w:t>
            </w:r>
            <w:r>
              <w:rPr>
                <w:rFonts w:hint="eastAsia"/>
                <w:vertAlign w:val="baseline"/>
                <w:lang w:eastAsia="zh-CN"/>
              </w:rPr>
              <w:t>（</w:t>
            </w:r>
            <w:r>
              <w:rPr>
                <w:rFonts w:hint="eastAsia"/>
                <w:vertAlign w:val="baseline"/>
                <w:lang w:val="en-US" w:eastAsia="zh-CN"/>
              </w:rPr>
              <w:t>V</w:t>
            </w:r>
            <w:r>
              <w:rPr>
                <w:rFonts w:hint="eastAsia"/>
                <w:vertAlign w:val="baseline"/>
                <w:lang w:eastAsia="zh-CN"/>
              </w:rPr>
              <w:t>）</w:t>
            </w:r>
          </w:p>
        </w:tc>
      </w:tr>
      <w:tr w14:paraId="4B2B47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55" w:type="dxa"/>
            <w:vMerge w:val="continue"/>
            <w:noWrap w:val="0"/>
            <w:vAlign w:val="top"/>
          </w:tcPr>
          <w:p w14:paraId="61A31A21">
            <w:pPr>
              <w:rPr>
                <w:vertAlign w:val="baseline"/>
              </w:rPr>
            </w:pPr>
          </w:p>
        </w:tc>
        <w:tc>
          <w:tcPr>
            <w:tcW w:w="2265" w:type="dxa"/>
            <w:noWrap w:val="0"/>
            <w:vAlign w:val="top"/>
          </w:tcPr>
          <w:p w14:paraId="38290687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峰值  2.24</w:t>
            </w:r>
          </w:p>
        </w:tc>
      </w:tr>
      <w:tr w14:paraId="1B936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5" w:type="dxa"/>
            <w:vMerge w:val="continue"/>
            <w:noWrap w:val="0"/>
            <w:vAlign w:val="top"/>
          </w:tcPr>
          <w:p w14:paraId="17C3E55E">
            <w:pPr>
              <w:rPr>
                <w:vertAlign w:val="baseline"/>
              </w:rPr>
            </w:pPr>
          </w:p>
        </w:tc>
        <w:tc>
          <w:tcPr>
            <w:tcW w:w="2265" w:type="dxa"/>
            <w:noWrap w:val="0"/>
            <w:vAlign w:val="top"/>
          </w:tcPr>
          <w:p w14:paraId="53B4EE98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谷值  -2.00</w:t>
            </w:r>
          </w:p>
        </w:tc>
      </w:tr>
      <w:tr w14:paraId="578C04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1855" w:type="dxa"/>
            <w:noWrap w:val="0"/>
            <w:vAlign w:val="top"/>
          </w:tcPr>
          <w:p w14:paraId="75AA2E0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kern w:val="0"/>
              </w:rPr>
              <w:br w:type="page"/>
            </w: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vertAlign w:val="baseline"/>
                    <w:lang w:val="en-US" w:eastAsia="zh-CN"/>
                  </w:rPr>
                  <m:t>m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vertAlign w:val="baseline"/>
                    <w:lang w:val="en-US" w:eastAsia="zh-CN"/>
                  </w:rPr>
                  <m:t>=</m:t>
                </m:r>
                <m:f>
                  <m:fPr>
                    <m:ctrlPr>
                      <w:rPr>
                        <w:rFonts w:hint="eastAsia" w:ascii="Cambria Math" w:hAnsi="Cambria Math"/>
                        <w:vertAlign w:val="baseline"/>
                        <w:lang w:val="en-US"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vertAlign w:val="baseline"/>
                        <w:lang w:val="en-US" w:eastAsia="zh-CN"/>
                      </w:rPr>
                      <m:t>Urm</m:t>
                    </m:r>
                    <m:ctrlPr>
                      <w:rPr>
                        <w:rFonts w:hint="eastAsia" w:ascii="Cambria Math" w:hAnsi="Cambria Math"/>
                        <w:vertAlign w:val="baseline"/>
                        <w:lang w:val="en-US" w:eastAsia="zh-CN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vertAlign w:val="baseline"/>
                        <w:lang w:val="en-US" w:eastAsia="zh-CN"/>
                      </w:rPr>
                      <m:t>Ucm</m:t>
                    </m:r>
                    <m:ctrlPr>
                      <w:rPr>
                        <w:rFonts w:hint="eastAsia" w:ascii="Cambria Math" w:hAnsi="Cambria Math"/>
                        <w:vertAlign w:val="baseline"/>
                        <w:lang w:val="en-US" w:eastAsia="zh-CN"/>
                      </w:rPr>
                    </m:ctrlPr>
                  </m:den>
                </m:f>
              </m:oMath>
            </m:oMathPara>
          </w:p>
        </w:tc>
        <w:tc>
          <w:tcPr>
            <w:tcW w:w="2265" w:type="dxa"/>
            <w:noWrap w:val="0"/>
            <w:vAlign w:val="top"/>
          </w:tcPr>
          <w:p w14:paraId="27351D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0.708</w:t>
            </w:r>
          </w:p>
        </w:tc>
      </w:tr>
      <w:tr w14:paraId="43A01F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1855" w:type="dxa"/>
            <w:noWrap w:val="0"/>
            <w:vAlign w:val="top"/>
          </w:tcPr>
          <w:p w14:paraId="054AC29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vertAlign w:val="baseline"/>
                    <w:lang w:val="en-US" w:eastAsia="zh-CN"/>
                  </w:rPr>
                  <m:t>λ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vertAlign w:val="baseline"/>
                    <w:lang w:val="en-US" w:eastAsia="zh-CN"/>
                  </w:rPr>
                  <m:t>=</m:t>
                </m:r>
                <m:f>
                  <m:fPr>
                    <m:ctrlPr>
                      <w:rPr>
                        <w:rFonts w:hint="eastAsia" w:ascii="Cambria Math" w:hAnsi="Cambria Math"/>
                        <w:vertAlign w:val="baseline"/>
                        <w:lang w:val="en-US"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eastAsia"/>
                        <w:vertAlign w:val="baseline"/>
                        <w:lang w:val="en-US" w:eastAsia="zh-CN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hint="eastAsia"/>
                        <w:vertAlign w:val="subscript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vertAlign w:val="baseline"/>
                        <w:lang w:val="en-US" w:eastAsia="zh-CN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vertAlign w:val="baseline"/>
                        <w:lang w:val="en-US" w:eastAsia="zh-CN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vertAlign w:val="baseline"/>
                        <w:lang w:val="en-US" w:eastAsia="zh-CN"/>
                      </w:rPr>
                      <m:t>r</m:t>
                    </m:r>
                    <m:ctrlPr>
                      <w:rPr>
                        <w:rFonts w:hint="eastAsia" w:ascii="Cambria Math" w:hAnsi="Cambria Math"/>
                        <w:vertAlign w:val="baseline"/>
                        <w:lang w:val="en-US" w:eastAsia="zh-CN"/>
                      </w:rPr>
                    </m:ctrlPr>
                  </m:den>
                </m:f>
              </m:oMath>
            </m:oMathPara>
          </w:p>
        </w:tc>
        <w:tc>
          <w:tcPr>
            <w:tcW w:w="2265" w:type="dxa"/>
            <w:noWrap w:val="0"/>
            <w:vAlign w:val="top"/>
          </w:tcPr>
          <w:p w14:paraId="7DD3E2A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194</w:t>
            </w:r>
          </w:p>
        </w:tc>
      </w:tr>
    </w:tbl>
    <w:p w14:paraId="0B2D3242">
      <w:pPr>
        <w:widowControl/>
        <w:numPr>
          <w:ilvl w:val="0"/>
          <w:numId w:val="4"/>
        </w:numPr>
        <w:jc w:val="left"/>
        <w:rPr>
          <w:rFonts w:hint="eastAsia"/>
          <w:kern w:val="0"/>
          <w:sz w:val="28"/>
          <w:szCs w:val="28"/>
          <w:lang w:val="en-US" w:eastAsia="zh-CN"/>
        </w:rPr>
      </w:pPr>
      <w:r>
        <w:rPr>
          <w:rFonts w:hint="eastAsia"/>
          <w:kern w:val="0"/>
          <w:sz w:val="28"/>
          <w:szCs w:val="28"/>
          <w:lang w:val="en-US" w:eastAsia="zh-CN"/>
        </w:rPr>
        <w:t>实验波形</w:t>
      </w:r>
    </w:p>
    <w:p w14:paraId="6AE3ADDC">
      <w:pPr>
        <w:widowControl/>
        <w:numPr>
          <w:numId w:val="0"/>
        </w:numPr>
        <w:jc w:val="center"/>
        <w:rPr>
          <w:rFonts w:hint="default"/>
          <w:kern w:val="0"/>
          <w:sz w:val="28"/>
          <w:szCs w:val="28"/>
          <w:lang w:val="en-US" w:eastAsia="zh-CN"/>
        </w:rPr>
      </w:pPr>
      <w:r>
        <w:rPr>
          <w:rFonts w:hint="default"/>
          <w:kern w:val="0"/>
          <w:sz w:val="28"/>
          <w:szCs w:val="28"/>
          <w:lang w:val="en-US" w:eastAsia="zh-CN"/>
        </w:rPr>
        <w:drawing>
          <wp:inline distT="0" distB="0" distL="114300" distR="114300">
            <wp:extent cx="3594100" cy="2691765"/>
            <wp:effectExtent l="0" t="0" r="2540" b="5715"/>
            <wp:docPr id="2" name="图片 2" descr="c2f4aa08336d0bbe645431e140156d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2f4aa08336d0bbe645431e140156d85"/>
                    <pic:cNvPicPr>
                      <a:picLocks noChangeAspect="1"/>
                    </pic:cNvPicPr>
                  </pic:nvPicPr>
                  <pic:blipFill>
                    <a:blip r:embed="rId20"/>
                    <a:srcRect r="29045" b="559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DF59">
      <w:pPr>
        <w:widowControl/>
        <w:jc w:val="center"/>
        <w:rPr>
          <w:kern w:val="0"/>
        </w:rPr>
      </w:pPr>
    </w:p>
    <w:p w14:paraId="614CCA20">
      <w:pPr>
        <w:widowControl/>
        <w:jc w:val="center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图 9 正弦信号与三角载波信号波形（测试状态）</w:t>
      </w:r>
    </w:p>
    <w:p w14:paraId="4BF4E680">
      <w:pPr>
        <w:widowControl/>
        <w:jc w:val="center"/>
        <w:rPr>
          <w:rFonts w:hint="eastAsia" w:eastAsia="宋体"/>
          <w:kern w:val="0"/>
          <w:lang w:eastAsia="zh-CN"/>
        </w:rPr>
      </w:pPr>
      <w:r>
        <w:rPr>
          <w:rFonts w:hint="eastAsia" w:eastAsia="宋体"/>
          <w:kern w:val="0"/>
          <w:lang w:eastAsia="zh-CN"/>
        </w:rPr>
        <w:drawing>
          <wp:inline distT="0" distB="0" distL="114300" distR="114300">
            <wp:extent cx="3595370" cy="2875280"/>
            <wp:effectExtent l="0" t="0" r="1270" b="5080"/>
            <wp:docPr id="6" name="图片 6" descr="302551dbf4205bc5856a89c3038e88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02551dbf4205bc5856a89c3038e889f"/>
                    <pic:cNvPicPr>
                      <a:picLocks noChangeAspect="1"/>
                    </pic:cNvPicPr>
                  </pic:nvPicPr>
                  <pic:blipFill>
                    <a:blip r:embed="rId21"/>
                    <a:srcRect l="8522" r="29287" b="1164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CF65">
      <w:pPr>
        <w:widowControl/>
        <w:jc w:val="center"/>
        <w:rPr>
          <w:rFonts w:hint="eastAsia"/>
          <w:sz w:val="22"/>
          <w:szCs w:val="28"/>
          <w:lang w:eastAsia="zh-CN"/>
        </w:rPr>
      </w:pPr>
      <w:r>
        <w:rPr>
          <w:rFonts w:hint="eastAsia"/>
          <w:kern w:val="0"/>
          <w:lang w:val="en-US" w:eastAsia="zh-CN"/>
        </w:rPr>
        <w:t xml:space="preserve">图10 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  <w:lang w:val="en-US" w:eastAsia="zh-CN"/>
        </w:rPr>
        <w:t>正弦信号</w:t>
      </w:r>
      <w:r>
        <w:rPr>
          <w:rFonts w:hint="eastAsia"/>
          <w:sz w:val="22"/>
          <w:szCs w:val="28"/>
        </w:rPr>
        <w:t>Uc与SPWM信号</w:t>
      </w:r>
      <w:r>
        <w:rPr>
          <w:rFonts w:hint="eastAsia"/>
          <w:sz w:val="22"/>
          <w:szCs w:val="28"/>
          <w:lang w:eastAsia="zh-CN"/>
        </w:rPr>
        <w:t>（</w:t>
      </w:r>
      <w:r>
        <w:rPr>
          <w:rFonts w:hint="eastAsia"/>
          <w:sz w:val="22"/>
          <w:szCs w:val="28"/>
          <w:lang w:val="en-US" w:eastAsia="zh-CN"/>
        </w:rPr>
        <w:t>测试状态</w:t>
      </w:r>
      <w:r>
        <w:rPr>
          <w:rFonts w:hint="eastAsia"/>
          <w:sz w:val="22"/>
          <w:szCs w:val="28"/>
          <w:lang w:eastAsia="zh-CN"/>
        </w:rPr>
        <w:t>）</w:t>
      </w:r>
    </w:p>
    <w:p w14:paraId="0BE21C49">
      <w:pPr>
        <w:widowControl/>
        <w:jc w:val="center"/>
        <w:rPr>
          <w:rFonts w:hint="eastAsia" w:eastAsia="宋体"/>
          <w:kern w:val="0"/>
          <w:lang w:eastAsia="zh-CN"/>
        </w:rPr>
      </w:pPr>
      <w:r>
        <w:rPr>
          <w:rFonts w:hint="eastAsia" w:eastAsia="宋体"/>
          <w:kern w:val="0"/>
          <w:lang w:eastAsia="zh-CN"/>
        </w:rPr>
        <w:drawing>
          <wp:inline distT="0" distB="0" distL="114300" distR="114300">
            <wp:extent cx="3575050" cy="2712720"/>
            <wp:effectExtent l="0" t="0" r="0" b="0"/>
            <wp:docPr id="8" name="图片 8" descr="01236679bbb4ba379c35d7062b914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1236679bbb4ba379c35d7062b914d7c"/>
                    <pic:cNvPicPr>
                      <a:picLocks noChangeAspect="1"/>
                    </pic:cNvPicPr>
                  </pic:nvPicPr>
                  <pic:blipFill>
                    <a:blip r:embed="rId22"/>
                    <a:srcRect l="12797" t="10455" r="32622" b="15966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0098">
      <w:pPr>
        <w:widowControl/>
        <w:jc w:val="center"/>
        <w:rPr>
          <w:rFonts w:hint="eastAsia"/>
          <w:sz w:val="22"/>
          <w:szCs w:val="28"/>
          <w:lang w:eastAsia="zh-CN"/>
        </w:rPr>
      </w:pPr>
      <w:r>
        <w:rPr>
          <w:rFonts w:hint="eastAsia"/>
          <w:kern w:val="0"/>
          <w:lang w:val="en-US" w:eastAsia="zh-CN"/>
        </w:rPr>
        <w:t xml:space="preserve">图11 </w:t>
      </w:r>
      <w:r>
        <w:rPr>
          <w:rFonts w:hint="eastAsia"/>
          <w:sz w:val="22"/>
          <w:szCs w:val="28"/>
          <w:lang w:val="en-US" w:eastAsia="zh-CN"/>
        </w:rPr>
        <w:t>正弦信号</w:t>
      </w:r>
      <w:r>
        <w:rPr>
          <w:rFonts w:hint="eastAsia"/>
          <w:sz w:val="22"/>
          <w:szCs w:val="28"/>
        </w:rPr>
        <w:t>Uc与SPWM</w:t>
      </w:r>
      <w:r>
        <w:rPr>
          <w:rFonts w:hint="eastAsia"/>
          <w:sz w:val="22"/>
          <w:szCs w:val="28"/>
          <w:lang w:val="en-US" w:eastAsia="zh-CN"/>
        </w:rPr>
        <w:t>2</w:t>
      </w:r>
      <w:r>
        <w:rPr>
          <w:rFonts w:hint="eastAsia"/>
          <w:sz w:val="22"/>
          <w:szCs w:val="28"/>
        </w:rPr>
        <w:t>信号</w:t>
      </w:r>
      <w:r>
        <w:rPr>
          <w:rFonts w:hint="eastAsia"/>
          <w:sz w:val="22"/>
          <w:szCs w:val="28"/>
          <w:lang w:eastAsia="zh-CN"/>
        </w:rPr>
        <w:t>（</w:t>
      </w:r>
      <w:r>
        <w:rPr>
          <w:rFonts w:hint="eastAsia"/>
          <w:sz w:val="22"/>
          <w:szCs w:val="28"/>
          <w:lang w:val="en-US" w:eastAsia="zh-CN"/>
        </w:rPr>
        <w:t>测试状态</w:t>
      </w:r>
      <w:r>
        <w:rPr>
          <w:rFonts w:hint="eastAsia"/>
          <w:sz w:val="22"/>
          <w:szCs w:val="28"/>
          <w:lang w:eastAsia="zh-CN"/>
        </w:rPr>
        <w:t>）</w:t>
      </w:r>
    </w:p>
    <w:p w14:paraId="05CFB08F">
      <w:pPr>
        <w:widowControl/>
        <w:jc w:val="center"/>
        <w:rPr>
          <w:rFonts w:hint="eastAsia" w:eastAsia="宋体"/>
          <w:kern w:val="0"/>
          <w:lang w:eastAsia="zh-CN"/>
        </w:rPr>
      </w:pPr>
      <w:r>
        <w:rPr>
          <w:rFonts w:hint="eastAsia" w:eastAsia="宋体"/>
          <w:kern w:val="0"/>
          <w:lang w:eastAsia="zh-CN"/>
        </w:rPr>
        <w:drawing>
          <wp:inline distT="0" distB="0" distL="114300" distR="114300">
            <wp:extent cx="3380105" cy="2465705"/>
            <wp:effectExtent l="0" t="0" r="0" b="0"/>
            <wp:docPr id="9" name="图片 9" descr="84d12804fd80d67d4a7205c8c357c9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4d12804fd80d67d4a7205c8c357c9a3"/>
                    <pic:cNvPicPr>
                      <a:picLocks noChangeAspect="1"/>
                    </pic:cNvPicPr>
                  </pic:nvPicPr>
                  <pic:blipFill>
                    <a:blip r:embed="rId23"/>
                    <a:srcRect l="13291" t="15208" r="35104" b="17913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28BA">
      <w:pPr>
        <w:widowControl/>
        <w:jc w:val="center"/>
        <w:rPr>
          <w:rFonts w:hint="eastAsia"/>
          <w:sz w:val="22"/>
          <w:szCs w:val="28"/>
          <w:lang w:eastAsia="zh-CN"/>
        </w:rPr>
      </w:pPr>
      <w:r>
        <w:rPr>
          <w:rFonts w:hint="eastAsia"/>
          <w:kern w:val="0"/>
          <w:lang w:val="en-US" w:eastAsia="zh-CN"/>
        </w:rPr>
        <w:t>图12 G2与G4信号波形</w:t>
      </w:r>
      <w:r>
        <w:rPr>
          <w:rFonts w:hint="eastAsia"/>
          <w:sz w:val="22"/>
          <w:szCs w:val="28"/>
          <w:lang w:eastAsia="zh-CN"/>
        </w:rPr>
        <w:t>（</w:t>
      </w:r>
      <w:r>
        <w:rPr>
          <w:rFonts w:hint="eastAsia"/>
          <w:sz w:val="22"/>
          <w:szCs w:val="28"/>
          <w:lang w:val="en-US" w:eastAsia="zh-CN"/>
        </w:rPr>
        <w:t>测试状态</w:t>
      </w:r>
      <w:r>
        <w:rPr>
          <w:rFonts w:hint="eastAsia"/>
          <w:sz w:val="22"/>
          <w:szCs w:val="28"/>
          <w:lang w:eastAsia="zh-CN"/>
        </w:rPr>
        <w:t>）</w:t>
      </w:r>
    </w:p>
    <w:p w14:paraId="33B81C30">
      <w:pPr>
        <w:widowControl/>
        <w:jc w:val="center"/>
        <w:rPr>
          <w:rFonts w:hint="eastAsia"/>
          <w:sz w:val="22"/>
          <w:szCs w:val="28"/>
          <w:lang w:eastAsia="zh-CN"/>
        </w:rPr>
      </w:pPr>
      <w:r>
        <w:rPr>
          <w:rFonts w:hint="eastAsia"/>
          <w:sz w:val="22"/>
          <w:szCs w:val="28"/>
          <w:lang w:eastAsia="zh-CN"/>
        </w:rPr>
        <w:drawing>
          <wp:inline distT="0" distB="0" distL="114300" distR="114300">
            <wp:extent cx="3587115" cy="2679065"/>
            <wp:effectExtent l="0" t="0" r="0" b="0"/>
            <wp:docPr id="10" name="图片 10" descr="7f755eaf5b6101082a9cb22410b079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f755eaf5b6101082a9cb22410b079e1"/>
                    <pic:cNvPicPr>
                      <a:picLocks noChangeAspect="1"/>
                    </pic:cNvPicPr>
                  </pic:nvPicPr>
                  <pic:blipFill>
                    <a:blip r:embed="rId24"/>
                    <a:srcRect l="14222" t="11126" r="31013" b="16207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FB7F">
      <w:pPr>
        <w:widowControl/>
        <w:jc w:val="center"/>
        <w:rPr>
          <w:rFonts w:hint="eastAsia" w:eastAsia="宋体"/>
          <w:sz w:val="22"/>
          <w:szCs w:val="28"/>
          <w:lang w:eastAsia="zh-CN"/>
        </w:rPr>
      </w:pPr>
      <w:r>
        <w:rPr>
          <w:rFonts w:hint="eastAsia"/>
          <w:sz w:val="22"/>
          <w:szCs w:val="28"/>
        </w:rPr>
        <w:t>图</w:t>
      </w:r>
      <w:r>
        <w:rPr>
          <w:rFonts w:hint="eastAsia"/>
          <w:sz w:val="22"/>
          <w:szCs w:val="28"/>
          <w:lang w:val="en-US" w:eastAsia="zh-CN"/>
        </w:rPr>
        <w:t>13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上升沿时G2与G4信号波形</w:t>
      </w:r>
      <w:r>
        <w:rPr>
          <w:rFonts w:hint="eastAsia"/>
          <w:sz w:val="22"/>
          <w:szCs w:val="28"/>
          <w:lang w:eastAsia="zh-CN"/>
        </w:rPr>
        <w:t>（</w:t>
      </w:r>
      <w:r>
        <w:rPr>
          <w:rFonts w:hint="eastAsia"/>
          <w:sz w:val="22"/>
          <w:szCs w:val="28"/>
          <w:lang w:val="en-US" w:eastAsia="zh-CN"/>
        </w:rPr>
        <w:t>运行状态</w:t>
      </w:r>
      <w:r>
        <w:rPr>
          <w:rFonts w:hint="eastAsia"/>
          <w:sz w:val="22"/>
          <w:szCs w:val="28"/>
          <w:lang w:eastAsia="zh-CN"/>
        </w:rPr>
        <w:t>）</w:t>
      </w:r>
    </w:p>
    <w:p w14:paraId="53347976">
      <w:pPr>
        <w:widowControl/>
        <w:jc w:val="center"/>
        <w:rPr>
          <w:rFonts w:hint="eastAsia" w:eastAsia="宋体"/>
          <w:kern w:val="0"/>
          <w:lang w:eastAsia="zh-CN"/>
        </w:rPr>
      </w:pPr>
      <w:r>
        <w:rPr>
          <w:rFonts w:hint="eastAsia" w:eastAsia="宋体"/>
          <w:kern w:val="0"/>
          <w:lang w:eastAsia="zh-CN"/>
        </w:rPr>
        <w:drawing>
          <wp:inline distT="0" distB="0" distL="114300" distR="114300">
            <wp:extent cx="3603625" cy="2610485"/>
            <wp:effectExtent l="0" t="0" r="0" b="0"/>
            <wp:docPr id="11" name="图片 11" descr="4a793a739180fa964e07fa895fd0db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a793a739180fa964e07fa895fd0db76"/>
                    <pic:cNvPicPr>
                      <a:picLocks noChangeAspect="1"/>
                    </pic:cNvPicPr>
                  </pic:nvPicPr>
                  <pic:blipFill>
                    <a:blip r:embed="rId25"/>
                    <a:srcRect l="11246" t="14416" r="33737" b="14778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1E6A">
      <w:pPr>
        <w:widowControl/>
        <w:jc w:val="center"/>
        <w:rPr>
          <w:rFonts w:hint="eastAsia" w:eastAsia="宋体"/>
          <w:sz w:val="22"/>
          <w:szCs w:val="28"/>
          <w:lang w:eastAsia="zh-CN"/>
        </w:rPr>
      </w:pPr>
      <w:r>
        <w:rPr>
          <w:rFonts w:hint="eastAsia"/>
          <w:sz w:val="22"/>
          <w:szCs w:val="28"/>
        </w:rPr>
        <w:t>图</w:t>
      </w:r>
      <w:r>
        <w:rPr>
          <w:rFonts w:hint="eastAsia"/>
          <w:sz w:val="22"/>
          <w:szCs w:val="28"/>
          <w:lang w:val="en-US" w:eastAsia="zh-CN"/>
        </w:rPr>
        <w:t>13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  <w:lang w:val="en-US" w:eastAsia="zh-CN"/>
        </w:rPr>
        <w:t>下降</w:t>
      </w:r>
      <w:r>
        <w:rPr>
          <w:rFonts w:hint="eastAsia"/>
          <w:sz w:val="22"/>
          <w:szCs w:val="28"/>
        </w:rPr>
        <w:t>沿时G2与G4信号波形</w:t>
      </w:r>
      <w:r>
        <w:rPr>
          <w:rFonts w:hint="eastAsia"/>
          <w:sz w:val="22"/>
          <w:szCs w:val="28"/>
          <w:lang w:eastAsia="zh-CN"/>
        </w:rPr>
        <w:t>（</w:t>
      </w:r>
      <w:r>
        <w:rPr>
          <w:rFonts w:hint="eastAsia"/>
          <w:sz w:val="22"/>
          <w:szCs w:val="28"/>
          <w:lang w:val="en-US" w:eastAsia="zh-CN"/>
        </w:rPr>
        <w:t>运行状态</w:t>
      </w:r>
      <w:r>
        <w:rPr>
          <w:rFonts w:hint="eastAsia"/>
          <w:sz w:val="22"/>
          <w:szCs w:val="28"/>
          <w:lang w:eastAsia="zh-CN"/>
        </w:rPr>
        <w:t>）</w:t>
      </w:r>
    </w:p>
    <w:p w14:paraId="4A457AB9">
      <w:pPr>
        <w:widowControl/>
        <w:jc w:val="center"/>
        <w:rPr>
          <w:rFonts w:hint="eastAsia" w:eastAsia="宋体"/>
          <w:kern w:val="0"/>
          <w:lang w:eastAsia="zh-CN"/>
        </w:rPr>
      </w:pPr>
      <w:r>
        <w:rPr>
          <w:rFonts w:hint="eastAsia" w:eastAsia="宋体"/>
          <w:kern w:val="0"/>
          <w:lang w:eastAsia="zh-CN"/>
        </w:rPr>
        <w:drawing>
          <wp:inline distT="0" distB="0" distL="114300" distR="114300">
            <wp:extent cx="3596640" cy="2466340"/>
            <wp:effectExtent l="0" t="0" r="0" b="2540"/>
            <wp:docPr id="12" name="图片 12" descr="30cd163dae7a9698c6454db73423a6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0cd163dae7a9698c6454db73423a69e"/>
                    <pic:cNvPicPr>
                      <a:picLocks noChangeAspect="1"/>
                    </pic:cNvPicPr>
                  </pic:nvPicPr>
                  <pic:blipFill>
                    <a:blip r:embed="rId26"/>
                    <a:srcRect l="10499" t="15071" r="28289" b="10351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7158">
      <w:pPr>
        <w:tabs>
          <w:tab w:val="left" w:pos="2011"/>
        </w:tabs>
        <w:jc w:val="center"/>
        <w:rPr>
          <w:rFonts w:hint="eastAsia" w:eastAsia="宋体"/>
          <w:sz w:val="22"/>
          <w:szCs w:val="28"/>
          <w:lang w:eastAsia="zh-CN"/>
        </w:rPr>
      </w:pPr>
      <w:r>
        <w:rPr>
          <w:rFonts w:hint="eastAsia"/>
          <w:sz w:val="22"/>
          <w:szCs w:val="28"/>
        </w:rPr>
        <w:t>图</w:t>
      </w:r>
      <w:r>
        <w:rPr>
          <w:rFonts w:hint="eastAsia"/>
          <w:sz w:val="22"/>
          <w:szCs w:val="28"/>
          <w:lang w:val="en-US" w:eastAsia="zh-CN"/>
        </w:rPr>
        <w:t xml:space="preserve">14 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运行状态下负载电压波形</w:t>
      </w:r>
      <w:r>
        <w:rPr>
          <w:rFonts w:hint="eastAsia"/>
          <w:sz w:val="22"/>
          <w:szCs w:val="28"/>
          <w:lang w:eastAsia="zh-CN"/>
        </w:rPr>
        <w:t>（</w:t>
      </w:r>
      <w:r>
        <w:rPr>
          <w:rFonts w:hint="eastAsia"/>
          <w:sz w:val="22"/>
          <w:szCs w:val="28"/>
          <w:lang w:val="en-US" w:eastAsia="zh-CN"/>
        </w:rPr>
        <w:t>运行状态</w:t>
      </w:r>
      <w:r>
        <w:rPr>
          <w:rFonts w:hint="eastAsia"/>
          <w:sz w:val="22"/>
          <w:szCs w:val="28"/>
          <w:lang w:eastAsia="zh-CN"/>
        </w:rPr>
        <w:t>）</w:t>
      </w:r>
    </w:p>
    <w:p w14:paraId="483D1251">
      <w:pPr>
        <w:numPr>
          <w:ilvl w:val="0"/>
          <w:numId w:val="5"/>
        </w:num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实验数据曲线图</w:t>
      </w:r>
    </w:p>
    <w:p w14:paraId="7DD24129">
      <w:pPr>
        <w:numPr>
          <w:ilvl w:val="0"/>
          <w:numId w:val="0"/>
        </w:numPr>
        <w:rPr>
          <w:rFonts w:hint="eastAsia" w:eastAsia="宋体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</w:rPr>
        <w:t>（1）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36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36"/>
              </w:rPr>
              <m:t>0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sub>
        </m:sSub>
        <m:r>
          <m:rPr/>
          <w:rPr>
            <w:rFonts w:hint="eastAsia" w:ascii="Cambria Math" w:hAnsi="Cambria Math"/>
            <w:sz w:val="28"/>
            <w:szCs w:val="36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f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e>
        </m:d>
      </m:oMath>
      <w:r>
        <w:rPr>
          <w:rFonts w:hint="eastAsia" w:hAnsi="Cambria Math"/>
          <w:i w:val="0"/>
          <w:sz w:val="28"/>
          <w:szCs w:val="36"/>
          <w:lang w:val="en-US" w:eastAsia="zh-CN"/>
        </w:rPr>
        <w:t>曲线图</w:t>
      </w:r>
    </w:p>
    <w:p w14:paraId="0D6312A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38220" cy="2378075"/>
            <wp:effectExtent l="0" t="0" r="1270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336E">
      <w:pPr>
        <w:jc w:val="center"/>
        <w:rPr>
          <w:rFonts w:hint="eastAsia" w:hAnsi="Cambria Math" w:eastAsia="宋体"/>
          <w:i w:val="0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</w:rPr>
        <w:t>图15</w:t>
      </w:r>
      <w:r>
        <w:rPr>
          <w:sz w:val="22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2"/>
                <w:szCs w:val="28"/>
              </w:rPr>
              <m:t>f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sub>
        </m:sSub>
        <m:r>
          <m:rPr/>
          <w:rPr>
            <w:rFonts w:hint="eastAsia" w:ascii="Cambria Math" w:hAnsi="Cambria Math"/>
            <w:sz w:val="22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2"/>
                    <w:szCs w:val="28"/>
                  </w:rPr>
                  <m:t>f</m:t>
                </m: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2"/>
                    <w:szCs w:val="28"/>
                  </w:rPr>
                  <m:t>r</m:t>
                </m: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sub>
            </m:sSub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</m:d>
      </m:oMath>
      <w:r>
        <w:rPr>
          <w:rFonts w:hint="eastAsia" w:hAnsi="Cambria Math"/>
          <w:i w:val="0"/>
          <w:sz w:val="22"/>
          <w:szCs w:val="28"/>
          <w:lang w:val="en-US" w:eastAsia="zh-CN"/>
        </w:rPr>
        <w:t>曲线图</w:t>
      </w:r>
    </w:p>
    <w:p w14:paraId="215CEDB7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（2）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36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36"/>
              </w:rPr>
              <m:t>0</m:t>
            </m:r>
            <m:ctrlPr>
              <w:rPr>
                <w:rFonts w:ascii="Cambria Math" w:hAnsi="Cambria Math"/>
                <w:i/>
                <w:sz w:val="28"/>
                <w:szCs w:val="36"/>
              </w:rPr>
            </m:ctrlPr>
          </m:sub>
        </m:sSub>
        <m:r>
          <m:rPr/>
          <w:rPr>
            <w:rFonts w:hint="eastAsia" w:ascii="Cambria Math" w:hAnsi="Cambria Math"/>
            <w:sz w:val="28"/>
            <w:szCs w:val="36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d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e>
        </m:d>
      </m:oMath>
      <w:r>
        <w:rPr>
          <w:rFonts w:hint="eastAsia"/>
          <w:sz w:val="28"/>
          <w:szCs w:val="36"/>
        </w:rPr>
        <w:t>曲线图</w:t>
      </w:r>
    </w:p>
    <w:p w14:paraId="3B00977A">
      <w:pPr>
        <w:jc w:val="both"/>
        <w:rPr>
          <w:rFonts w:hint="eastAsia" w:hAnsi="Cambria Math"/>
          <w:i w:val="0"/>
          <w:sz w:val="22"/>
          <w:szCs w:val="28"/>
        </w:rPr>
      </w:pPr>
    </w:p>
    <w:p w14:paraId="1C8B81EE">
      <w:pPr>
        <w:numPr>
          <w:ilvl w:val="0"/>
          <w:numId w:val="0"/>
        </w:numPr>
        <w:jc w:val="center"/>
      </w:pPr>
      <w:bookmarkStart w:id="13" w:name="_Toc28901"/>
      <w:r>
        <w:drawing>
          <wp:inline distT="0" distB="0" distL="114300" distR="114300">
            <wp:extent cx="4773930" cy="2234565"/>
            <wp:effectExtent l="0" t="0" r="11430" b="57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BEC4">
      <w:pPr>
        <w:numPr>
          <w:ilvl w:val="0"/>
          <w:numId w:val="0"/>
        </w:numPr>
        <w:jc w:val="center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图16</w:t>
      </w:r>
      <w:r>
        <w:rPr>
          <w:sz w:val="22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m:rPr/>
              <w:rPr>
                <w:rFonts w:hint="eastAsia" w:ascii="Cambria Math" w:hAnsi="Cambria Math"/>
                <w:sz w:val="22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2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2"/>
                <w:szCs w:val="28"/>
              </w:rPr>
            </m:ctrlPr>
          </m:sub>
        </m:sSub>
        <m:r>
          <m:rPr/>
          <w:rPr>
            <w:rFonts w:hint="eastAsia" w:ascii="Cambria Math" w:hAnsi="Cambria Math"/>
            <w:sz w:val="22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2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2"/>
                    <w:szCs w:val="28"/>
                  </w:rPr>
                  <m:t>d</m:t>
                </m:r>
                <m:ctrlPr>
                  <w:rPr>
                    <w:rFonts w:ascii="Cambria Math" w:hAnsi="Cambria Math"/>
                    <w:i/>
                    <w:sz w:val="22"/>
                    <w:szCs w:val="28"/>
                  </w:rPr>
                </m:ctrlPr>
              </m:sub>
            </m:sSub>
            <m:ctrlPr>
              <w:rPr>
                <w:rFonts w:ascii="Cambria Math" w:hAnsi="Cambria Math"/>
                <w:i/>
                <w:sz w:val="22"/>
                <w:szCs w:val="28"/>
              </w:rPr>
            </m:ctrlPr>
          </m:e>
        </m:d>
      </m:oMath>
      <w:r>
        <w:rPr>
          <w:rFonts w:hint="eastAsia"/>
          <w:sz w:val="22"/>
          <w:szCs w:val="28"/>
        </w:rPr>
        <w:t>曲线图</w:t>
      </w:r>
    </w:p>
    <w:p w14:paraId="71596FD6">
      <w:pPr>
        <w:pStyle w:val="4"/>
        <w:topLinePunct/>
        <w:snapToGrid w:val="0"/>
        <w:spacing w:before="156" w:beforeLines="50" w:after="156" w:afterLines="50"/>
        <w:outlineLvl w:val="1"/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</w:p>
    <w:p w14:paraId="71F94E2A">
      <w:pPr>
        <w:pStyle w:val="4"/>
        <w:numPr>
          <w:ilvl w:val="0"/>
          <w:numId w:val="6"/>
        </w:numPr>
        <w:topLinePunct/>
        <w:snapToGrid w:val="0"/>
        <w:spacing w:before="156" w:beforeLines="50" w:after="156" w:afterLines="50"/>
        <w:outlineLvl w:val="1"/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14" w:name="_Toc24404"/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实验结论与误差分析</w:t>
      </w:r>
      <w:bookmarkEnd w:id="14"/>
    </w:p>
    <w:p w14:paraId="5FF7A144">
      <w:pPr>
        <w:pStyle w:val="4"/>
        <w:widowControl w:val="0"/>
        <w:numPr>
          <w:ilvl w:val="0"/>
          <w:numId w:val="7"/>
        </w:numPr>
        <w:topLinePunct/>
        <w:snapToGrid w:val="0"/>
        <w:spacing w:before="156" w:beforeLines="50" w:after="156" w:afterLines="50"/>
        <w:jc w:val="both"/>
        <w:outlineLvl w:val="1"/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15" w:name="_Toc23812"/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实验结论</w:t>
      </w:r>
      <w:bookmarkEnd w:id="15"/>
    </w:p>
    <w:p w14:paraId="6F5BAA20">
      <w:pPr>
        <w:pStyle w:val="4"/>
        <w:widowControl w:val="0"/>
        <w:numPr>
          <w:ilvl w:val="0"/>
          <w:numId w:val="0"/>
        </w:numPr>
        <w:topLinePunct/>
        <w:snapToGrid w:val="0"/>
        <w:spacing w:before="156" w:beforeLines="50" w:after="156" w:afterLines="50"/>
        <w:jc w:val="both"/>
        <w:outlineLvl w:val="1"/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16" w:name="_Toc5801"/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①如图15所示，改变正弦波信号频率，输出频率等于输入调制波的频率。</w:t>
      </w:r>
      <w:bookmarkEnd w:id="16"/>
    </w:p>
    <w:p w14:paraId="0980BE57">
      <w:pPr>
        <w:pStyle w:val="4"/>
        <w:widowControl w:val="0"/>
        <w:numPr>
          <w:ilvl w:val="0"/>
          <w:numId w:val="0"/>
        </w:numPr>
        <w:topLinePunct/>
        <w:snapToGrid w:val="0"/>
        <w:spacing w:before="156" w:beforeLines="50" w:after="156" w:afterLines="50"/>
        <w:jc w:val="both"/>
        <w:outlineLvl w:val="1"/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17" w:name="_Toc32012"/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②如图16所示，输出电压与输入成正比例。</w:t>
      </w:r>
      <w:bookmarkEnd w:id="17"/>
    </w:p>
    <w:p w14:paraId="75F8F757">
      <w:pPr>
        <w:pStyle w:val="4"/>
        <w:widowControl w:val="0"/>
        <w:numPr>
          <w:ilvl w:val="0"/>
          <w:numId w:val="0"/>
        </w:numPr>
        <w:topLinePunct/>
        <w:snapToGrid w:val="0"/>
        <w:spacing w:before="156" w:beforeLines="50" w:after="156" w:afterLines="50"/>
        <w:jc w:val="both"/>
        <w:outlineLvl w:val="1"/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18" w:name="_Toc19864"/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③在误差允许范围内，实验结果与理论结果基本一致。</w:t>
      </w:r>
      <w:bookmarkEnd w:id="18"/>
    </w:p>
    <w:p w14:paraId="6C4BBEA7">
      <w:pPr>
        <w:pStyle w:val="4"/>
        <w:widowControl w:val="0"/>
        <w:numPr>
          <w:ilvl w:val="0"/>
          <w:numId w:val="7"/>
        </w:numPr>
        <w:topLinePunct/>
        <w:snapToGrid w:val="0"/>
        <w:spacing w:before="156" w:beforeLines="50" w:after="156" w:afterLines="50"/>
        <w:ind w:left="0" w:leftChars="0" w:firstLine="0" w:firstLineChars="0"/>
        <w:jc w:val="both"/>
        <w:outlineLvl w:val="1"/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19" w:name="_Toc22470"/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误差分析</w:t>
      </w:r>
      <w:bookmarkEnd w:id="19"/>
    </w:p>
    <w:p w14:paraId="53EA2852">
      <w:pPr>
        <w:pStyle w:val="4"/>
        <w:widowControl w:val="0"/>
        <w:numPr>
          <w:ilvl w:val="0"/>
          <w:numId w:val="0"/>
        </w:numPr>
        <w:topLinePunct/>
        <w:snapToGrid w:val="0"/>
        <w:spacing w:before="156" w:beforeLines="50" w:after="156" w:afterLines="50"/>
        <w:ind w:leftChars="0" w:firstLine="560" w:firstLineChars="200"/>
        <w:jc w:val="both"/>
        <w:outlineLvl w:val="1"/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20" w:name="_Toc28922"/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如表1 记录，u0应该是不变的，但是实际是有变化，我认为是由于实验的设备不精确</w:t>
      </w:r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以及实验操作不准确</w:t>
      </w:r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 xml:space="preserve">导致。 </w:t>
      </w:r>
      <m:oMath>
        <m:sSub>
          <m:sSubP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与</w:t>
      </w:r>
      <m:oMath>
        <m:sSub>
          <m:sSubP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不同可能是由于在调试示波器时</w:t>
      </w:r>
      <m:oMath>
        <m:sSub>
          <m:sSubP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为调到标准要求的频率，导致</w:t>
      </w:r>
      <m:oMath>
        <m:sSub>
          <m:sSubP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="宋体" w:cs="Times New Roman"/>
                <w:kern w:val="2"/>
                <w:sz w:val="28"/>
                <w:szCs w:val="36"/>
                <w:lang w:val="en-US" w:eastAsia="zh-CN" w:bidi="ar-SA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有误差</w:t>
      </w:r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。</w:t>
      </w:r>
      <w:bookmarkEnd w:id="20"/>
      <w:bookmarkStart w:id="30" w:name="_GoBack"/>
      <w:bookmarkEnd w:id="30"/>
    </w:p>
    <w:p w14:paraId="6597C37B">
      <w:pPr>
        <w:pStyle w:val="3"/>
        <w:spacing w:before="561"/>
        <w:ind w:left="0" w:leftChars="0" w:right="210" w:firstLine="0" w:firstLineChars="0"/>
        <w:rPr>
          <w:rFonts w:hint="default" w:ascii="Times New Roman" w:hAnsi="Times New Roman"/>
          <w:sz w:val="24"/>
          <w:szCs w:val="24"/>
          <w:lang w:val="en-US" w:eastAsia="zh-CN"/>
        </w:rPr>
      </w:pPr>
      <w:bookmarkStart w:id="21" w:name="_Toc135215928"/>
      <w:bookmarkStart w:id="22" w:name="_Toc15512"/>
      <w:r>
        <w:rPr>
          <w:rFonts w:hint="eastAsia"/>
        </w:rPr>
        <w:t>五、思考题</w:t>
      </w:r>
      <w:bookmarkEnd w:id="21"/>
      <w:bookmarkEnd w:id="22"/>
    </w:p>
    <w:p w14:paraId="7C163B3C">
      <w:pPr>
        <w:pStyle w:val="4"/>
        <w:widowControl w:val="0"/>
        <w:numPr>
          <w:ilvl w:val="0"/>
          <w:numId w:val="0"/>
        </w:numPr>
        <w:topLinePunct/>
        <w:snapToGrid w:val="0"/>
        <w:spacing w:before="156" w:beforeLines="50" w:after="156" w:afterLines="50"/>
        <w:jc w:val="both"/>
        <w:outlineLvl w:val="1"/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23" w:name="_Toc6337"/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1.</w:t>
      </w:r>
      <w:r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为了使输出波形尽可能地接近正弦波，可采取什么措施?</w:t>
      </w:r>
      <w:bookmarkEnd w:id="23"/>
    </w:p>
    <w:p w14:paraId="52BC2F4E">
      <w:pPr>
        <w:pStyle w:val="4"/>
        <w:widowControl w:val="0"/>
        <w:numPr>
          <w:ilvl w:val="0"/>
          <w:numId w:val="0"/>
        </w:numPr>
        <w:topLinePunct/>
        <w:snapToGrid w:val="0"/>
        <w:spacing w:before="156" w:beforeLines="50" w:after="156" w:afterLines="50"/>
        <w:jc w:val="both"/>
        <w:outlineLvl w:val="1"/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24" w:name="_Toc31018"/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答：调制比</w:t>
      </w:r>
      <w:r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是 SPWM 波形接近正弦波的关键参数之一。通过调整调制</w:t>
      </w:r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比m</w:t>
      </w:r>
      <w:r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，可以改变 SPWM 波形的形状，使其更接近正弦波。通常情况下，</w:t>
      </w:r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调制比m</w:t>
      </w:r>
      <w:r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越大，SPWM 波形越接近正弦波。</w:t>
      </w:r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故，提高调制比</w:t>
      </w:r>
      <m:oMath>
        <m:r>
          <m:rPr/>
          <w:rPr>
            <w:rFonts w:ascii="Cambria Math" w:hAnsi="Cambria Math"/>
            <w:sz w:val="28"/>
            <w:szCs w:val="36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rm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36"/>
                  </w:rPr>
                  <m:t>cm</m:t>
                </m: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  <w:szCs w:val="36"/>
              </w:rPr>
            </m:ctrlPr>
          </m:den>
        </m:f>
      </m:oMath>
      <w:r>
        <w:rPr>
          <w:rFonts w:hint="eastAsia"/>
          <w:sz w:val="28"/>
          <w:szCs w:val="36"/>
        </w:rPr>
        <w:t>。</w:t>
      </w:r>
      <w:bookmarkEnd w:id="24"/>
    </w:p>
    <w:p w14:paraId="3BA87E18">
      <w:pPr>
        <w:pStyle w:val="4"/>
        <w:widowControl w:val="0"/>
        <w:numPr>
          <w:ilvl w:val="0"/>
          <w:numId w:val="8"/>
        </w:numPr>
        <w:topLinePunct/>
        <w:snapToGrid w:val="0"/>
        <w:spacing w:before="156" w:beforeLines="50" w:after="156" w:afterLines="50"/>
        <w:jc w:val="both"/>
        <w:outlineLvl w:val="1"/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25" w:name="_Toc9074"/>
      <w:r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周制波可否采用三角波?</w:t>
      </w:r>
      <w:bookmarkEnd w:id="25"/>
    </w:p>
    <w:p w14:paraId="42AB922C">
      <w:pPr>
        <w:pStyle w:val="4"/>
        <w:widowControl w:val="0"/>
        <w:numPr>
          <w:ilvl w:val="0"/>
          <w:numId w:val="0"/>
        </w:numPr>
        <w:topLinePunct/>
        <w:snapToGrid w:val="0"/>
        <w:spacing w:before="156" w:beforeLines="50" w:after="156" w:afterLines="50"/>
        <w:jc w:val="both"/>
        <w:outlineLvl w:val="1"/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26" w:name="_Toc900"/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答：三角波调制通常用于产生 PWM(脉冲宽度调制)信号，其中调制信号的上升沿和下降沿决定了 PWM 脉冲的产生时机，从而控制了输出波形的形状和特性。通过调节三角波的频率和振幅，可以改变 PWM 波形的频率和占空比，从而调节输出波形的频率和幅值。</w:t>
      </w:r>
      <w:bookmarkEnd w:id="26"/>
    </w:p>
    <w:p w14:paraId="7B63C562">
      <w:pPr>
        <w:pStyle w:val="4"/>
        <w:widowControl w:val="0"/>
        <w:numPr>
          <w:ilvl w:val="0"/>
          <w:numId w:val="8"/>
        </w:numPr>
        <w:topLinePunct/>
        <w:snapToGrid w:val="0"/>
        <w:spacing w:before="156" w:beforeLines="50" w:after="156" w:afterLines="50"/>
        <w:ind w:left="0" w:leftChars="0" w:firstLine="0" w:firstLineChars="0"/>
        <w:jc w:val="both"/>
        <w:outlineLvl w:val="1"/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bookmarkStart w:id="27" w:name="_Toc16958"/>
      <w:r>
        <w:rPr>
          <w:rFonts w:hint="default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分析开关死区时间对输出的影响。</w:t>
      </w:r>
      <w:bookmarkEnd w:id="27"/>
    </w:p>
    <w:p w14:paraId="3BA0B98A">
      <w:pPr>
        <w:pStyle w:val="4"/>
        <w:widowControl w:val="0"/>
        <w:numPr>
          <w:ilvl w:val="0"/>
          <w:numId w:val="0"/>
        </w:numPr>
        <w:topLinePunct/>
        <w:snapToGrid w:val="0"/>
        <w:spacing w:before="156" w:beforeLines="50" w:after="156" w:afterLines="50"/>
        <w:jc w:val="both"/>
        <w:outlineLvl w:val="1"/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</w:pPr>
      <w:bookmarkStart w:id="28" w:name="_Toc13877"/>
      <w:r>
        <w:rPr>
          <w:rFonts w:hint="eastAsia" w:ascii="Times New Roman" w:hAnsi="Times New Roman" w:cs="Times New Roman"/>
          <w:kern w:val="2"/>
          <w:sz w:val="28"/>
          <w:szCs w:val="36"/>
          <w:lang w:val="en-US" w:eastAsia="zh-CN" w:bidi="ar-SA"/>
        </w:rPr>
        <w:t>答：使输出电压基波幅值减小，产生3,5,7等谐波。避免了电压瞬时冲击和电流尖峰，从而改善了输出波形。</w:t>
      </w:r>
      <w:bookmarkEnd w:id="28"/>
    </w:p>
    <w:p w14:paraId="0F17B387">
      <w:pPr>
        <w:pStyle w:val="4"/>
        <w:widowControl w:val="0"/>
        <w:numPr>
          <w:ilvl w:val="0"/>
          <w:numId w:val="9"/>
        </w:numPr>
        <w:topLinePunct/>
        <w:snapToGrid w:val="0"/>
        <w:spacing w:before="156" w:beforeLines="50" w:after="156" w:afterLines="50"/>
        <w:jc w:val="both"/>
        <w:outlineLvl w:val="1"/>
        <w:rPr>
          <w:rFonts w:hint="eastAsia" w:ascii="Times New Roman" w:hAnsi="Times New Roman" w:eastAsia="黑体" w:cs="Times New Roman"/>
          <w:b/>
          <w:kern w:val="2"/>
          <w:sz w:val="28"/>
          <w:szCs w:val="24"/>
          <w:lang w:val="en-US" w:eastAsia="zh-CN" w:bidi="ar-SA"/>
        </w:rPr>
      </w:pPr>
      <w:bookmarkStart w:id="29" w:name="_Toc8977"/>
      <w:r>
        <w:rPr>
          <w:rFonts w:hint="eastAsia" w:ascii="Times New Roman" w:hAnsi="Times New Roman" w:eastAsia="黑体" w:cs="Times New Roman"/>
          <w:b/>
          <w:kern w:val="2"/>
          <w:sz w:val="28"/>
          <w:szCs w:val="24"/>
          <w:lang w:val="en-US" w:eastAsia="zh-CN" w:bidi="ar-SA"/>
        </w:rPr>
        <w:t>实验心得</w:t>
      </w:r>
      <w:bookmarkEnd w:id="29"/>
    </w:p>
    <w:bookmarkEnd w:id="13"/>
    <w:p w14:paraId="0B562CE8">
      <w:pPr>
        <w:topLinePunct/>
        <w:snapToGrid w:val="0"/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通过本次实验，我对单相交直交变频电路有了更加深入的理解，同时也对SPWM波的产生原理有了更为清晰的认识，真正将</w:t>
      </w:r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课本上的理论知识与实际操作相结合，打破了以往对知识的死记硬背模式。这已经是第三次在实验中接触到高压电了，每一次的经历都让我更加深刻地认识到规范实验步骤的极端重要性。例如，在实验开始前，将调压器调至零位并将可变电阻调至最大阻值处，这些看似简单的操作，实则是保障实验安全的关键环节。然而，在实验初期，由于没有留意设备处于“测试”还是“运行”状态，导致采集到的实验波形出现偏差</w:t>
      </w:r>
      <w:r>
        <w:rPr>
          <w:rFonts w:hint="eastAsia" w:cs="Times New Roman"/>
          <w:kern w:val="2"/>
          <w:sz w:val="28"/>
          <w:szCs w:val="36"/>
          <w:lang w:val="en-US" w:eastAsia="zh-CN" w:bidi="ar-SA"/>
        </w:rPr>
        <w:t>；还有调整示波器时如何得到稳定波形也需要我们按规定操作</w:t>
      </w:r>
      <w: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  <w:t>。经过老师的指导后，我恍然大悟，也更加深刻地体会到了规范实验步骤的必要性。</w:t>
      </w:r>
    </w:p>
    <w:p w14:paraId="26917E32">
      <w:pPr>
        <w:rPr>
          <w:rFonts w:hint="eastAsia" w:ascii="Times New Roman" w:hAnsi="Times New Roman" w:eastAsia="宋体" w:cs="Times New Roman"/>
          <w:kern w:val="2"/>
          <w:sz w:val="28"/>
          <w:szCs w:val="36"/>
          <w:lang w:val="en-US" w:eastAsia="zh-CN" w:bidi="ar-SA"/>
        </w:rPr>
      </w:pPr>
    </w:p>
    <w:sectPr>
      <w:headerReference r:id="rId8" w:type="default"/>
      <w:footerReference r:id="rId9" w:type="default"/>
      <w:pgSz w:w="11906" w:h="16838"/>
      <w:pgMar w:top="851" w:right="851" w:bottom="851" w:left="72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76186150"/>
      <w:docPartObj>
        <w:docPartGallery w:val="autotext"/>
      </w:docPartObj>
    </w:sdtPr>
    <w:sdtContent>
      <w:p w14:paraId="6C05A01C">
        <w:pPr>
          <w:pStyle w:val="5"/>
          <w:jc w:val="center"/>
        </w:pPr>
        <w:r>
          <w:fldChar w:fldCharType="begin"/>
        </w:r>
        <w:r>
          <w:instrText xml:space="preserve"> PAGE  \* ROMAN  \* MERGEFORMAT </w:instrText>
        </w:r>
        <w:r>
          <w:fldChar w:fldCharType="separate"/>
        </w:r>
        <w:r>
          <w:t>II</w:t>
        </w:r>
        <w:r>
          <w:fldChar w:fldCharType="end"/>
        </w:r>
      </w:p>
    </w:sdtContent>
  </w:sdt>
  <w:p w14:paraId="3A4FFA41"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72CD42">
    <w:pPr>
      <w:rPr>
        <w:rFonts w:ascii="华文楷体" w:hAnsi="华文楷体" w:eastAsia="华文楷体"/>
        <w:kern w:val="0"/>
        <w:sz w:val="18"/>
        <w:szCs w:val="18"/>
      </w:rPr>
    </w:pPr>
    <w:r>
      <w:rPr>
        <w:rFonts w:ascii="华文楷体" w:hAnsi="华文楷体" w:eastAsia="华文楷体"/>
        <w:kern w:val="0"/>
        <w:sz w:val="18"/>
        <w:szCs w:val="18"/>
      </w:rPr>
      <w:t xml:space="preserve">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C4DC34"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3ECA1F">
    <w:pPr>
      <w:pStyle w:val="6"/>
      <w:rPr>
        <w:rFonts w:ascii="华文楷体" w:hAnsi="华文楷体" w:eastAsia="华文楷体"/>
        <w:sz w:val="21"/>
        <w:szCs w:val="21"/>
      </w:rPr>
    </w:pPr>
    <w:r>
      <w:rPr>
        <w:rFonts w:hint="eastAsia" w:ascii="华文楷体" w:hAnsi="华文楷体" w:eastAsia="华文楷体"/>
        <w:sz w:val="21"/>
        <w:szCs w:val="21"/>
      </w:rPr>
      <w:t xml:space="preserve">目 </w:t>
    </w:r>
    <w:r>
      <w:rPr>
        <w:rFonts w:ascii="华文楷体" w:hAnsi="华文楷体" w:eastAsia="华文楷体"/>
        <w:sz w:val="21"/>
        <w:szCs w:val="21"/>
      </w:rPr>
      <w:t xml:space="preserve">  </w:t>
    </w:r>
    <w:r>
      <w:rPr>
        <w:rFonts w:hint="eastAsia" w:ascii="华文楷体" w:hAnsi="华文楷体" w:eastAsia="华文楷体"/>
        <w:sz w:val="21"/>
        <w:szCs w:val="21"/>
      </w:rPr>
      <w:t>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1913B1">
    <w:pPr>
      <w:pStyle w:val="6"/>
      <w:pBdr>
        <w:bottom w:val="single" w:color="auto" w:sz="6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052E61">
    <w:pPr>
      <w:pStyle w:val="6"/>
      <w:jc w:val="left"/>
    </w:pPr>
    <w:r>
      <w:drawing>
        <wp:inline distT="0" distB="0" distL="0" distR="0">
          <wp:extent cx="400685" cy="314325"/>
          <wp:effectExtent l="0" t="0" r="10795" b="571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0685" cy="314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 xml:space="preserve">                   </w:t>
    </w:r>
    <w:r>
      <w:rPr>
        <w:rFonts w:hint="eastAsia"/>
        <w:kern w:val="0"/>
      </w:rPr>
      <w:t xml:space="preserve">              </w:t>
    </w:r>
    <w:r>
      <w:rPr>
        <w:kern w:val="0"/>
      </w:rPr>
      <w:t xml:space="preserve">         </w:t>
    </w:r>
    <w:r>
      <w:rPr>
        <w:rFonts w:hint="eastAsia"/>
        <w:kern w:val="0"/>
      </w:rPr>
      <w:t>目录</w:t>
    </w:r>
    <w:r>
      <w:rPr>
        <w:kern w:val="0"/>
      </w:rPr>
      <w:t xml:space="preserve">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1A8BE9">
    <w:pPr>
      <w:pStyle w:val="6"/>
      <w:jc w:val="left"/>
    </w:pPr>
    <w:r>
      <w:drawing>
        <wp:inline distT="0" distB="0" distL="0" distR="0">
          <wp:extent cx="400685" cy="314325"/>
          <wp:effectExtent l="0" t="0" r="10795" b="571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0685" cy="314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 xml:space="preserve">      </w:t>
    </w:r>
    <w:r>
      <w:rPr>
        <w:rFonts w:hint="eastAsia" w:ascii="华文楷体" w:hAnsi="华文楷体" w:eastAsia="华文楷体"/>
        <w:kern w:val="0"/>
      </w:rPr>
      <w:t>附录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CF684F"/>
    <w:multiLevelType w:val="singleLevel"/>
    <w:tmpl w:val="CCCF684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852B7FC"/>
    <w:multiLevelType w:val="singleLevel"/>
    <w:tmpl w:val="D852B7FC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28DDA7D"/>
    <w:multiLevelType w:val="singleLevel"/>
    <w:tmpl w:val="E28DDA7D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EEC2139E"/>
    <w:multiLevelType w:val="singleLevel"/>
    <w:tmpl w:val="EEC2139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061C570F"/>
    <w:multiLevelType w:val="singleLevel"/>
    <w:tmpl w:val="061C570F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1EA1C142"/>
    <w:multiLevelType w:val="singleLevel"/>
    <w:tmpl w:val="1EA1C142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33CB1E42"/>
    <w:multiLevelType w:val="multilevel"/>
    <w:tmpl w:val="33CB1E42"/>
    <w:lvl w:ilvl="0" w:tentative="0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40" w:hanging="440"/>
      </w:pPr>
    </w:lvl>
    <w:lvl w:ilvl="2" w:tentative="0">
      <w:start w:val="1"/>
      <w:numFmt w:val="lowerRoman"/>
      <w:lvlText w:val="%3."/>
      <w:lvlJc w:val="right"/>
      <w:pPr>
        <w:ind w:left="1880" w:hanging="440"/>
      </w:pPr>
    </w:lvl>
    <w:lvl w:ilvl="3" w:tentative="0">
      <w:start w:val="1"/>
      <w:numFmt w:val="decimal"/>
      <w:lvlText w:val="%4."/>
      <w:lvlJc w:val="left"/>
      <w:pPr>
        <w:ind w:left="2320" w:hanging="440"/>
      </w:pPr>
    </w:lvl>
    <w:lvl w:ilvl="4" w:tentative="0">
      <w:start w:val="1"/>
      <w:numFmt w:val="lowerLetter"/>
      <w:lvlText w:val="%5)"/>
      <w:lvlJc w:val="left"/>
      <w:pPr>
        <w:ind w:left="2760" w:hanging="440"/>
      </w:pPr>
    </w:lvl>
    <w:lvl w:ilvl="5" w:tentative="0">
      <w:start w:val="1"/>
      <w:numFmt w:val="lowerRoman"/>
      <w:lvlText w:val="%6."/>
      <w:lvlJc w:val="right"/>
      <w:pPr>
        <w:ind w:left="3200" w:hanging="440"/>
      </w:pPr>
    </w:lvl>
    <w:lvl w:ilvl="6" w:tentative="0">
      <w:start w:val="1"/>
      <w:numFmt w:val="decimal"/>
      <w:lvlText w:val="%7."/>
      <w:lvlJc w:val="left"/>
      <w:pPr>
        <w:ind w:left="3640" w:hanging="440"/>
      </w:pPr>
    </w:lvl>
    <w:lvl w:ilvl="7" w:tentative="0">
      <w:start w:val="1"/>
      <w:numFmt w:val="lowerLetter"/>
      <w:lvlText w:val="%8)"/>
      <w:lvlJc w:val="left"/>
      <w:pPr>
        <w:ind w:left="4080" w:hanging="440"/>
      </w:pPr>
    </w:lvl>
    <w:lvl w:ilvl="8" w:tentative="0">
      <w:start w:val="1"/>
      <w:numFmt w:val="lowerRoman"/>
      <w:lvlText w:val="%9."/>
      <w:lvlJc w:val="right"/>
      <w:pPr>
        <w:ind w:left="4520" w:hanging="440"/>
      </w:pPr>
    </w:lvl>
  </w:abstractNum>
  <w:abstractNum w:abstractNumId="7">
    <w:nsid w:val="6363134D"/>
    <w:multiLevelType w:val="singleLevel"/>
    <w:tmpl w:val="6363134D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675575CA"/>
    <w:multiLevelType w:val="multilevel"/>
    <w:tmpl w:val="675575C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1A61FF"/>
    <w:rsid w:val="50E6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240" w:line="480" w:lineRule="auto"/>
      <w:ind w:left="425"/>
      <w:jc w:val="center"/>
      <w:outlineLvl w:val="0"/>
    </w:pPr>
    <w:rPr>
      <w:rFonts w:asciiTheme="majorEastAsia" w:hAnsiTheme="majorEastAsia" w:eastAsiaTheme="majorEastAsia"/>
      <w:b/>
      <w:bCs/>
      <w:kern w:val="44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180" w:beforeLines="180" w:after="120" w:line="360" w:lineRule="atLeast"/>
      <w:ind w:left="100" w:leftChars="100" w:right="100" w:rightChars="100" w:firstLine="1800" w:firstLineChars="600"/>
      <w:jc w:val="left"/>
      <w:outlineLvl w:val="1"/>
    </w:pPr>
    <w:rPr>
      <w:rFonts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rPr>
      <w:rFonts w:ascii="宋体" w:hAnsi="Courier New"/>
      <w:szCs w:val="20"/>
    </w:rPr>
  </w:style>
  <w:style w:type="paragraph" w:styleId="5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TOC Heading"/>
    <w:basedOn w:val="2"/>
    <w:next w:val="1"/>
    <w:autoRedefine/>
    <w:unhideWhenUsed/>
    <w:qFormat/>
    <w:uiPriority w:val="39"/>
    <w:pPr>
      <w:widowControl/>
      <w:spacing w:after="0" w:line="259" w:lineRule="auto"/>
      <w:ind w:left="0"/>
      <w:outlineLvl w:val="9"/>
    </w:pPr>
    <w:rPr>
      <w:rFonts w:asciiTheme="majorHAnsi" w:hAnsiTheme="majorHAnsi" w:cstheme="majorBidi"/>
      <w:b w:val="0"/>
      <w:bCs w:val="0"/>
      <w:color w:val="2E54A1" w:themeColor="accent1" w:themeShade="BF"/>
      <w:kern w:val="0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jpeg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jpe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357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2025-05-17T01:51:58Z</dcterms:created>
  <dc:creator>YXY</dc:creator>
  <cp:lastModifiedBy>Janet0125</cp:lastModifiedBy>
  <dcterms:modified xsi:type="dcterms:W3CDTF">2025-05-17T15:45:19Z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eyJoZGlkIjoiN2NhNTY1YjU4ZjYzZTA0YzNkZTMzZjI2NGMxNTY3ZGQiLCJ1c2VySWQiOiIxNDAxMjAzNjQ2In0=</vt:lpwstr>
  </property>
  <property fmtid="{D5CDD505-2E9C-101B-9397-08002B2CF9AE}" pid="4" name="ICV">
    <vt:lpwstr>B542060A67A844779F6DF9FFCB0A7115_12</vt:lpwstr>
  </property>
</Properties>
</file>