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1F3864"/>
          <w:sz w:val="36"/>
          <w:szCs w:val="36"/>
        </w:rPr>
        <w:t xml:space="preserve">ПРАВИЛА УПРАВЛЕНИЯ КОММЕРЧЕСКОЙ ДЕЯТЕЛЬНОСТЬЮ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Анонимизированная версия для внешнего использования</w:t>
      </w:r>
    </w:p>
    <w:p>
      <w:pPr>
        <w:pStyle w:val="Heading1"/>
      </w:pPr>
      <w:r>
        <w:rPr>
          <w:b/>
          <w:bCs/>
          <w:color w:val="1F3864"/>
          <w:sz w:val="30"/>
          <w:szCs w:val="30"/>
        </w:rPr>
        <w:t xml:space="preserve">КРАТКОЕ РЕЗЮМЕ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Документ регулирует коммерческое взаимодействие между головной компанией (далее — ГК) и партнёрами сети (далее — Партнёр). Охватывает три блока: Продажи, Клиентский сервис, Кредитный контроль.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Цель — закрепить единые правила привлечения, закрепления и развития клиентов, исключить недобросовестную конкуренцию внутри сети. Нарушение любого правила может повлечь штраф или расторжение договора.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0"/>
          <w:szCs w:val="30"/>
        </w:rPr>
        <w:t xml:space="preserve">1. ОБЩИЕ ПРИНЦИПЫ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Все Партнёры обязаны соблюдать единую коммерческую политику ГК.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Вся коммерческая деятельность фиксируется в корпоративной информационной системе (КИС). Решения по спорам принимаются только при наличии данных в КИС.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Изменение тарифов и предоставление скидок требует согласования с профильным подразделением ГК.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Одновременная работа с конкурирующей курьерской/логистической компанией — запрещена.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Работа с маркетплейсами допускается при соблюдении условий документа.</w:t>
      </w:r>
    </w:p>
    <w:p>
      <w:pPr>
        <w:pBdr>
          <w:left w:val="single" w:color="BF8F00" w:sz="12"/>
        </w:pBdr>
        <w:spacing w:after="100" w:before="60"/>
        <w:ind w:left="200"/>
      </w:pPr>
      <w:r>
        <w:rPr>
          <w:b/>
          <w:bCs/>
          <w:color w:val="7B5C00"/>
          <w:sz w:val="22"/>
          <w:szCs w:val="22"/>
        </w:rPr>
        <w:t xml:space="preserve">⚠  Нарушение правил информационной безопасности (управление учётными записями сотрудников) — штраф за каждый выявленный случай.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0"/>
          <w:szCs w:val="30"/>
        </w:rPr>
        <w:t xml:space="preserve">2. БЛОК «ПРОДАЖИ»</w:t>
      </w:r>
    </w:p>
    <w:p>
      <w:pPr>
        <w:pStyle w:val="Heading2"/>
      </w:pPr>
      <w:r>
        <w:rPr>
          <w:b/>
          <w:bCs/>
          <w:color w:val="2E5496"/>
          <w:sz w:val="26"/>
          <w:szCs w:val="26"/>
        </w:rPr>
        <w:t xml:space="preserve">2.1 Ключевые понятия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Владелец эксклюзивного права (ВЭП) — подразделение, обладающее исключительным правом на работу с конкретным клиентом. Право фиксируется в КИС.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Клиент «ТОП» — выручка от 1 млн руб./мес. или 1 000+ заказов/мес.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Ключевой клиент — постоянный крупный клиент; пороги выручки зависят от города.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Тендерный клиент — выбирает поставщика через тендер.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Интернет-магазин — ЮЛ/ИП, реализующие товары дистанционно (включая маркетплейсы).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6"/>
          <w:szCs w:val="26"/>
        </w:rPr>
        <w:t xml:space="preserve">2.2 Жизненный цикл закрепления клиента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Жизненный цикл (ЖЦ) — период, в течение которого ВЭП имеет исключительное право на работу с клиентом.</w:t>
      </w:r>
    </w:p>
    <w:p>
      <w:pPr>
        <w:spacing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4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Условие начала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Цель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Срок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 Первый контакт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Написан первый отчёт менеджера (ОМП) с двусторонней коммуникацией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Подписание договора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До 3 мес.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2. Договор подписан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Договор получил статус «Подписан» в КИС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Появление выручки (5+ отправлений)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 мес. с даты подписания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3. Наращивание оборота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По окончании 2-го этапа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Если нет 5+ накладных за 6 мес. — клиент становится свободным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Зависит от динамики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BF8F00" w:sz="12"/>
        </w:pBdr>
        <w:spacing w:after="100" w:before="60"/>
        <w:ind w:left="200"/>
      </w:pPr>
      <w:r>
        <w:rPr>
          <w:b/>
          <w:bCs/>
          <w:color w:val="7B5C00"/>
          <w:sz w:val="22"/>
          <w:szCs w:val="22"/>
        </w:rPr>
        <w:t xml:space="preserve">⚠  Фиктивный ЖЦ — искусственная передача клиента «дружественному» партнёру для продления прав — запрещён и влечёт санкции. Продление ЖЦ возможно по обоснованному запросу не позднее чем за 2 недели до окончания.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6"/>
          <w:szCs w:val="26"/>
        </w:rPr>
        <w:t xml:space="preserve">2.3 Развитие клиентов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Развитие — процедура, при которой другое подразделение (Инициатор) берёт клиента для увеличения оборота. Доступно, если договор действует более 6 месяцев.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Одновременно — не более 3 клиентов в развитие на одного продающего сотрудника.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Инициатор подаёт заявку с планом развития и финансовыми целями.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Победитель по чек-листу (ОМП, выручка, подтверждение коммуникаций, план роста).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На весь период развития 100% выручки остаётся у действующего владельца.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При успешном развитии: 30% маржинальной прибыли — прежнему владельцу, 70% — инициатору (перезакрепление на срок до 36 месяцев).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b/>
          <w:bCs/>
          <w:color w:val="2E5496"/>
          <w:sz w:val="26"/>
          <w:szCs w:val="26"/>
        </w:rPr>
        <w:t xml:space="preserve">2.4 Запрещено</w:t>
      </w:r>
    </w:p>
    <w:p>
      <w:pPr>
        <w:pBdr>
          <w:left w:val="single" w:color="C00000" w:sz="12"/>
        </w:pBdr>
        <w:spacing w:after="100" w:before="60"/>
        <w:ind w:left="200"/>
      </w:pPr>
      <w:r>
        <w:rPr>
          <w:b/>
          <w:bCs/>
          <w:color w:val="C00000"/>
          <w:sz w:val="22"/>
          <w:szCs w:val="22"/>
        </w:rPr>
        <w:t xml:space="preserve">❌  Вносить некорректные данные в карточку клиента в КИС.</w:t>
      </w:r>
    </w:p>
    <w:p>
      <w:pPr>
        <w:pBdr>
          <w:left w:val="single" w:color="C00000" w:sz="12"/>
        </w:pBdr>
        <w:spacing w:after="100" w:before="60"/>
        <w:ind w:left="200"/>
      </w:pPr>
      <w:r>
        <w:rPr>
          <w:b/>
          <w:bCs/>
          <w:color w:val="C00000"/>
          <w:sz w:val="22"/>
          <w:szCs w:val="22"/>
        </w:rPr>
        <w:t xml:space="preserve">❌  Общаться с клиентом и заключать договор без последующего ОМП в КИС.</w:t>
      </w:r>
    </w:p>
    <w:p>
      <w:pPr>
        <w:pBdr>
          <w:left w:val="single" w:color="C00000" w:sz="12"/>
        </w:pBdr>
        <w:spacing w:after="100" w:before="60"/>
        <w:ind w:left="200"/>
      </w:pPr>
      <w:r>
        <w:rPr>
          <w:b/>
          <w:bCs/>
          <w:color w:val="C00000"/>
          <w:sz w:val="22"/>
          <w:szCs w:val="22"/>
        </w:rPr>
        <w:t xml:space="preserve">❌  Контактировать с клиентом другого подразделения с целью его переманивания.</w:t>
      </w:r>
    </w:p>
    <w:p>
      <w:pPr>
        <w:pBdr>
          <w:left w:val="single" w:color="C00000" w:sz="12"/>
        </w:pBdr>
        <w:spacing w:after="100" w:before="60"/>
        <w:ind w:left="200"/>
      </w:pPr>
      <w:r>
        <w:rPr>
          <w:b/>
          <w:bCs/>
          <w:color w:val="C00000"/>
          <w:sz w:val="22"/>
          <w:szCs w:val="22"/>
        </w:rPr>
        <w:t xml:space="preserve">❌  Предлагать скидки или преференции клиенту, закреплённому за другим подразделением.</w:t>
      </w:r>
    </w:p>
    <w:p>
      <w:pPr>
        <w:pBdr>
          <w:left w:val="single" w:color="C00000" w:sz="12"/>
        </w:pBdr>
        <w:spacing w:after="100" w:before="60"/>
        <w:ind w:left="200"/>
      </w:pPr>
      <w:r>
        <w:rPr>
          <w:b/>
          <w:bCs/>
          <w:color w:val="C00000"/>
          <w:sz w:val="22"/>
          <w:szCs w:val="22"/>
        </w:rPr>
        <w:t xml:space="preserve">❌  Предлагать расчёт вне договора клиента с указанием выгод.</w:t>
      </w:r>
    </w:p>
    <w:p>
      <w:pPr>
        <w:pBdr>
          <w:left w:val="single" w:color="C00000" w:sz="12"/>
        </w:pBdr>
        <w:spacing w:after="100" w:before="60"/>
        <w:ind w:left="200"/>
      </w:pPr>
      <w:r>
        <w:rPr>
          <w:b/>
          <w:bCs/>
          <w:color w:val="C00000"/>
          <w:sz w:val="22"/>
          <w:szCs w:val="22"/>
        </w:rPr>
        <w:t xml:space="preserve">❌  Распространять недостоверную информацию о других подразделениях/сотрудниках.</w:t>
      </w:r>
    </w:p>
    <w:p>
      <w:pPr>
        <w:pBdr>
          <w:left w:val="single" w:color="C00000" w:sz="12"/>
        </w:pBdr>
        <w:spacing w:after="100" w:before="60"/>
        <w:ind w:left="200"/>
      </w:pPr>
      <w:r>
        <w:rPr>
          <w:b/>
          <w:bCs/>
          <w:color w:val="C00000"/>
          <w:sz w:val="22"/>
          <w:szCs w:val="22"/>
        </w:rPr>
        <w:t xml:space="preserve">❌  Привлекать клиента к спорам между подразделениями.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0"/>
          <w:szCs w:val="30"/>
        </w:rPr>
        <w:t xml:space="preserve">3. БЛОК «КЛИЕНТСКИЙ СЕРВИС»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Каждый клиент вправе получить полный комплекс услуг в любом офисе сети.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Запросы клиентов обрабатываются не позднее следующего рабочего дня.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Обязательна видео- и аудиофиксация работы офиса; записи предоставляются по запросу в течение 1 рабочего дня.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Все офисы — монобрендовые, оформлены строго по стандартам ГК.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Запрещено:</w:t>
      </w:r>
    </w:p>
    <w:p>
      <w:pPr>
        <w:pBdr>
          <w:left w:val="single" w:color="C00000" w:sz="12"/>
        </w:pBdr>
        <w:spacing w:after="100" w:before="60"/>
        <w:ind w:left="200"/>
      </w:pPr>
      <w:r>
        <w:rPr>
          <w:b/>
          <w:bCs/>
          <w:color w:val="C00000"/>
          <w:sz w:val="22"/>
          <w:szCs w:val="22"/>
        </w:rPr>
        <w:t xml:space="preserve">❌  Предлагать клиенту только свой ПВЗ, если заказ оформлен на другой (кража выручки).</w:t>
      </w:r>
    </w:p>
    <w:p>
      <w:pPr>
        <w:pBdr>
          <w:left w:val="single" w:color="C00000" w:sz="12"/>
        </w:pBdr>
        <w:spacing w:after="100" w:before="60"/>
        <w:ind w:left="200"/>
      </w:pPr>
      <w:r>
        <w:rPr>
          <w:b/>
          <w:bCs/>
          <w:color w:val="C00000"/>
          <w:sz w:val="22"/>
          <w:szCs w:val="22"/>
        </w:rPr>
        <w:t xml:space="preserve">❌  Менять адрес выдачи без согласования с клиентом (увод выручки).</w:t>
      </w:r>
    </w:p>
    <w:p>
      <w:pPr>
        <w:pBdr>
          <w:left w:val="single" w:color="C00000" w:sz="12"/>
        </w:pBdr>
        <w:spacing w:after="100" w:before="60"/>
        <w:ind w:left="200"/>
      </w:pPr>
      <w:r>
        <w:rPr>
          <w:b/>
          <w:bCs/>
          <w:color w:val="C00000"/>
          <w:sz w:val="22"/>
          <w:szCs w:val="22"/>
        </w:rPr>
        <w:t xml:space="preserve">❌  Отказывать в приёме отправления при отсутствии распечатанной накладной.</w:t>
      </w:r>
    </w:p>
    <w:p>
      <w:pPr>
        <w:pBdr>
          <w:left w:val="single" w:color="C00000" w:sz="12"/>
        </w:pBdr>
        <w:spacing w:after="100" w:before="60"/>
        <w:ind w:left="200"/>
      </w:pPr>
      <w:r>
        <w:rPr>
          <w:b/>
          <w:bCs/>
          <w:color w:val="C00000"/>
          <w:sz w:val="22"/>
          <w:szCs w:val="22"/>
        </w:rPr>
        <w:t xml:space="preserve">❌  Дезинформировать клиента о доступных способах оплаты.</w:t>
      </w:r>
    </w:p>
    <w:p>
      <w:pPr>
        <w:pBdr>
          <w:left w:val="single" w:color="C00000" w:sz="12"/>
        </w:pBdr>
        <w:spacing w:after="100" w:before="60"/>
        <w:ind w:left="200"/>
      </w:pPr>
      <w:r>
        <w:rPr>
          <w:b/>
          <w:bCs/>
          <w:color w:val="C00000"/>
          <w:sz w:val="22"/>
          <w:szCs w:val="22"/>
        </w:rPr>
        <w:t xml:space="preserve">❌  Совмещать несколько брендов в одном офисе.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0"/>
          <w:szCs w:val="30"/>
        </w:rPr>
        <w:t xml:space="preserve">4. БЛОК «КРЕДИТНЫЙ КОНТРОЛЬ»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Партнёр ведёт корректный учёт взаиморасчётов в КИС и предоставляет документы согласно договору.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Обязателен эквайринг во всех офисах; у курьеров — мобильные терминалы.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Все документы подписываются через ЭДО в течение 3 рабочих дней.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Ежемесячный аудит: несоблюдение пороговых показателей — штрафные санкции.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b/>
          <w:bCs/>
          <w:sz w:val="22"/>
          <w:szCs w:val="22"/>
        </w:rPr>
        <w:t xml:space="preserve">Работа с просроченной дебиторской задолженностью (ПДЗ):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Организовать встречу с клиентом и подписать пакет документов в течение 5 рабочих дней.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Допускается снижение суммы долга до 20%, отмена пени.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При отказе клиента — уведомление о судебном взыскании.</w:t>
      </w:r>
    </w:p>
    <w:p>
      <w:pPr>
        <w:pBdr>
          <w:left w:val="single" w:color="BF8F00" w:sz="12"/>
        </w:pBdr>
        <w:spacing w:after="100" w:before="60"/>
        <w:ind w:left="200"/>
      </w:pPr>
      <w:r>
        <w:rPr>
          <w:b/>
          <w:bCs/>
          <w:color w:val="7B5C00"/>
          <w:sz w:val="22"/>
          <w:szCs w:val="22"/>
        </w:rPr>
        <w:t xml:space="preserve">⚠  Отсутствие оригинала договора при ПДЗ выше порогового значения — штраф на менеджера продаж.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0"/>
          <w:szCs w:val="30"/>
        </w:rPr>
        <w:t xml:space="preserve">5. КЛЮЧЕВЫЕ ШТРАФЫ И РИСКИ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7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Нарушение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Последствие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Переманивание клиента сотрудником при переходе в другое подразделение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Штраф за каждого уведённого клиента; при умысле — ×2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Параллельная работа с конкурирующей курьерской компанией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Штраф + возможное расторжение договора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Нарушение правил информационной безопасности (учётные записи)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Штраф за каждый случай + возмещение ущерба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1-е нарушение правил за 12 месяцев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Предупреждение (или условный штраф)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2-е нарушение за 12 мес. и последующие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Денежный штраф (прогрессивная шкала)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Несвоевременный ответ на запрос клиента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Штраф за каждый запрос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Отказ от исполнения решения арбитражной группы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Повышенный штраф + иные меры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3-е нарушение по кредитному контролю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Прекращение сотрудничества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0"/>
          <w:szCs w:val="30"/>
        </w:rPr>
        <w:t xml:space="preserve">6. РАССМОТРЕНИЕ СПОРОВ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Претензии подаются через внутренний портал с обязательным приложением доказательств.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Решение первой инстанции — не более 5 рабочих дней.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Рассмотрение и пересмотр — платные. Нарушение подтверждено → платит ответчик; не подтверждено → платит истец.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Срок подачи претензии: не позднее 6 месяцев с момента нарушения. После 18 месяцев — претензия не рассматривается.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Предусмотрено до трёх инстанций пересмотра с нарастающей стоимостью.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0"/>
          <w:szCs w:val="30"/>
        </w:rPr>
        <w:t xml:space="preserve">7. РЕКОМЕНДАЦИИ И ВЫВОДЫ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Критически важно: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Фиксировать все коммуникации с клиентами в КИС немедленно — это единственное основание для защиты прав в спорах.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Соблюдать сроки жизненного цикла: просроченный ЖЦ автоматически открывает клиента для других подразделений.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Не предпринимать попыток переманить клиентов других подразделений — санкции прогрессивные, финальный исход — расторжение договора.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Перед взятием клиента в работу — проверять его статус в КИС по нескольким критериям (ИНН, телефон, сайт, контактные данные).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При споре — не контактировать с клиентом до завершения аудита арбитражной группой.</w:t>
      </w:r>
    </w:p>
    <w:p>
      <w:pPr>
        <w:spacing w:after="6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Конец документа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2026-05-22T15:01:59.111Z</dcterms:created>
  <dcterms:modified xsi:type="dcterms:W3CDTF">2026-05-22T15:01:59.112Z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