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宋体"/>
          <w:b/>
          <w:sz w:val="36"/>
        </w:rPr>
        <w:t>本  科  毕  业  论  文 （设 计）</w:t>
      </w:r>
    </w:p>
    <w:p>
      <w:pPr>
        <w:spacing w:after="80"/>
        <w:jc w:val="center"/>
      </w:pPr>
      <w:r>
        <w:rPr>
          <w:rFonts w:ascii="Times New Roman" w:hAnsi="Times New Roman" w:eastAsia="宋体"/>
          <w:b w:val="0"/>
          <w:sz w:val="28"/>
        </w:rPr>
        <w:t>（主修专业）</w:t>
      </w:r>
    </w:p>
    <w:p/>
    <w:p>
      <w:pPr>
        <w:spacing w:after="80"/>
        <w:jc w:val="center"/>
      </w:pPr>
      <w:r>
        <w:rPr>
          <w:rFonts w:ascii="Times New Roman" w:hAnsi="Times New Roman" w:eastAsia="宋体"/>
          <w:b/>
          <w:sz w:val="32"/>
        </w:rPr>
        <w:t>基于 MIMIC-IV 的 ICU 患者 28 天死亡风险预测研究</w:t>
      </w:r>
    </w:p>
    <w:p>
      <w:pPr>
        <w:spacing w:after="80"/>
        <w:jc w:val="center"/>
      </w:pPr>
      <w:r>
        <w:rPr>
          <w:rFonts w:ascii="Times New Roman" w:hAnsi="Times New Roman" w:eastAsia="宋体"/>
          <w:b w:val="0"/>
          <w:sz w:val="24"/>
        </w:rPr>
        <w:t>Prediction of 28-Day Mortality in ICU Patients Based on MIMIC-IV</w:t>
      </w:r>
    </w:p>
    <w:p/>
    <w:p>
      <w:pPr>
        <w:spacing w:after="80"/>
        <w:jc w:val="center"/>
      </w:pPr>
      <w:r>
        <w:rPr>
          <w:rFonts w:ascii="Times New Roman" w:hAnsi="Times New Roman" w:eastAsia="宋体"/>
          <w:b w:val="0"/>
          <w:sz w:val="24"/>
        </w:rPr>
        <w:t>姓    名：方明正</w:t>
      </w:r>
    </w:p>
    <w:p>
      <w:pPr>
        <w:spacing w:after="80"/>
        <w:jc w:val="center"/>
      </w:pPr>
      <w:r>
        <w:rPr>
          <w:rFonts w:ascii="Times New Roman" w:hAnsi="Times New Roman" w:eastAsia="宋体"/>
          <w:b w:val="0"/>
          <w:sz w:val="24"/>
        </w:rPr>
        <w:t>学    号：37220222203586</w:t>
      </w:r>
    </w:p>
    <w:p>
      <w:pPr>
        <w:spacing w:after="80"/>
        <w:jc w:val="center"/>
      </w:pPr>
      <w:r>
        <w:rPr>
          <w:rFonts w:ascii="Times New Roman" w:hAnsi="Times New Roman" w:eastAsia="宋体"/>
          <w:b w:val="0"/>
          <w:sz w:val="24"/>
        </w:rPr>
        <w:t>学    院：信息学院</w:t>
      </w:r>
    </w:p>
    <w:p>
      <w:pPr>
        <w:spacing w:after="80"/>
        <w:jc w:val="center"/>
      </w:pPr>
      <w:r>
        <w:rPr>
          <w:rFonts w:ascii="Times New Roman" w:hAnsi="Times New Roman" w:eastAsia="宋体"/>
          <w:b w:val="0"/>
          <w:sz w:val="24"/>
        </w:rPr>
        <w:t>专    业：软件工程</w:t>
      </w:r>
    </w:p>
    <w:p>
      <w:pPr>
        <w:spacing w:after="80"/>
        <w:jc w:val="center"/>
      </w:pPr>
      <w:r>
        <w:rPr>
          <w:rFonts w:ascii="Times New Roman" w:hAnsi="Times New Roman" w:eastAsia="宋体"/>
          <w:b w:val="0"/>
          <w:sz w:val="24"/>
        </w:rPr>
        <w:t>年    级：2022级</w:t>
      </w:r>
    </w:p>
    <w:p>
      <w:pPr>
        <w:spacing w:after="80"/>
        <w:jc w:val="center"/>
      </w:pPr>
      <w:r>
        <w:rPr>
          <w:rFonts w:ascii="Times New Roman" w:hAnsi="Times New Roman" w:eastAsia="宋体"/>
          <w:b w:val="0"/>
          <w:sz w:val="24"/>
        </w:rPr>
        <w:t>校内指导教师：黄晨曦   助理教授</w:t>
      </w:r>
    </w:p>
    <w:p/>
    <w:p>
      <w:pPr>
        <w:spacing w:after="80"/>
        <w:jc w:val="center"/>
      </w:pPr>
      <w:r>
        <w:rPr>
          <w:rFonts w:ascii="Times New Roman" w:hAnsi="Times New Roman" w:eastAsia="宋体"/>
          <w:b w:val="0"/>
          <w:sz w:val="24"/>
        </w:rPr>
        <w:t>二〇二六年 五月</w:t>
      </w:r>
    </w:p>
    <w:p>
      <w:r>
        <w:br w:type="page"/>
      </w:r>
    </w:p>
    <w:p>
      <w:pPr>
        <w:spacing w:after="80"/>
        <w:jc w:val="center"/>
      </w:pPr>
      <w:r>
        <w:rPr>
          <w:rFonts w:ascii="Times New Roman" w:hAnsi="Times New Roman" w:eastAsia="宋体"/>
          <w:b/>
          <w:sz w:val="32"/>
        </w:rPr>
        <w:t>摘　要</w:t>
      </w:r>
    </w:p>
    <w:p>
      <w:pPr>
        <w:spacing w:line="324" w:lineRule="auto" w:after="100"/>
        <w:ind w:firstLine="420"/>
      </w:pPr>
      <w:r>
        <w:rPr>
          <w:rFonts w:ascii="Times New Roman" w:hAnsi="Times New Roman" w:eastAsia="宋体"/>
          <w:sz w:val="22"/>
        </w:rPr>
        <w:t>目的：重症监护病房（intensive care unit，ICU）患者短期死亡风险较高，早期识别高危患者有助于临床风险分层、监护强度安排和医疗资源配置。本研究基于 MIMIC-IV 衍生分析数据集，构建 ICU 患者 28 天死亡风险预测模型，并评估入 ICU 后前 24 小时结构化临床变量的预测价值。</w:t>
      </w:r>
    </w:p>
    <w:p>
      <w:pPr>
        <w:spacing w:line="324" w:lineRule="auto" w:after="100"/>
        <w:ind w:firstLine="420"/>
      </w:pPr>
      <w:r>
        <w:rPr>
          <w:rFonts w:ascii="Times New Roman" w:hAnsi="Times New Roman" w:eastAsia="宋体"/>
          <w:sz w:val="22"/>
        </w:rPr>
        <w:t>方法：纳入 ICU 住院时长不少于 24 小时且 28 天死亡结局可用的患者。预测变量包括人口学信息、首次 ICU 入科单元、前 24 小时生命体征和实验室指标。采用分层训练集/测试集划分和 5 折分层交叉验证，比较 Logistic 回归、决策树、随机森林、ExtraTrees、HistGradientBoosting、XGBoost、LightGBM 和 CatBoost 等模型。主要评价指标为 AUROC，同时报告 AUPRC、准确率、精确率、召回率、F1、Brier score、混淆矩阵和 bootstrap 95% 置信区间。</w:t>
      </w:r>
    </w:p>
    <w:p>
      <w:pPr>
        <w:spacing w:line="324" w:lineRule="auto" w:after="100"/>
        <w:ind w:firstLine="420"/>
      </w:pPr>
      <w:r>
        <w:rPr>
          <w:rFonts w:ascii="Times New Roman" w:hAnsi="Times New Roman" w:eastAsia="宋体"/>
          <w:sz w:val="22"/>
        </w:rPr>
        <w:t>结果：共纳入 51838 例 ICU 患者，其中 28 天内死亡 6935 例，事件率为 13.38%。LightGBM 表现最佳，测试集 AUROC 为 0.874，AUPRC 为 0.558，准确率为 0.870，精确率为 0.511，召回率为 0.565，F1 为 0.537。Bootstrap 分析显示最佳模型 AUROC 的 95% 置信区间为 0.865-0.883。</w:t>
      </w:r>
    </w:p>
    <w:p>
      <w:pPr>
        <w:spacing w:line="324" w:lineRule="auto" w:after="100"/>
        <w:ind w:firstLine="420"/>
      </w:pPr>
      <w:r>
        <w:rPr>
          <w:rFonts w:ascii="Times New Roman" w:hAnsi="Times New Roman" w:eastAsia="宋体"/>
          <w:sz w:val="22"/>
        </w:rPr>
        <w:t>结论：基于 ICU 入科早期常规结构化数据构建的机器学习模型能够较好预测 ICU 患者 28 天死亡风险。重要特征集中于年龄、氧合状态、体温、呼吸频率、心率、肾功能、炎症指标和血压状态，符合 ICU 短期预后受基础脆弱性、呼吸循环不稳定、感染炎症负荷和器官功能损伤共同影响的临床认知。</w:t>
      </w:r>
    </w:p>
    <w:p>
      <w:pPr>
        <w:spacing w:line="324" w:lineRule="auto" w:after="100"/>
        <w:ind w:firstLine="420"/>
      </w:pPr>
      <w:r>
        <w:rPr>
          <w:rFonts w:ascii="Times New Roman" w:hAnsi="Times New Roman" w:eastAsia="宋体"/>
          <w:sz w:val="22"/>
        </w:rPr>
        <w:t>关键词：MIMIC-IV；ICU；28 天死亡；机器学习；风险预测；LightGBM</w:t>
      </w:r>
    </w:p>
    <w:p>
      <w:pPr>
        <w:spacing w:after="80"/>
        <w:jc w:val="center"/>
      </w:pPr>
      <w:r>
        <w:rPr>
          <w:rFonts w:ascii="Times New Roman" w:hAnsi="Times New Roman" w:eastAsia="宋体"/>
          <w:b/>
          <w:sz w:val="32"/>
        </w:rPr>
        <w:t>Abstract</w:t>
      </w:r>
    </w:p>
    <w:p>
      <w:pPr>
        <w:spacing w:line="259" w:lineRule="auto" w:after="40"/>
        <w:ind w:firstLine="312"/>
      </w:pPr>
      <w:r>
        <w:rPr>
          <w:rFonts w:ascii="Times New Roman" w:hAnsi="Times New Roman" w:eastAsia="宋体"/>
          <w:sz w:val="18"/>
        </w:rPr>
        <w:t>Objective: This study developed machine-learning models to predict 28-day mortality among intensive care unit patients using structured clinical variables from the first 24 hours after ICU admission.</w:t>
      </w:r>
    </w:p>
    <w:p>
      <w:pPr>
        <w:spacing w:line="259" w:lineRule="auto" w:after="40"/>
        <w:ind w:firstLine="312"/>
      </w:pPr>
      <w:r>
        <w:rPr>
          <w:rFonts w:ascii="Times New Roman" w:hAnsi="Times New Roman" w:eastAsia="宋体"/>
          <w:sz w:val="18"/>
        </w:rPr>
        <w:t>Methods: ICU stays with available 28-day mortality labels and ICU length of stay of at least 24 hours were included. Demographics, first ICU care unit, vital signs, and laboratory measurements were used as predictors. Candidate models were compared using stratified train-test split and 5-fold cross-validation.</w:t>
      </w:r>
    </w:p>
    <w:p>
      <w:pPr>
        <w:spacing w:line="259" w:lineRule="auto" w:after="40"/>
        <w:ind w:firstLine="312"/>
      </w:pPr>
      <w:r>
        <w:rPr>
          <w:rFonts w:ascii="Times New Roman" w:hAnsi="Times New Roman" w:eastAsia="宋体"/>
          <w:sz w:val="18"/>
        </w:rPr>
        <w:t>Results: A total of 51838 ICU patients were included, including 6935 deaths within 28 days. LightGBM achieved the best performance, with a test AUROC of 0.874, AUPRC of 0.558, and AUROC 95% confidence interval of 0.865-0.883.</w:t>
      </w:r>
    </w:p>
    <w:p>
      <w:pPr>
        <w:spacing w:line="259" w:lineRule="auto" w:after="40"/>
        <w:ind w:firstLine="312"/>
      </w:pPr>
      <w:r>
        <w:rPr>
          <w:rFonts w:ascii="Times New Roman" w:hAnsi="Times New Roman" w:eastAsia="宋体"/>
          <w:sz w:val="18"/>
        </w:rPr>
        <w:t>Conclusion: Early structured ICU data provided strong information for 28-day mortality prediction and may support clinical risk stratification after external validation.</w:t>
      </w:r>
    </w:p>
    <w:p>
      <w:pPr>
        <w:spacing w:line="259" w:lineRule="auto" w:after="40"/>
        <w:ind w:firstLine="312"/>
      </w:pPr>
      <w:r>
        <w:rPr>
          <w:rFonts w:ascii="Times New Roman" w:hAnsi="Times New Roman" w:eastAsia="宋体"/>
          <w:sz w:val="18"/>
        </w:rPr>
        <w:t>Key words: MIMIC-IV; ICU; 28-day mortality; machine learning; risk prediction</w:t>
      </w:r>
    </w:p>
    <w:p>
      <w:r>
        <w:br w:type="page"/>
      </w:r>
    </w:p>
    <w:p>
      <w:pPr>
        <w:pStyle w:val="Heading1"/>
        <w:spacing w:before="160" w:after="100"/>
      </w:pPr>
      <w:r>
        <w:rPr>
          <w:rFonts w:ascii="Times New Roman" w:hAnsi="Times New Roman" w:eastAsia="黑体"/>
          <w:b/>
          <w:color w:val="000000"/>
          <w:sz w:val="30"/>
        </w:rPr>
        <w:t>1 绪论</w:t>
      </w:r>
    </w:p>
    <w:p>
      <w:pPr>
        <w:pStyle w:val="Heading2"/>
        <w:spacing w:before="100" w:after="100"/>
      </w:pPr>
      <w:r>
        <w:rPr>
          <w:rFonts w:ascii="Times New Roman" w:hAnsi="Times New Roman" w:eastAsia="黑体"/>
          <w:b/>
          <w:color w:val="000000"/>
          <w:sz w:val="26"/>
        </w:rPr>
        <w:t>1.1 研究背景</w:t>
      </w:r>
    </w:p>
    <w:p>
      <w:pPr>
        <w:spacing w:line="324" w:lineRule="auto" w:after="100"/>
        <w:ind w:firstLine="420"/>
      </w:pPr>
      <w:r>
        <w:rPr>
          <w:rFonts w:ascii="Times New Roman" w:hAnsi="Times New Roman" w:eastAsia="宋体"/>
          <w:sz w:val="22"/>
        </w:rPr>
        <w:t>ICU 收治的患者通常存在急性生理紊乱、器官功能损伤和较高短期死亡风险。28 天死亡是重症医学研究中常用的短期预后结局，能够反映患者入 ICU 后早期疾病严重程度、治疗反应和整体预后。随着电子健康记录和公共数据库的发展，利用早期临床数据构建可复现的风险预测模型，已成为重症医学与医学人工智能交叉研究的重要方向。</w:t>
      </w:r>
    </w:p>
    <w:p>
      <w:pPr>
        <w:pStyle w:val="Heading2"/>
        <w:spacing w:before="100" w:after="100"/>
      </w:pPr>
      <w:r>
        <w:rPr>
          <w:rFonts w:ascii="Times New Roman" w:hAnsi="Times New Roman" w:eastAsia="黑体"/>
          <w:b/>
          <w:color w:val="000000"/>
          <w:sz w:val="26"/>
        </w:rPr>
        <w:t>1.2 研究意义</w:t>
      </w:r>
    </w:p>
    <w:p>
      <w:pPr>
        <w:spacing w:line="324" w:lineRule="auto" w:after="100"/>
        <w:ind w:firstLine="420"/>
      </w:pPr>
      <w:r>
        <w:rPr>
          <w:rFonts w:ascii="Times New Roman" w:hAnsi="Times New Roman" w:eastAsia="宋体"/>
          <w:sz w:val="22"/>
        </w:rPr>
        <w:t>传统 ICU 风险评分依赖固定变量和人工计算，难以充分利用电子病历中丰富的结构化数据。机器学习方法能够整合生命体征、实验室指标和基础人口学信息，捕捉变量之间的非线性关系。本研究以 MIMIC-IV 衍生数据为基础，围绕 ICU 患者 28 天死亡构建预测模型，有助于探索早期常规数据在短期预后评估中的应用价值。</w:t>
      </w:r>
    </w:p>
    <w:p>
      <w:pPr>
        <w:pStyle w:val="Heading2"/>
        <w:spacing w:before="100" w:after="100"/>
      </w:pPr>
      <w:r>
        <w:rPr>
          <w:rFonts w:ascii="Times New Roman" w:hAnsi="Times New Roman" w:eastAsia="黑体"/>
          <w:b/>
          <w:color w:val="000000"/>
          <w:sz w:val="26"/>
        </w:rPr>
        <w:t>1.3 研究内容</w:t>
      </w:r>
    </w:p>
    <w:p>
      <w:pPr>
        <w:spacing w:line="324" w:lineRule="auto" w:after="100"/>
        <w:ind w:firstLine="420"/>
      </w:pPr>
      <w:r>
        <w:rPr>
          <w:rFonts w:ascii="Times New Roman" w:hAnsi="Times New Roman" w:eastAsia="宋体"/>
          <w:sz w:val="22"/>
        </w:rPr>
        <w:t>本研究主要完成以下工作：第一，构建 ICU 患者 28 天死亡预测数据集；第二，比较多种机器学习模型的预测性能；第三，输出 ROC、PR、校准曲线及 bootstrap 置信区间；第四，分析最佳模型的重要特征并讨论其医学意义。</w:t>
      </w:r>
    </w:p>
    <w:p>
      <w:pPr>
        <w:pStyle w:val="Heading1"/>
        <w:spacing w:before="160" w:after="100"/>
      </w:pPr>
      <w:r>
        <w:rPr>
          <w:rFonts w:ascii="Times New Roman" w:hAnsi="Times New Roman" w:eastAsia="黑体"/>
          <w:b/>
          <w:color w:val="000000"/>
          <w:sz w:val="30"/>
        </w:rPr>
        <w:t>2 资料与方法</w:t>
      </w:r>
    </w:p>
    <w:p>
      <w:pPr>
        <w:pStyle w:val="Heading2"/>
        <w:spacing w:before="100" w:after="100"/>
      </w:pPr>
      <w:r>
        <w:rPr>
          <w:rFonts w:ascii="Times New Roman" w:hAnsi="Times New Roman" w:eastAsia="黑体"/>
          <w:b/>
          <w:color w:val="000000"/>
          <w:sz w:val="26"/>
        </w:rPr>
        <w:t>2.1 数据来源与研究对象</w:t>
      </w:r>
    </w:p>
    <w:p>
      <w:pPr>
        <w:spacing w:line="324" w:lineRule="auto" w:after="100"/>
        <w:ind w:firstLine="420"/>
      </w:pPr>
      <w:r>
        <w:rPr>
          <w:rFonts w:ascii="Times New Roman" w:hAnsi="Times New Roman" w:eastAsia="宋体"/>
          <w:sz w:val="22"/>
        </w:rPr>
        <w:t>本研究使用基于 MIMIC-IV 数据库整理得到的分析数据集 ch3_analysis_dataset。纳入标准为 ICU 住院时长可用、ICU 住院时长不少于 24 小时且 28 天死亡结局可用。最终纳入患者记录用于建模分析。</w:t>
      </w:r>
    </w:p>
    <w:p>
      <w:pPr>
        <w:pStyle w:val="Heading2"/>
        <w:spacing w:before="100" w:after="100"/>
      </w:pPr>
      <w:r>
        <w:rPr>
          <w:rFonts w:ascii="Times New Roman" w:hAnsi="Times New Roman" w:eastAsia="黑体"/>
          <w:b/>
          <w:color w:val="000000"/>
          <w:sz w:val="26"/>
        </w:rPr>
        <w:t>2.2 结局定义</w:t>
      </w:r>
    </w:p>
    <w:p>
      <w:pPr>
        <w:spacing w:line="324" w:lineRule="auto" w:after="100"/>
        <w:ind w:firstLine="420"/>
      </w:pPr>
      <w:r>
        <w:rPr>
          <w:rFonts w:ascii="Times New Roman" w:hAnsi="Times New Roman" w:eastAsia="宋体"/>
          <w:sz w:val="22"/>
        </w:rPr>
        <w:t>主要结局为 ICU 入科后 28 天内死亡，变量名为 death_28d。death_28d = 1 表示患者在 ICU 入科后 28 天内死亡，death_28d = 0 表示未在 28 天内死亡。</w:t>
      </w:r>
    </w:p>
    <w:p>
      <w:pPr>
        <w:pStyle w:val="Heading2"/>
        <w:spacing w:before="100" w:after="100"/>
      </w:pPr>
      <w:r>
        <w:rPr>
          <w:rFonts w:ascii="Times New Roman" w:hAnsi="Times New Roman" w:eastAsia="黑体"/>
          <w:b/>
          <w:color w:val="000000"/>
          <w:sz w:val="26"/>
        </w:rPr>
        <w:t>2.3 预测变量</w:t>
      </w:r>
    </w:p>
    <w:p>
      <w:pPr>
        <w:spacing w:line="324" w:lineRule="auto" w:after="100"/>
        <w:ind w:firstLine="420"/>
      </w:pPr>
      <w:r>
        <w:rPr>
          <w:rFonts w:ascii="Times New Roman" w:hAnsi="Times New Roman" w:eastAsia="宋体"/>
          <w:sz w:val="22"/>
        </w:rPr>
        <w:t>预测变量包括年龄、性别、种族分组、首次 ICU 入科单元，以及入 ICU 后前 24 小时生命体征和实验室指标。生命体征包括心率、呼吸频率、血氧饱和度、收缩压、舒张压、平均动脉压和体温等；实验室指标包括白细胞、血红蛋白、血小板、电解质、肾功能、血糖、阴离子间隙和凝血功能等。对于同一指标，尽可能使用 first、mean、min 和 max 等统计量表示早期状态和波动范围。</w:t>
      </w:r>
    </w:p>
    <w:p>
      <w:pPr>
        <w:pStyle w:val="Heading2"/>
        <w:spacing w:before="100" w:after="100"/>
      </w:pPr>
      <w:r>
        <w:rPr>
          <w:rFonts w:ascii="Times New Roman" w:hAnsi="Times New Roman" w:eastAsia="黑体"/>
          <w:b/>
          <w:color w:val="000000"/>
          <w:sz w:val="26"/>
        </w:rPr>
        <w:t>2.4 建模与评价方法</w:t>
      </w:r>
    </w:p>
    <w:p>
      <w:pPr>
        <w:spacing w:line="324" w:lineRule="auto" w:after="100"/>
        <w:ind w:firstLine="420"/>
      </w:pPr>
      <w:r>
        <w:rPr>
          <w:rFonts w:ascii="Times New Roman" w:hAnsi="Times New Roman" w:eastAsia="宋体"/>
          <w:sz w:val="22"/>
        </w:rPr>
        <w:t>数据按 8:2 分层划分训练集和测试集。数值变量采用中位数填补并标准化，分类变量采用众数填补并进行 one-hot 编码。模型训练在训练集内采用 5 折分层交叉验证和网格搜索完成。候选模型包括 Logistic 回归、决策树、随机森林、ExtraTrees、HistGradientBoosting、XGBoost、LightGBM 和 CatBoost。模型主要依据测试集 AUROC 进行比较，同时报告 AUPRC、准确率、精确率、召回率、F1、Brier score 和混淆矩阵。最佳模型通过 bootstrap 重采样估计 95% 置信区间。</w:t>
      </w:r>
    </w:p>
    <w:p>
      <w:pPr>
        <w:pStyle w:val="Heading1"/>
        <w:spacing w:before="160" w:after="100"/>
      </w:pPr>
      <w:r>
        <w:rPr>
          <w:rFonts w:ascii="Times New Roman" w:hAnsi="Times New Roman" w:eastAsia="黑体"/>
          <w:b/>
          <w:color w:val="000000"/>
          <w:sz w:val="30"/>
        </w:rPr>
        <w:t>3 结果</w:t>
      </w:r>
    </w:p>
    <w:p>
      <w:pPr>
        <w:pStyle w:val="Heading2"/>
        <w:spacing w:before="100" w:after="100"/>
      </w:pPr>
      <w:r>
        <w:rPr>
          <w:rFonts w:ascii="Times New Roman" w:hAnsi="Times New Roman" w:eastAsia="黑体"/>
          <w:b/>
          <w:color w:val="000000"/>
          <w:sz w:val="26"/>
        </w:rPr>
        <w:t>3.1 队列概况</w:t>
      </w:r>
    </w:p>
    <w:p>
      <w:pPr>
        <w:spacing w:line="324" w:lineRule="auto" w:after="100"/>
        <w:ind w:firstLine="420"/>
      </w:pPr>
      <w:r>
        <w:rPr>
          <w:rFonts w:ascii="Times New Roman" w:hAnsi="Times New Roman" w:eastAsia="宋体"/>
          <w:sz w:val="22"/>
        </w:rPr>
        <w:t>本研究最终纳入 51838 例 ICU 患者，其中 28 天内死亡 6935 例，事件率为 13.38%。训练集样本量为 41470，测试集样本量为 10368；训练集死亡例数为 5548，测试集死亡例数为 1387。</w:t>
      </w:r>
    </w:p>
    <w:p>
      <w:pPr>
        <w:spacing w:before="40" w:after="140"/>
        <w:jc w:val="center"/>
      </w:pPr>
      <w:r>
        <w:rPr>
          <w:rFonts w:ascii="Times New Roman" w:hAnsi="Times New Roman" w:eastAsia="宋体"/>
          <w:sz w:val="18"/>
        </w:rPr>
        <w:t>表 1 数据集概况</w:t>
      </w:r>
    </w:p>
    <w:tbl>
      <w:tblPr>
        <w:tblStyle w:val="TableGrid"/>
        <w:tblW w:type="auto" w:w="0"/>
        <w:jc w:val="center"/>
        <w:tblLayout w:type="autofit"/>
        <w:tblLook w:firstColumn="1" w:firstRow="1" w:lastColumn="0" w:lastRow="0" w:noHBand="0" w:noVBand="1" w:val="04A0"/>
      </w:tblPr>
      <w:tblGrid>
        <w:gridCol w:w="4674"/>
        <w:gridCol w:w="4674"/>
      </w:tblGrid>
      <w:tr>
        <w:tc>
          <w:tcPr>
            <w:tcW w:type="dxa" w:w="4674"/>
            <w:vAlign w:val="center"/>
            <w:shd w:fill="D9EAF7"/>
          </w:tcPr>
          <w:p>
            <w:pPr>
              <w:spacing w:after="0"/>
              <w:jc w:val="center"/>
            </w:pPr>
            <w:r/>
            <w:r>
              <w:rPr>
                <w:rFonts w:ascii="Times New Roman" w:hAnsi="Times New Roman" w:eastAsia="宋体"/>
                <w:b/>
                <w:sz w:val="16"/>
              </w:rPr>
              <w:t>项目</w:t>
            </w:r>
          </w:p>
        </w:tc>
        <w:tc>
          <w:tcPr>
            <w:tcW w:type="dxa" w:w="4674"/>
            <w:vAlign w:val="center"/>
            <w:shd w:fill="D9EAF7"/>
          </w:tcPr>
          <w:p>
            <w:pPr>
              <w:spacing w:after="0"/>
              <w:jc w:val="center"/>
            </w:pPr>
            <w:r/>
            <w:r>
              <w:rPr>
                <w:rFonts w:ascii="Times New Roman" w:hAnsi="Times New Roman" w:eastAsia="宋体"/>
                <w:b/>
                <w:sz w:val="16"/>
              </w:rPr>
              <w:t>数值</w:t>
            </w:r>
          </w:p>
        </w:tc>
      </w:tr>
      <w:tr>
        <w:tc>
          <w:tcPr>
            <w:tcW w:type="dxa" w:w="4674"/>
            <w:vAlign w:val="center"/>
          </w:tcPr>
          <w:p>
            <w:pPr>
              <w:spacing w:after="0"/>
              <w:jc w:val="center"/>
            </w:pPr>
            <w:r/>
            <w:r>
              <w:rPr>
                <w:rFonts w:ascii="Times New Roman" w:hAnsi="Times New Roman" w:eastAsia="宋体"/>
                <w:b w:val="0"/>
                <w:sz w:val="16"/>
              </w:rPr>
              <w:t>总样本量</w:t>
            </w:r>
          </w:p>
        </w:tc>
        <w:tc>
          <w:tcPr>
            <w:tcW w:type="dxa" w:w="4674"/>
            <w:vAlign w:val="center"/>
          </w:tcPr>
          <w:p>
            <w:pPr>
              <w:spacing w:after="0"/>
              <w:jc w:val="center"/>
            </w:pPr>
            <w:r/>
            <w:r>
              <w:rPr>
                <w:rFonts w:ascii="Times New Roman" w:hAnsi="Times New Roman" w:eastAsia="宋体"/>
                <w:b w:val="0"/>
                <w:sz w:val="16"/>
              </w:rPr>
              <w:t>51838</w:t>
            </w:r>
          </w:p>
        </w:tc>
      </w:tr>
      <w:tr>
        <w:tc>
          <w:tcPr>
            <w:tcW w:type="dxa" w:w="4674"/>
            <w:vAlign w:val="center"/>
          </w:tcPr>
          <w:p>
            <w:pPr>
              <w:spacing w:after="0"/>
              <w:jc w:val="center"/>
            </w:pPr>
            <w:r/>
            <w:r>
              <w:rPr>
                <w:rFonts w:ascii="Times New Roman" w:hAnsi="Times New Roman" w:eastAsia="宋体"/>
                <w:b w:val="0"/>
                <w:sz w:val="16"/>
              </w:rPr>
              <w:t>28 天死亡例数</w:t>
            </w:r>
          </w:p>
        </w:tc>
        <w:tc>
          <w:tcPr>
            <w:tcW w:type="dxa" w:w="4674"/>
            <w:vAlign w:val="center"/>
          </w:tcPr>
          <w:p>
            <w:pPr>
              <w:spacing w:after="0"/>
              <w:jc w:val="center"/>
            </w:pPr>
            <w:r/>
            <w:r>
              <w:rPr>
                <w:rFonts w:ascii="Times New Roman" w:hAnsi="Times New Roman" w:eastAsia="宋体"/>
                <w:b w:val="0"/>
                <w:sz w:val="16"/>
              </w:rPr>
              <w:t>6935</w:t>
            </w:r>
          </w:p>
        </w:tc>
      </w:tr>
      <w:tr>
        <w:tc>
          <w:tcPr>
            <w:tcW w:type="dxa" w:w="4674"/>
            <w:vAlign w:val="center"/>
          </w:tcPr>
          <w:p>
            <w:pPr>
              <w:spacing w:after="0"/>
              <w:jc w:val="center"/>
            </w:pPr>
            <w:r/>
            <w:r>
              <w:rPr>
                <w:rFonts w:ascii="Times New Roman" w:hAnsi="Times New Roman" w:eastAsia="宋体"/>
                <w:b w:val="0"/>
                <w:sz w:val="16"/>
              </w:rPr>
              <w:t>事件率</w:t>
            </w:r>
          </w:p>
        </w:tc>
        <w:tc>
          <w:tcPr>
            <w:tcW w:type="dxa" w:w="4674"/>
            <w:vAlign w:val="center"/>
          </w:tcPr>
          <w:p>
            <w:pPr>
              <w:spacing w:after="0"/>
              <w:jc w:val="center"/>
            </w:pPr>
            <w:r/>
            <w:r>
              <w:rPr>
                <w:rFonts w:ascii="Times New Roman" w:hAnsi="Times New Roman" w:eastAsia="宋体"/>
                <w:b w:val="0"/>
                <w:sz w:val="16"/>
              </w:rPr>
              <w:t>13.38%</w:t>
            </w:r>
          </w:p>
        </w:tc>
      </w:tr>
      <w:tr>
        <w:tc>
          <w:tcPr>
            <w:tcW w:type="dxa" w:w="4674"/>
            <w:vAlign w:val="center"/>
          </w:tcPr>
          <w:p>
            <w:pPr>
              <w:spacing w:after="0"/>
              <w:jc w:val="center"/>
            </w:pPr>
            <w:r/>
            <w:r>
              <w:rPr>
                <w:rFonts w:ascii="Times New Roman" w:hAnsi="Times New Roman" w:eastAsia="宋体"/>
                <w:b w:val="0"/>
                <w:sz w:val="16"/>
              </w:rPr>
              <w:t>数值特征数</w:t>
            </w:r>
          </w:p>
        </w:tc>
        <w:tc>
          <w:tcPr>
            <w:tcW w:type="dxa" w:w="4674"/>
            <w:vAlign w:val="center"/>
          </w:tcPr>
          <w:p>
            <w:pPr>
              <w:spacing w:after="0"/>
              <w:jc w:val="center"/>
            </w:pPr>
            <w:r/>
            <w:r>
              <w:rPr>
                <w:rFonts w:ascii="Times New Roman" w:hAnsi="Times New Roman" w:eastAsia="宋体"/>
                <w:b w:val="0"/>
                <w:sz w:val="16"/>
              </w:rPr>
              <w:t>71</w:t>
            </w:r>
          </w:p>
        </w:tc>
      </w:tr>
      <w:tr>
        <w:tc>
          <w:tcPr>
            <w:tcW w:type="dxa" w:w="4674"/>
            <w:vAlign w:val="center"/>
          </w:tcPr>
          <w:p>
            <w:pPr>
              <w:spacing w:after="0"/>
              <w:jc w:val="center"/>
            </w:pPr>
            <w:r/>
            <w:r>
              <w:rPr>
                <w:rFonts w:ascii="Times New Roman" w:hAnsi="Times New Roman" w:eastAsia="宋体"/>
                <w:b w:val="0"/>
                <w:sz w:val="16"/>
              </w:rPr>
              <w:t>分类特征数</w:t>
            </w:r>
          </w:p>
        </w:tc>
        <w:tc>
          <w:tcPr>
            <w:tcW w:type="dxa" w:w="4674"/>
            <w:vAlign w:val="center"/>
          </w:tcPr>
          <w:p>
            <w:pPr>
              <w:spacing w:after="0"/>
              <w:jc w:val="center"/>
            </w:pPr>
            <w:r/>
            <w:r>
              <w:rPr>
                <w:rFonts w:ascii="Times New Roman" w:hAnsi="Times New Roman" w:eastAsia="宋体"/>
                <w:b w:val="0"/>
                <w:sz w:val="16"/>
              </w:rPr>
              <w:t>3</w:t>
            </w:r>
          </w:p>
        </w:tc>
      </w:tr>
    </w:tbl>
    <w:p/>
    <w:p>
      <w:pPr>
        <w:pStyle w:val="Heading2"/>
        <w:spacing w:before="100" w:after="100"/>
      </w:pPr>
      <w:r>
        <w:rPr>
          <w:rFonts w:ascii="Times New Roman" w:hAnsi="Times New Roman" w:eastAsia="黑体"/>
          <w:b/>
          <w:color w:val="000000"/>
          <w:sz w:val="26"/>
        </w:rPr>
        <w:t>3.2 模型性能比较</w:t>
      </w:r>
    </w:p>
    <w:p>
      <w:pPr>
        <w:spacing w:line="324" w:lineRule="auto" w:after="100"/>
        <w:ind w:firstLine="420"/>
      </w:pPr>
      <w:r>
        <w:rPr>
          <w:rFonts w:ascii="Times New Roman" w:hAnsi="Times New Roman" w:eastAsia="宋体"/>
          <w:sz w:val="22"/>
        </w:rPr>
        <w:t>不同模型在测试集上的性能见表 2。LightGBM 取得最高测试集 AUROC，为 0.874，AUPRC 为 0.558。整体来看，梯度提升类模型表现优于单棵决策树和 Logistic 回归，说明非线性模型能够更充分利用 ICU 早期结构化变量中的预测信息。</w:t>
      </w:r>
    </w:p>
    <w:p>
      <w:pPr>
        <w:spacing w:before="40" w:after="140"/>
        <w:jc w:val="center"/>
      </w:pPr>
      <w:r>
        <w:rPr>
          <w:rFonts w:ascii="Times New Roman" w:hAnsi="Times New Roman" w:eastAsia="宋体"/>
          <w:sz w:val="18"/>
        </w:rPr>
        <w:t>表 2 不同模型在测试集上的预测性能</w:t>
      </w:r>
    </w:p>
    <w:tbl>
      <w:tblPr>
        <w:tblStyle w:val="TableGrid"/>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168"/>
            <w:vAlign w:val="center"/>
            <w:shd w:fill="D9EAF7"/>
          </w:tcPr>
          <w:p>
            <w:pPr>
              <w:spacing w:after="0"/>
              <w:jc w:val="center"/>
            </w:pPr>
            <w:r/>
            <w:r>
              <w:rPr>
                <w:rFonts w:ascii="Times New Roman" w:hAnsi="Times New Roman" w:eastAsia="宋体"/>
                <w:b/>
                <w:sz w:val="16"/>
              </w:rPr>
              <w:t>模型</w:t>
            </w:r>
          </w:p>
        </w:tc>
        <w:tc>
          <w:tcPr>
            <w:tcW w:type="dxa" w:w="1168"/>
            <w:vAlign w:val="center"/>
            <w:shd w:fill="D9EAF7"/>
          </w:tcPr>
          <w:p>
            <w:pPr>
              <w:spacing w:after="0"/>
              <w:jc w:val="center"/>
            </w:pPr>
            <w:r/>
            <w:r>
              <w:rPr>
                <w:rFonts w:ascii="Times New Roman" w:hAnsi="Times New Roman" w:eastAsia="宋体"/>
                <w:b/>
                <w:sz w:val="16"/>
              </w:rPr>
              <w:t>AUROC</w:t>
            </w:r>
          </w:p>
        </w:tc>
        <w:tc>
          <w:tcPr>
            <w:tcW w:type="dxa" w:w="1168"/>
            <w:vAlign w:val="center"/>
            <w:shd w:fill="D9EAF7"/>
          </w:tcPr>
          <w:p>
            <w:pPr>
              <w:spacing w:after="0"/>
              <w:jc w:val="center"/>
            </w:pPr>
            <w:r/>
            <w:r>
              <w:rPr>
                <w:rFonts w:ascii="Times New Roman" w:hAnsi="Times New Roman" w:eastAsia="宋体"/>
                <w:b/>
                <w:sz w:val="16"/>
              </w:rPr>
              <w:t>AUPRC</w:t>
            </w:r>
          </w:p>
        </w:tc>
        <w:tc>
          <w:tcPr>
            <w:tcW w:type="dxa" w:w="1168"/>
            <w:vAlign w:val="center"/>
            <w:shd w:fill="D9EAF7"/>
          </w:tcPr>
          <w:p>
            <w:pPr>
              <w:spacing w:after="0"/>
              <w:jc w:val="center"/>
            </w:pPr>
            <w:r/>
            <w:r>
              <w:rPr>
                <w:rFonts w:ascii="Times New Roman" w:hAnsi="Times New Roman" w:eastAsia="宋体"/>
                <w:b/>
                <w:sz w:val="16"/>
              </w:rPr>
              <w:t>准确率</w:t>
            </w:r>
          </w:p>
        </w:tc>
        <w:tc>
          <w:tcPr>
            <w:tcW w:type="dxa" w:w="1168"/>
            <w:vAlign w:val="center"/>
            <w:shd w:fill="D9EAF7"/>
          </w:tcPr>
          <w:p>
            <w:pPr>
              <w:spacing w:after="0"/>
              <w:jc w:val="center"/>
            </w:pPr>
            <w:r/>
            <w:r>
              <w:rPr>
                <w:rFonts w:ascii="Times New Roman" w:hAnsi="Times New Roman" w:eastAsia="宋体"/>
                <w:b/>
                <w:sz w:val="16"/>
              </w:rPr>
              <w:t>精确率</w:t>
            </w:r>
          </w:p>
        </w:tc>
        <w:tc>
          <w:tcPr>
            <w:tcW w:type="dxa" w:w="1168"/>
            <w:vAlign w:val="center"/>
            <w:shd w:fill="D9EAF7"/>
          </w:tcPr>
          <w:p>
            <w:pPr>
              <w:spacing w:after="0"/>
              <w:jc w:val="center"/>
            </w:pPr>
            <w:r/>
            <w:r>
              <w:rPr>
                <w:rFonts w:ascii="Times New Roman" w:hAnsi="Times New Roman" w:eastAsia="宋体"/>
                <w:b/>
                <w:sz w:val="16"/>
              </w:rPr>
              <w:t>召回率</w:t>
            </w:r>
          </w:p>
        </w:tc>
        <w:tc>
          <w:tcPr>
            <w:tcW w:type="dxa" w:w="1168"/>
            <w:vAlign w:val="center"/>
            <w:shd w:fill="D9EAF7"/>
          </w:tcPr>
          <w:p>
            <w:pPr>
              <w:spacing w:after="0"/>
              <w:jc w:val="center"/>
            </w:pPr>
            <w:r/>
            <w:r>
              <w:rPr>
                <w:rFonts w:ascii="Times New Roman" w:hAnsi="Times New Roman" w:eastAsia="宋体"/>
                <w:b/>
                <w:sz w:val="16"/>
              </w:rPr>
              <w:t>F1</w:t>
            </w:r>
          </w:p>
        </w:tc>
        <w:tc>
          <w:tcPr>
            <w:tcW w:type="dxa" w:w="1168"/>
            <w:vAlign w:val="center"/>
            <w:shd w:fill="D9EAF7"/>
          </w:tcPr>
          <w:p>
            <w:pPr>
              <w:spacing w:after="0"/>
              <w:jc w:val="center"/>
            </w:pPr>
            <w:r/>
            <w:r>
              <w:rPr>
                <w:rFonts w:ascii="Times New Roman" w:hAnsi="Times New Roman" w:eastAsia="宋体"/>
                <w:b/>
                <w:sz w:val="16"/>
              </w:rPr>
              <w:t>Brier</w:t>
            </w:r>
          </w:p>
        </w:tc>
      </w:tr>
      <w:tr>
        <w:tc>
          <w:tcPr>
            <w:tcW w:type="dxa" w:w="1168"/>
            <w:vAlign w:val="center"/>
          </w:tcPr>
          <w:p>
            <w:pPr>
              <w:spacing w:after="0"/>
              <w:jc w:val="center"/>
            </w:pPr>
            <w:r/>
            <w:r>
              <w:rPr>
                <w:rFonts w:ascii="Times New Roman" w:hAnsi="Times New Roman" w:eastAsia="宋体"/>
                <w:b w:val="0"/>
                <w:sz w:val="16"/>
              </w:rPr>
              <w:t>LightGBM</w:t>
            </w:r>
          </w:p>
        </w:tc>
        <w:tc>
          <w:tcPr>
            <w:tcW w:type="dxa" w:w="1168"/>
            <w:vAlign w:val="center"/>
          </w:tcPr>
          <w:p>
            <w:pPr>
              <w:spacing w:after="0"/>
              <w:jc w:val="center"/>
            </w:pPr>
            <w:r/>
            <w:r>
              <w:rPr>
                <w:rFonts w:ascii="Times New Roman" w:hAnsi="Times New Roman" w:eastAsia="宋体"/>
                <w:b w:val="0"/>
                <w:sz w:val="16"/>
              </w:rPr>
              <w:t>0.874</w:t>
            </w:r>
          </w:p>
        </w:tc>
        <w:tc>
          <w:tcPr>
            <w:tcW w:type="dxa" w:w="1168"/>
            <w:vAlign w:val="center"/>
          </w:tcPr>
          <w:p>
            <w:pPr>
              <w:spacing w:after="0"/>
              <w:jc w:val="center"/>
            </w:pPr>
            <w:r/>
            <w:r>
              <w:rPr>
                <w:rFonts w:ascii="Times New Roman" w:hAnsi="Times New Roman" w:eastAsia="宋体"/>
                <w:b w:val="0"/>
                <w:sz w:val="16"/>
              </w:rPr>
              <w:t>0.558</w:t>
            </w:r>
          </w:p>
        </w:tc>
        <w:tc>
          <w:tcPr>
            <w:tcW w:type="dxa" w:w="1168"/>
            <w:vAlign w:val="center"/>
          </w:tcPr>
          <w:p>
            <w:pPr>
              <w:spacing w:after="0"/>
              <w:jc w:val="center"/>
            </w:pPr>
            <w:r/>
            <w:r>
              <w:rPr>
                <w:rFonts w:ascii="Times New Roman" w:hAnsi="Times New Roman" w:eastAsia="宋体"/>
                <w:b w:val="0"/>
                <w:sz w:val="16"/>
              </w:rPr>
              <w:t>0.870</w:t>
            </w:r>
          </w:p>
        </w:tc>
        <w:tc>
          <w:tcPr>
            <w:tcW w:type="dxa" w:w="1168"/>
            <w:vAlign w:val="center"/>
          </w:tcPr>
          <w:p>
            <w:pPr>
              <w:spacing w:after="0"/>
              <w:jc w:val="center"/>
            </w:pPr>
            <w:r/>
            <w:r>
              <w:rPr>
                <w:rFonts w:ascii="Times New Roman" w:hAnsi="Times New Roman" w:eastAsia="宋体"/>
                <w:b w:val="0"/>
                <w:sz w:val="16"/>
              </w:rPr>
              <w:t>0.511</w:t>
            </w:r>
          </w:p>
        </w:tc>
        <w:tc>
          <w:tcPr>
            <w:tcW w:type="dxa" w:w="1168"/>
            <w:vAlign w:val="center"/>
          </w:tcPr>
          <w:p>
            <w:pPr>
              <w:spacing w:after="0"/>
              <w:jc w:val="center"/>
            </w:pPr>
            <w:r/>
            <w:r>
              <w:rPr>
                <w:rFonts w:ascii="Times New Roman" w:hAnsi="Times New Roman" w:eastAsia="宋体"/>
                <w:b w:val="0"/>
                <w:sz w:val="16"/>
              </w:rPr>
              <w:t>0.565</w:t>
            </w:r>
          </w:p>
        </w:tc>
        <w:tc>
          <w:tcPr>
            <w:tcW w:type="dxa" w:w="1168"/>
            <w:vAlign w:val="center"/>
          </w:tcPr>
          <w:p>
            <w:pPr>
              <w:spacing w:after="0"/>
              <w:jc w:val="center"/>
            </w:pPr>
            <w:r/>
            <w:r>
              <w:rPr>
                <w:rFonts w:ascii="Times New Roman" w:hAnsi="Times New Roman" w:eastAsia="宋体"/>
                <w:b w:val="0"/>
                <w:sz w:val="16"/>
              </w:rPr>
              <w:t>0.537</w:t>
            </w:r>
          </w:p>
        </w:tc>
        <w:tc>
          <w:tcPr>
            <w:tcW w:type="dxa" w:w="1168"/>
            <w:vAlign w:val="center"/>
          </w:tcPr>
          <w:p>
            <w:pPr>
              <w:spacing w:after="0"/>
              <w:jc w:val="center"/>
            </w:pPr>
            <w:r/>
            <w:r>
              <w:rPr>
                <w:rFonts w:ascii="Times New Roman" w:hAnsi="Times New Roman" w:eastAsia="宋体"/>
                <w:b w:val="0"/>
                <w:sz w:val="16"/>
              </w:rPr>
              <w:t>0.137</w:t>
            </w:r>
          </w:p>
        </w:tc>
      </w:tr>
      <w:tr>
        <w:tc>
          <w:tcPr>
            <w:tcW w:type="dxa" w:w="1168"/>
            <w:vAlign w:val="center"/>
          </w:tcPr>
          <w:p>
            <w:pPr>
              <w:spacing w:after="0"/>
              <w:jc w:val="center"/>
            </w:pPr>
            <w:r/>
            <w:r>
              <w:rPr>
                <w:rFonts w:ascii="Times New Roman" w:hAnsi="Times New Roman" w:eastAsia="宋体"/>
                <w:b w:val="0"/>
                <w:sz w:val="16"/>
              </w:rPr>
              <w:t>HistGradientBoosting</w:t>
            </w:r>
          </w:p>
        </w:tc>
        <w:tc>
          <w:tcPr>
            <w:tcW w:type="dxa" w:w="1168"/>
            <w:vAlign w:val="center"/>
          </w:tcPr>
          <w:p>
            <w:pPr>
              <w:spacing w:after="0"/>
              <w:jc w:val="center"/>
            </w:pPr>
            <w:r/>
            <w:r>
              <w:rPr>
                <w:rFonts w:ascii="Times New Roman" w:hAnsi="Times New Roman" w:eastAsia="宋体"/>
                <w:b w:val="0"/>
                <w:sz w:val="16"/>
              </w:rPr>
              <w:t>0.873</w:t>
            </w:r>
          </w:p>
        </w:tc>
        <w:tc>
          <w:tcPr>
            <w:tcW w:type="dxa" w:w="1168"/>
            <w:vAlign w:val="center"/>
          </w:tcPr>
          <w:p>
            <w:pPr>
              <w:spacing w:after="0"/>
              <w:jc w:val="center"/>
            </w:pPr>
            <w:r/>
            <w:r>
              <w:rPr>
                <w:rFonts w:ascii="Times New Roman" w:hAnsi="Times New Roman" w:eastAsia="宋体"/>
                <w:b w:val="0"/>
                <w:sz w:val="16"/>
              </w:rPr>
              <w:t>0.555</w:t>
            </w:r>
          </w:p>
        </w:tc>
        <w:tc>
          <w:tcPr>
            <w:tcW w:type="dxa" w:w="1168"/>
            <w:vAlign w:val="center"/>
          </w:tcPr>
          <w:p>
            <w:pPr>
              <w:spacing w:after="0"/>
              <w:jc w:val="center"/>
            </w:pPr>
            <w:r/>
            <w:r>
              <w:rPr>
                <w:rFonts w:ascii="Times New Roman" w:hAnsi="Times New Roman" w:eastAsia="宋体"/>
                <w:b w:val="0"/>
                <w:sz w:val="16"/>
              </w:rPr>
              <w:t>0.878</w:t>
            </w:r>
          </w:p>
        </w:tc>
        <w:tc>
          <w:tcPr>
            <w:tcW w:type="dxa" w:w="1168"/>
            <w:vAlign w:val="center"/>
          </w:tcPr>
          <w:p>
            <w:pPr>
              <w:spacing w:after="0"/>
              <w:jc w:val="center"/>
            </w:pPr>
            <w:r/>
            <w:r>
              <w:rPr>
                <w:rFonts w:ascii="Times New Roman" w:hAnsi="Times New Roman" w:eastAsia="宋体"/>
                <w:b w:val="0"/>
                <w:sz w:val="16"/>
              </w:rPr>
              <w:t>0.544</w:t>
            </w:r>
          </w:p>
        </w:tc>
        <w:tc>
          <w:tcPr>
            <w:tcW w:type="dxa" w:w="1168"/>
            <w:vAlign w:val="center"/>
          </w:tcPr>
          <w:p>
            <w:pPr>
              <w:spacing w:after="0"/>
              <w:jc w:val="center"/>
            </w:pPr>
            <w:r/>
            <w:r>
              <w:rPr>
                <w:rFonts w:ascii="Times New Roman" w:hAnsi="Times New Roman" w:eastAsia="宋体"/>
                <w:b w:val="0"/>
                <w:sz w:val="16"/>
              </w:rPr>
              <w:t>0.526</w:t>
            </w:r>
          </w:p>
        </w:tc>
        <w:tc>
          <w:tcPr>
            <w:tcW w:type="dxa" w:w="1168"/>
            <w:vAlign w:val="center"/>
          </w:tcPr>
          <w:p>
            <w:pPr>
              <w:spacing w:after="0"/>
              <w:jc w:val="center"/>
            </w:pPr>
            <w:r/>
            <w:r>
              <w:rPr>
                <w:rFonts w:ascii="Times New Roman" w:hAnsi="Times New Roman" w:eastAsia="宋体"/>
                <w:b w:val="0"/>
                <w:sz w:val="16"/>
              </w:rPr>
              <w:t>0.534</w:t>
            </w:r>
          </w:p>
        </w:tc>
        <w:tc>
          <w:tcPr>
            <w:tcW w:type="dxa" w:w="1168"/>
            <w:vAlign w:val="center"/>
          </w:tcPr>
          <w:p>
            <w:pPr>
              <w:spacing w:after="0"/>
              <w:jc w:val="center"/>
            </w:pPr>
            <w:r/>
            <w:r>
              <w:rPr>
                <w:rFonts w:ascii="Times New Roman" w:hAnsi="Times New Roman" w:eastAsia="宋体"/>
                <w:b w:val="0"/>
                <w:sz w:val="16"/>
              </w:rPr>
              <w:t>0.083</w:t>
            </w:r>
          </w:p>
        </w:tc>
      </w:tr>
      <w:tr>
        <w:tc>
          <w:tcPr>
            <w:tcW w:type="dxa" w:w="1168"/>
            <w:vAlign w:val="center"/>
          </w:tcPr>
          <w:p>
            <w:pPr>
              <w:spacing w:after="0"/>
              <w:jc w:val="center"/>
            </w:pPr>
            <w:r/>
            <w:r>
              <w:rPr>
                <w:rFonts w:ascii="Times New Roman" w:hAnsi="Times New Roman" w:eastAsia="宋体"/>
                <w:b w:val="0"/>
                <w:sz w:val="16"/>
              </w:rPr>
              <w:t>XGBoost</w:t>
            </w:r>
          </w:p>
        </w:tc>
        <w:tc>
          <w:tcPr>
            <w:tcW w:type="dxa" w:w="1168"/>
            <w:vAlign w:val="center"/>
          </w:tcPr>
          <w:p>
            <w:pPr>
              <w:spacing w:after="0"/>
              <w:jc w:val="center"/>
            </w:pPr>
            <w:r/>
            <w:r>
              <w:rPr>
                <w:rFonts w:ascii="Times New Roman" w:hAnsi="Times New Roman" w:eastAsia="宋体"/>
                <w:b w:val="0"/>
                <w:sz w:val="16"/>
              </w:rPr>
              <w:t>0.870</w:t>
            </w:r>
          </w:p>
        </w:tc>
        <w:tc>
          <w:tcPr>
            <w:tcW w:type="dxa" w:w="1168"/>
            <w:vAlign w:val="center"/>
          </w:tcPr>
          <w:p>
            <w:pPr>
              <w:spacing w:after="0"/>
              <w:jc w:val="center"/>
            </w:pPr>
            <w:r/>
            <w:r>
              <w:rPr>
                <w:rFonts w:ascii="Times New Roman" w:hAnsi="Times New Roman" w:eastAsia="宋体"/>
                <w:b w:val="0"/>
                <w:sz w:val="16"/>
              </w:rPr>
              <w:t>0.545</w:t>
            </w:r>
          </w:p>
        </w:tc>
        <w:tc>
          <w:tcPr>
            <w:tcW w:type="dxa" w:w="1168"/>
            <w:vAlign w:val="center"/>
          </w:tcPr>
          <w:p>
            <w:pPr>
              <w:spacing w:after="0"/>
              <w:jc w:val="center"/>
            </w:pPr>
            <w:r/>
            <w:r>
              <w:rPr>
                <w:rFonts w:ascii="Times New Roman" w:hAnsi="Times New Roman" w:eastAsia="宋体"/>
                <w:b w:val="0"/>
                <w:sz w:val="16"/>
              </w:rPr>
              <w:t>0.855</w:t>
            </w:r>
          </w:p>
        </w:tc>
        <w:tc>
          <w:tcPr>
            <w:tcW w:type="dxa" w:w="1168"/>
            <w:vAlign w:val="center"/>
          </w:tcPr>
          <w:p>
            <w:pPr>
              <w:spacing w:after="0"/>
              <w:jc w:val="center"/>
            </w:pPr>
            <w:r/>
            <w:r>
              <w:rPr>
                <w:rFonts w:ascii="Times New Roman" w:hAnsi="Times New Roman" w:eastAsia="宋体"/>
                <w:b w:val="0"/>
                <w:sz w:val="16"/>
              </w:rPr>
              <w:t>0.467</w:t>
            </w:r>
          </w:p>
        </w:tc>
        <w:tc>
          <w:tcPr>
            <w:tcW w:type="dxa" w:w="1168"/>
            <w:vAlign w:val="center"/>
          </w:tcPr>
          <w:p>
            <w:pPr>
              <w:spacing w:after="0"/>
              <w:jc w:val="center"/>
            </w:pPr>
            <w:r/>
            <w:r>
              <w:rPr>
                <w:rFonts w:ascii="Times New Roman" w:hAnsi="Times New Roman" w:eastAsia="宋体"/>
                <w:b w:val="0"/>
                <w:sz w:val="16"/>
              </w:rPr>
              <w:t>0.616</w:t>
            </w:r>
          </w:p>
        </w:tc>
        <w:tc>
          <w:tcPr>
            <w:tcW w:type="dxa" w:w="1168"/>
            <w:vAlign w:val="center"/>
          </w:tcPr>
          <w:p>
            <w:pPr>
              <w:spacing w:after="0"/>
              <w:jc w:val="center"/>
            </w:pPr>
            <w:r/>
            <w:r>
              <w:rPr>
                <w:rFonts w:ascii="Times New Roman" w:hAnsi="Times New Roman" w:eastAsia="宋体"/>
                <w:b w:val="0"/>
                <w:sz w:val="16"/>
              </w:rPr>
              <w:t>0.532</w:t>
            </w:r>
          </w:p>
        </w:tc>
        <w:tc>
          <w:tcPr>
            <w:tcW w:type="dxa" w:w="1168"/>
            <w:vAlign w:val="center"/>
          </w:tcPr>
          <w:p>
            <w:pPr>
              <w:spacing w:after="0"/>
              <w:jc w:val="center"/>
            </w:pPr>
            <w:r/>
            <w:r>
              <w:rPr>
                <w:rFonts w:ascii="Times New Roman" w:hAnsi="Times New Roman" w:eastAsia="宋体"/>
                <w:b w:val="0"/>
                <w:sz w:val="16"/>
              </w:rPr>
              <w:t>0.084</w:t>
            </w:r>
          </w:p>
        </w:tc>
      </w:tr>
      <w:tr>
        <w:tc>
          <w:tcPr>
            <w:tcW w:type="dxa" w:w="1168"/>
            <w:vAlign w:val="center"/>
          </w:tcPr>
          <w:p>
            <w:pPr>
              <w:spacing w:after="0"/>
              <w:jc w:val="center"/>
            </w:pPr>
            <w:r/>
            <w:r>
              <w:rPr>
                <w:rFonts w:ascii="Times New Roman" w:hAnsi="Times New Roman" w:eastAsia="宋体"/>
                <w:b w:val="0"/>
                <w:sz w:val="16"/>
              </w:rPr>
              <w:t>CatBoost</w:t>
            </w:r>
          </w:p>
        </w:tc>
        <w:tc>
          <w:tcPr>
            <w:tcW w:type="dxa" w:w="1168"/>
            <w:vAlign w:val="center"/>
          </w:tcPr>
          <w:p>
            <w:pPr>
              <w:spacing w:after="0"/>
              <w:jc w:val="center"/>
            </w:pPr>
            <w:r/>
            <w:r>
              <w:rPr>
                <w:rFonts w:ascii="Times New Roman" w:hAnsi="Times New Roman" w:eastAsia="宋体"/>
                <w:b w:val="0"/>
                <w:sz w:val="16"/>
              </w:rPr>
              <w:t>0.869</w:t>
            </w:r>
          </w:p>
        </w:tc>
        <w:tc>
          <w:tcPr>
            <w:tcW w:type="dxa" w:w="1168"/>
            <w:vAlign w:val="center"/>
          </w:tcPr>
          <w:p>
            <w:pPr>
              <w:spacing w:after="0"/>
              <w:jc w:val="center"/>
            </w:pPr>
            <w:r/>
            <w:r>
              <w:rPr>
                <w:rFonts w:ascii="Times New Roman" w:hAnsi="Times New Roman" w:eastAsia="宋体"/>
                <w:b w:val="0"/>
                <w:sz w:val="16"/>
              </w:rPr>
              <w:t>0.531</w:t>
            </w:r>
          </w:p>
        </w:tc>
        <w:tc>
          <w:tcPr>
            <w:tcW w:type="dxa" w:w="1168"/>
            <w:vAlign w:val="center"/>
          </w:tcPr>
          <w:p>
            <w:pPr>
              <w:spacing w:after="0"/>
              <w:jc w:val="center"/>
            </w:pPr>
            <w:r/>
            <w:r>
              <w:rPr>
                <w:rFonts w:ascii="Times New Roman" w:hAnsi="Times New Roman" w:eastAsia="宋体"/>
                <w:b w:val="0"/>
                <w:sz w:val="16"/>
              </w:rPr>
              <w:t>0.857</w:t>
            </w:r>
          </w:p>
        </w:tc>
        <w:tc>
          <w:tcPr>
            <w:tcW w:type="dxa" w:w="1168"/>
            <w:vAlign w:val="center"/>
          </w:tcPr>
          <w:p>
            <w:pPr>
              <w:spacing w:after="0"/>
              <w:jc w:val="center"/>
            </w:pPr>
            <w:r/>
            <w:r>
              <w:rPr>
                <w:rFonts w:ascii="Times New Roman" w:hAnsi="Times New Roman" w:eastAsia="宋体"/>
                <w:b w:val="0"/>
                <w:sz w:val="16"/>
              </w:rPr>
              <w:t>0.474</w:t>
            </w:r>
          </w:p>
        </w:tc>
        <w:tc>
          <w:tcPr>
            <w:tcW w:type="dxa" w:w="1168"/>
            <w:vAlign w:val="center"/>
          </w:tcPr>
          <w:p>
            <w:pPr>
              <w:spacing w:after="0"/>
              <w:jc w:val="center"/>
            </w:pPr>
            <w:r/>
            <w:r>
              <w:rPr>
                <w:rFonts w:ascii="Times New Roman" w:hAnsi="Times New Roman" w:eastAsia="宋体"/>
                <w:b w:val="0"/>
                <w:sz w:val="16"/>
              </w:rPr>
              <w:t>0.615</w:t>
            </w:r>
          </w:p>
        </w:tc>
        <w:tc>
          <w:tcPr>
            <w:tcW w:type="dxa" w:w="1168"/>
            <w:vAlign w:val="center"/>
          </w:tcPr>
          <w:p>
            <w:pPr>
              <w:spacing w:after="0"/>
              <w:jc w:val="center"/>
            </w:pPr>
            <w:r/>
            <w:r>
              <w:rPr>
                <w:rFonts w:ascii="Times New Roman" w:hAnsi="Times New Roman" w:eastAsia="宋体"/>
                <w:b w:val="0"/>
                <w:sz w:val="16"/>
              </w:rPr>
              <w:t>0.535</w:t>
            </w:r>
          </w:p>
        </w:tc>
        <w:tc>
          <w:tcPr>
            <w:tcW w:type="dxa" w:w="1168"/>
            <w:vAlign w:val="center"/>
          </w:tcPr>
          <w:p>
            <w:pPr>
              <w:spacing w:after="0"/>
              <w:jc w:val="center"/>
            </w:pPr>
            <w:r/>
            <w:r>
              <w:rPr>
                <w:rFonts w:ascii="Times New Roman" w:hAnsi="Times New Roman" w:eastAsia="宋体"/>
                <w:b w:val="0"/>
                <w:sz w:val="16"/>
              </w:rPr>
              <w:t>0.150</w:t>
            </w:r>
          </w:p>
        </w:tc>
      </w:tr>
      <w:tr>
        <w:tc>
          <w:tcPr>
            <w:tcW w:type="dxa" w:w="1168"/>
            <w:vAlign w:val="center"/>
          </w:tcPr>
          <w:p>
            <w:pPr>
              <w:spacing w:after="0"/>
              <w:jc w:val="center"/>
            </w:pPr>
            <w:r/>
            <w:r>
              <w:rPr>
                <w:rFonts w:ascii="Times New Roman" w:hAnsi="Times New Roman" w:eastAsia="宋体"/>
                <w:b w:val="0"/>
                <w:sz w:val="16"/>
              </w:rPr>
              <w:t>ExtraTrees</w:t>
            </w:r>
          </w:p>
        </w:tc>
        <w:tc>
          <w:tcPr>
            <w:tcW w:type="dxa" w:w="1168"/>
            <w:vAlign w:val="center"/>
          </w:tcPr>
          <w:p>
            <w:pPr>
              <w:spacing w:after="0"/>
              <w:jc w:val="center"/>
            </w:pPr>
            <w:r/>
            <w:r>
              <w:rPr>
                <w:rFonts w:ascii="Times New Roman" w:hAnsi="Times New Roman" w:eastAsia="宋体"/>
                <w:b w:val="0"/>
                <w:sz w:val="16"/>
              </w:rPr>
              <w:t>0.863</w:t>
            </w:r>
          </w:p>
        </w:tc>
        <w:tc>
          <w:tcPr>
            <w:tcW w:type="dxa" w:w="1168"/>
            <w:vAlign w:val="center"/>
          </w:tcPr>
          <w:p>
            <w:pPr>
              <w:spacing w:after="0"/>
              <w:jc w:val="center"/>
            </w:pPr>
            <w:r/>
            <w:r>
              <w:rPr>
                <w:rFonts w:ascii="Times New Roman" w:hAnsi="Times New Roman" w:eastAsia="宋体"/>
                <w:b w:val="0"/>
                <w:sz w:val="16"/>
              </w:rPr>
              <w:t>0.528</w:t>
            </w:r>
          </w:p>
        </w:tc>
        <w:tc>
          <w:tcPr>
            <w:tcW w:type="dxa" w:w="1168"/>
            <w:vAlign w:val="center"/>
          </w:tcPr>
          <w:p>
            <w:pPr>
              <w:spacing w:after="0"/>
              <w:jc w:val="center"/>
            </w:pPr>
            <w:r/>
            <w:r>
              <w:rPr>
                <w:rFonts w:ascii="Times New Roman" w:hAnsi="Times New Roman" w:eastAsia="宋体"/>
                <w:b w:val="0"/>
                <w:sz w:val="16"/>
              </w:rPr>
              <w:t>0.866</w:t>
            </w:r>
          </w:p>
        </w:tc>
        <w:tc>
          <w:tcPr>
            <w:tcW w:type="dxa" w:w="1168"/>
            <w:vAlign w:val="center"/>
          </w:tcPr>
          <w:p>
            <w:pPr>
              <w:spacing w:after="0"/>
              <w:jc w:val="center"/>
            </w:pPr>
            <w:r/>
            <w:r>
              <w:rPr>
                <w:rFonts w:ascii="Times New Roman" w:hAnsi="Times New Roman" w:eastAsia="宋体"/>
                <w:b w:val="0"/>
                <w:sz w:val="16"/>
              </w:rPr>
              <w:t>0.000</w:t>
            </w:r>
          </w:p>
        </w:tc>
        <w:tc>
          <w:tcPr>
            <w:tcW w:type="dxa" w:w="1168"/>
            <w:vAlign w:val="center"/>
          </w:tcPr>
          <w:p>
            <w:pPr>
              <w:spacing w:after="0"/>
              <w:jc w:val="center"/>
            </w:pPr>
            <w:r/>
            <w:r>
              <w:rPr>
                <w:rFonts w:ascii="Times New Roman" w:hAnsi="Times New Roman" w:eastAsia="宋体"/>
                <w:b w:val="0"/>
                <w:sz w:val="16"/>
              </w:rPr>
              <w:t>0.000</w:t>
            </w:r>
          </w:p>
        </w:tc>
        <w:tc>
          <w:tcPr>
            <w:tcW w:type="dxa" w:w="1168"/>
            <w:vAlign w:val="center"/>
          </w:tcPr>
          <w:p>
            <w:pPr>
              <w:spacing w:after="0"/>
              <w:jc w:val="center"/>
            </w:pPr>
            <w:r/>
            <w:r>
              <w:rPr>
                <w:rFonts w:ascii="Times New Roman" w:hAnsi="Times New Roman" w:eastAsia="宋体"/>
                <w:b w:val="0"/>
                <w:sz w:val="16"/>
              </w:rPr>
              <w:t>0.000</w:t>
            </w:r>
          </w:p>
        </w:tc>
        <w:tc>
          <w:tcPr>
            <w:tcW w:type="dxa" w:w="1168"/>
            <w:vAlign w:val="center"/>
          </w:tcPr>
          <w:p>
            <w:pPr>
              <w:spacing w:after="0"/>
              <w:jc w:val="center"/>
            </w:pPr>
            <w:r/>
            <w:r>
              <w:rPr>
                <w:rFonts w:ascii="Times New Roman" w:hAnsi="Times New Roman" w:eastAsia="宋体"/>
                <w:b w:val="0"/>
                <w:sz w:val="16"/>
              </w:rPr>
              <w:t>0.089</w:t>
            </w:r>
          </w:p>
        </w:tc>
      </w:tr>
      <w:tr>
        <w:tc>
          <w:tcPr>
            <w:tcW w:type="dxa" w:w="1168"/>
            <w:vAlign w:val="center"/>
          </w:tcPr>
          <w:p>
            <w:pPr>
              <w:spacing w:after="0"/>
              <w:jc w:val="center"/>
            </w:pPr>
            <w:r/>
            <w:r>
              <w:rPr>
                <w:rFonts w:ascii="Times New Roman" w:hAnsi="Times New Roman" w:eastAsia="宋体"/>
                <w:b w:val="0"/>
                <w:sz w:val="16"/>
              </w:rPr>
              <w:t>RandomForest</w:t>
            </w:r>
          </w:p>
        </w:tc>
        <w:tc>
          <w:tcPr>
            <w:tcW w:type="dxa" w:w="1168"/>
            <w:vAlign w:val="center"/>
          </w:tcPr>
          <w:p>
            <w:pPr>
              <w:spacing w:after="0"/>
              <w:jc w:val="center"/>
            </w:pPr>
            <w:r/>
            <w:r>
              <w:rPr>
                <w:rFonts w:ascii="Times New Roman" w:hAnsi="Times New Roman" w:eastAsia="宋体"/>
                <w:b w:val="0"/>
                <w:sz w:val="16"/>
              </w:rPr>
              <w:t>0.859</w:t>
            </w:r>
          </w:p>
        </w:tc>
        <w:tc>
          <w:tcPr>
            <w:tcW w:type="dxa" w:w="1168"/>
            <w:vAlign w:val="center"/>
          </w:tcPr>
          <w:p>
            <w:pPr>
              <w:spacing w:after="0"/>
              <w:jc w:val="center"/>
            </w:pPr>
            <w:r/>
            <w:r>
              <w:rPr>
                <w:rFonts w:ascii="Times New Roman" w:hAnsi="Times New Roman" w:eastAsia="宋体"/>
                <w:b w:val="0"/>
                <w:sz w:val="16"/>
              </w:rPr>
              <w:t>0.510</w:t>
            </w:r>
          </w:p>
        </w:tc>
        <w:tc>
          <w:tcPr>
            <w:tcW w:type="dxa" w:w="1168"/>
            <w:vAlign w:val="center"/>
          </w:tcPr>
          <w:p>
            <w:pPr>
              <w:spacing w:after="0"/>
              <w:jc w:val="center"/>
            </w:pPr>
            <w:r/>
            <w:r>
              <w:rPr>
                <w:rFonts w:ascii="Times New Roman" w:hAnsi="Times New Roman" w:eastAsia="宋体"/>
                <w:b w:val="0"/>
                <w:sz w:val="16"/>
              </w:rPr>
              <w:t>0.880</w:t>
            </w:r>
          </w:p>
        </w:tc>
        <w:tc>
          <w:tcPr>
            <w:tcW w:type="dxa" w:w="1168"/>
            <w:vAlign w:val="center"/>
          </w:tcPr>
          <w:p>
            <w:pPr>
              <w:spacing w:after="0"/>
              <w:jc w:val="center"/>
            </w:pPr>
            <w:r/>
            <w:r>
              <w:rPr>
                <w:rFonts w:ascii="Times New Roman" w:hAnsi="Times New Roman" w:eastAsia="宋体"/>
                <w:b w:val="0"/>
                <w:sz w:val="16"/>
              </w:rPr>
              <w:t>0.604</w:t>
            </w:r>
          </w:p>
        </w:tc>
        <w:tc>
          <w:tcPr>
            <w:tcW w:type="dxa" w:w="1168"/>
            <w:vAlign w:val="center"/>
          </w:tcPr>
          <w:p>
            <w:pPr>
              <w:spacing w:after="0"/>
              <w:jc w:val="center"/>
            </w:pPr>
            <w:r/>
            <w:r>
              <w:rPr>
                <w:rFonts w:ascii="Times New Roman" w:hAnsi="Times New Roman" w:eastAsia="宋体"/>
                <w:b w:val="0"/>
                <w:sz w:val="16"/>
              </w:rPr>
              <w:t>0.298</w:t>
            </w:r>
          </w:p>
        </w:tc>
        <w:tc>
          <w:tcPr>
            <w:tcW w:type="dxa" w:w="1168"/>
            <w:vAlign w:val="center"/>
          </w:tcPr>
          <w:p>
            <w:pPr>
              <w:spacing w:after="0"/>
              <w:jc w:val="center"/>
            </w:pPr>
            <w:r/>
            <w:r>
              <w:rPr>
                <w:rFonts w:ascii="Times New Roman" w:hAnsi="Times New Roman" w:eastAsia="宋体"/>
                <w:b w:val="0"/>
                <w:sz w:val="16"/>
              </w:rPr>
              <w:t>0.400</w:t>
            </w:r>
          </w:p>
        </w:tc>
        <w:tc>
          <w:tcPr>
            <w:tcW w:type="dxa" w:w="1168"/>
            <w:vAlign w:val="center"/>
          </w:tcPr>
          <w:p>
            <w:pPr>
              <w:spacing w:after="0"/>
              <w:jc w:val="center"/>
            </w:pPr>
            <w:r/>
            <w:r>
              <w:rPr>
                <w:rFonts w:ascii="Times New Roman" w:hAnsi="Times New Roman" w:eastAsia="宋体"/>
                <w:b w:val="0"/>
                <w:sz w:val="16"/>
              </w:rPr>
              <w:t>0.095</w:t>
            </w:r>
          </w:p>
        </w:tc>
      </w:tr>
      <w:tr>
        <w:tc>
          <w:tcPr>
            <w:tcW w:type="dxa" w:w="1168"/>
            <w:vAlign w:val="center"/>
          </w:tcPr>
          <w:p>
            <w:pPr>
              <w:spacing w:after="0"/>
              <w:jc w:val="center"/>
            </w:pPr>
            <w:r/>
            <w:r>
              <w:rPr>
                <w:rFonts w:ascii="Times New Roman" w:hAnsi="Times New Roman" w:eastAsia="宋体"/>
                <w:b w:val="0"/>
                <w:sz w:val="16"/>
              </w:rPr>
              <w:t>LogisticRegression</w:t>
            </w:r>
          </w:p>
        </w:tc>
        <w:tc>
          <w:tcPr>
            <w:tcW w:type="dxa" w:w="1168"/>
            <w:vAlign w:val="center"/>
          </w:tcPr>
          <w:p>
            <w:pPr>
              <w:spacing w:after="0"/>
              <w:jc w:val="center"/>
            </w:pPr>
            <w:r/>
            <w:r>
              <w:rPr>
                <w:rFonts w:ascii="Times New Roman" w:hAnsi="Times New Roman" w:eastAsia="宋体"/>
                <w:b w:val="0"/>
                <w:sz w:val="16"/>
              </w:rPr>
              <w:t>0.838</w:t>
            </w:r>
          </w:p>
        </w:tc>
        <w:tc>
          <w:tcPr>
            <w:tcW w:type="dxa" w:w="1168"/>
            <w:vAlign w:val="center"/>
          </w:tcPr>
          <w:p>
            <w:pPr>
              <w:spacing w:after="0"/>
              <w:jc w:val="center"/>
            </w:pPr>
            <w:r/>
            <w:r>
              <w:rPr>
                <w:rFonts w:ascii="Times New Roman" w:hAnsi="Times New Roman" w:eastAsia="宋体"/>
                <w:b w:val="0"/>
                <w:sz w:val="16"/>
              </w:rPr>
              <w:t>0.455</w:t>
            </w:r>
          </w:p>
        </w:tc>
        <w:tc>
          <w:tcPr>
            <w:tcW w:type="dxa" w:w="1168"/>
            <w:vAlign w:val="center"/>
          </w:tcPr>
          <w:p>
            <w:pPr>
              <w:spacing w:after="0"/>
              <w:jc w:val="center"/>
            </w:pPr>
            <w:r/>
            <w:r>
              <w:rPr>
                <w:rFonts w:ascii="Times New Roman" w:hAnsi="Times New Roman" w:eastAsia="宋体"/>
                <w:b w:val="0"/>
                <w:sz w:val="16"/>
              </w:rPr>
              <w:t>0.819</w:t>
            </w:r>
          </w:p>
        </w:tc>
        <w:tc>
          <w:tcPr>
            <w:tcW w:type="dxa" w:w="1168"/>
            <w:vAlign w:val="center"/>
          </w:tcPr>
          <w:p>
            <w:pPr>
              <w:spacing w:after="0"/>
              <w:jc w:val="center"/>
            </w:pPr>
            <w:r/>
            <w:r>
              <w:rPr>
                <w:rFonts w:ascii="Times New Roman" w:hAnsi="Times New Roman" w:eastAsia="宋体"/>
                <w:b w:val="0"/>
                <w:sz w:val="16"/>
              </w:rPr>
              <w:t>0.389</w:t>
            </w:r>
          </w:p>
        </w:tc>
        <w:tc>
          <w:tcPr>
            <w:tcW w:type="dxa" w:w="1168"/>
            <w:vAlign w:val="center"/>
          </w:tcPr>
          <w:p>
            <w:pPr>
              <w:spacing w:after="0"/>
              <w:jc w:val="center"/>
            </w:pPr>
            <w:r/>
            <w:r>
              <w:rPr>
                <w:rFonts w:ascii="Times New Roman" w:hAnsi="Times New Roman" w:eastAsia="宋体"/>
                <w:b w:val="0"/>
                <w:sz w:val="16"/>
              </w:rPr>
              <w:t>0.617</w:t>
            </w:r>
          </w:p>
        </w:tc>
        <w:tc>
          <w:tcPr>
            <w:tcW w:type="dxa" w:w="1168"/>
            <w:vAlign w:val="center"/>
          </w:tcPr>
          <w:p>
            <w:pPr>
              <w:spacing w:after="0"/>
              <w:jc w:val="center"/>
            </w:pPr>
            <w:r/>
            <w:r>
              <w:rPr>
                <w:rFonts w:ascii="Times New Roman" w:hAnsi="Times New Roman" w:eastAsia="宋体"/>
                <w:b w:val="0"/>
                <w:sz w:val="16"/>
              </w:rPr>
              <w:t>0.477</w:t>
            </w:r>
          </w:p>
        </w:tc>
        <w:tc>
          <w:tcPr>
            <w:tcW w:type="dxa" w:w="1168"/>
            <w:vAlign w:val="center"/>
          </w:tcPr>
          <w:p>
            <w:pPr>
              <w:spacing w:after="0"/>
              <w:jc w:val="center"/>
            </w:pPr>
            <w:r/>
            <w:r>
              <w:rPr>
                <w:rFonts w:ascii="Times New Roman" w:hAnsi="Times New Roman" w:eastAsia="宋体"/>
                <w:b w:val="0"/>
                <w:sz w:val="16"/>
              </w:rPr>
              <w:t>0.167</w:t>
            </w:r>
          </w:p>
        </w:tc>
      </w:tr>
      <w:tr>
        <w:tc>
          <w:tcPr>
            <w:tcW w:type="dxa" w:w="1168"/>
            <w:vAlign w:val="center"/>
          </w:tcPr>
          <w:p>
            <w:pPr>
              <w:spacing w:after="0"/>
              <w:jc w:val="center"/>
            </w:pPr>
            <w:r/>
            <w:r>
              <w:rPr>
                <w:rFonts w:ascii="Times New Roman" w:hAnsi="Times New Roman" w:eastAsia="宋体"/>
                <w:b w:val="0"/>
                <w:sz w:val="16"/>
              </w:rPr>
              <w:t>DecisionTree</w:t>
            </w:r>
          </w:p>
        </w:tc>
        <w:tc>
          <w:tcPr>
            <w:tcW w:type="dxa" w:w="1168"/>
            <w:vAlign w:val="center"/>
          </w:tcPr>
          <w:p>
            <w:pPr>
              <w:spacing w:after="0"/>
              <w:jc w:val="center"/>
            </w:pPr>
            <w:r/>
            <w:r>
              <w:rPr>
                <w:rFonts w:ascii="Times New Roman" w:hAnsi="Times New Roman" w:eastAsia="宋体"/>
                <w:b w:val="0"/>
                <w:sz w:val="16"/>
              </w:rPr>
              <w:t>0.779</w:t>
            </w:r>
          </w:p>
        </w:tc>
        <w:tc>
          <w:tcPr>
            <w:tcW w:type="dxa" w:w="1168"/>
            <w:vAlign w:val="center"/>
          </w:tcPr>
          <w:p>
            <w:pPr>
              <w:spacing w:after="0"/>
              <w:jc w:val="center"/>
            </w:pPr>
            <w:r/>
            <w:r>
              <w:rPr>
                <w:rFonts w:ascii="Times New Roman" w:hAnsi="Times New Roman" w:eastAsia="宋体"/>
                <w:b w:val="0"/>
                <w:sz w:val="16"/>
              </w:rPr>
              <w:t>0.337</w:t>
            </w:r>
          </w:p>
        </w:tc>
        <w:tc>
          <w:tcPr>
            <w:tcW w:type="dxa" w:w="1168"/>
            <w:vAlign w:val="center"/>
          </w:tcPr>
          <w:p>
            <w:pPr>
              <w:spacing w:after="0"/>
              <w:jc w:val="center"/>
            </w:pPr>
            <w:r/>
            <w:r>
              <w:rPr>
                <w:rFonts w:ascii="Times New Roman" w:hAnsi="Times New Roman" w:eastAsia="宋体"/>
                <w:b w:val="0"/>
                <w:sz w:val="16"/>
              </w:rPr>
              <w:t>0.751</w:t>
            </w:r>
          </w:p>
        </w:tc>
        <w:tc>
          <w:tcPr>
            <w:tcW w:type="dxa" w:w="1168"/>
            <w:vAlign w:val="center"/>
          </w:tcPr>
          <w:p>
            <w:pPr>
              <w:spacing w:after="0"/>
              <w:jc w:val="center"/>
            </w:pPr>
            <w:r/>
            <w:r>
              <w:rPr>
                <w:rFonts w:ascii="Times New Roman" w:hAnsi="Times New Roman" w:eastAsia="宋体"/>
                <w:b w:val="0"/>
                <w:sz w:val="16"/>
              </w:rPr>
              <w:t>0.297</w:t>
            </w:r>
          </w:p>
        </w:tc>
        <w:tc>
          <w:tcPr>
            <w:tcW w:type="dxa" w:w="1168"/>
            <w:vAlign w:val="center"/>
          </w:tcPr>
          <w:p>
            <w:pPr>
              <w:spacing w:after="0"/>
              <w:jc w:val="center"/>
            </w:pPr>
            <w:r/>
            <w:r>
              <w:rPr>
                <w:rFonts w:ascii="Times New Roman" w:hAnsi="Times New Roman" w:eastAsia="宋体"/>
                <w:b w:val="0"/>
                <w:sz w:val="16"/>
              </w:rPr>
              <w:t>0.632</w:t>
            </w:r>
          </w:p>
        </w:tc>
        <w:tc>
          <w:tcPr>
            <w:tcW w:type="dxa" w:w="1168"/>
            <w:vAlign w:val="center"/>
          </w:tcPr>
          <w:p>
            <w:pPr>
              <w:spacing w:after="0"/>
              <w:jc w:val="center"/>
            </w:pPr>
            <w:r/>
            <w:r>
              <w:rPr>
                <w:rFonts w:ascii="Times New Roman" w:hAnsi="Times New Roman" w:eastAsia="宋体"/>
                <w:b w:val="0"/>
                <w:sz w:val="16"/>
              </w:rPr>
              <w:t>0.404</w:t>
            </w:r>
          </w:p>
        </w:tc>
        <w:tc>
          <w:tcPr>
            <w:tcW w:type="dxa" w:w="1168"/>
            <w:vAlign w:val="center"/>
          </w:tcPr>
          <w:p>
            <w:pPr>
              <w:spacing w:after="0"/>
              <w:jc w:val="center"/>
            </w:pPr>
            <w:r/>
            <w:r>
              <w:rPr>
                <w:rFonts w:ascii="Times New Roman" w:hAnsi="Times New Roman" w:eastAsia="宋体"/>
                <w:b w:val="0"/>
                <w:sz w:val="16"/>
              </w:rPr>
              <w:t>0.196</w:t>
            </w:r>
          </w:p>
        </w:tc>
      </w:tr>
    </w:tbl>
    <w:p/>
    <w:p>
      <w:pPr>
        <w:pStyle w:val="Heading2"/>
        <w:spacing w:before="100" w:after="100"/>
      </w:pPr>
      <w:r>
        <w:rPr>
          <w:rFonts w:ascii="Times New Roman" w:hAnsi="Times New Roman" w:eastAsia="黑体"/>
          <w:b/>
          <w:color w:val="000000"/>
          <w:sz w:val="26"/>
        </w:rPr>
        <w:t>3.3 最佳模型稳定性与混淆矩阵</w:t>
      </w:r>
    </w:p>
    <w:p>
      <w:pPr>
        <w:spacing w:line="324" w:lineRule="auto" w:after="100"/>
        <w:ind w:firstLine="420"/>
      </w:pPr>
      <w:r>
        <w:rPr>
          <w:rFonts w:ascii="Times New Roman" w:hAnsi="Times New Roman" w:eastAsia="宋体"/>
          <w:sz w:val="22"/>
        </w:rPr>
        <w:t>Bootstrap 结果显示，最佳模型 AUROC 均值为 0.874，95% 置信区间为 0.865-0.883，提示模型区分度较稳定。在最佳 F1 阈值下，测试集真阴性 8232 例，假阳性 749 例，假阴性 603 例，真阳性 784 例。</w:t>
      </w:r>
    </w:p>
    <w:p>
      <w:pPr>
        <w:spacing w:before="40" w:after="140"/>
        <w:jc w:val="center"/>
      </w:pPr>
      <w:r>
        <w:rPr>
          <w:rFonts w:ascii="Times New Roman" w:hAnsi="Times New Roman" w:eastAsia="宋体"/>
          <w:sz w:val="18"/>
        </w:rPr>
        <w:t>表 3 最佳模型 bootstrap 95% 置信区间</w:t>
      </w:r>
    </w:p>
    <w:tbl>
      <w:tblPr>
        <w:tblStyle w:val="TableGrid"/>
        <w:tblW w:type="auto" w:w="0"/>
        <w:jc w:val="center"/>
        <w:tblLayout w:type="autofit"/>
        <w:tblLook w:firstColumn="1" w:firstRow="1" w:lastColumn="0" w:lastRow="0" w:noHBand="0" w:noVBand="1" w:val="04A0"/>
      </w:tblPr>
      <w:tblGrid>
        <w:gridCol w:w="2337"/>
        <w:gridCol w:w="2337"/>
        <w:gridCol w:w="2337"/>
        <w:gridCol w:w="2337"/>
      </w:tblGrid>
      <w:tr>
        <w:tc>
          <w:tcPr>
            <w:tcW w:type="dxa" w:w="2337"/>
            <w:vAlign w:val="center"/>
            <w:shd w:fill="D9EAF7"/>
          </w:tcPr>
          <w:p>
            <w:pPr>
              <w:spacing w:after="0"/>
              <w:jc w:val="center"/>
            </w:pPr>
            <w:r/>
            <w:r>
              <w:rPr>
                <w:rFonts w:ascii="Times New Roman" w:hAnsi="Times New Roman" w:eastAsia="宋体"/>
                <w:b/>
                <w:sz w:val="16"/>
              </w:rPr>
              <w:t>指标</w:t>
            </w:r>
          </w:p>
        </w:tc>
        <w:tc>
          <w:tcPr>
            <w:tcW w:type="dxa" w:w="2337"/>
            <w:vAlign w:val="center"/>
            <w:shd w:fill="D9EAF7"/>
          </w:tcPr>
          <w:p>
            <w:pPr>
              <w:spacing w:after="0"/>
              <w:jc w:val="center"/>
            </w:pPr>
            <w:r/>
            <w:r>
              <w:rPr>
                <w:rFonts w:ascii="Times New Roman" w:hAnsi="Times New Roman" w:eastAsia="宋体"/>
                <w:b/>
                <w:sz w:val="16"/>
              </w:rPr>
              <w:t>均值</w:t>
            </w:r>
          </w:p>
        </w:tc>
        <w:tc>
          <w:tcPr>
            <w:tcW w:type="dxa" w:w="2337"/>
            <w:vAlign w:val="center"/>
            <w:shd w:fill="D9EAF7"/>
          </w:tcPr>
          <w:p>
            <w:pPr>
              <w:spacing w:after="0"/>
              <w:jc w:val="center"/>
            </w:pPr>
            <w:r/>
            <w:r>
              <w:rPr>
                <w:rFonts w:ascii="Times New Roman" w:hAnsi="Times New Roman" w:eastAsia="宋体"/>
                <w:b/>
                <w:sz w:val="16"/>
              </w:rPr>
              <w:t>95%CI 下限</w:t>
            </w:r>
          </w:p>
        </w:tc>
        <w:tc>
          <w:tcPr>
            <w:tcW w:type="dxa" w:w="2337"/>
            <w:vAlign w:val="center"/>
            <w:shd w:fill="D9EAF7"/>
          </w:tcPr>
          <w:p>
            <w:pPr>
              <w:spacing w:after="0"/>
              <w:jc w:val="center"/>
            </w:pPr>
            <w:r/>
            <w:r>
              <w:rPr>
                <w:rFonts w:ascii="Times New Roman" w:hAnsi="Times New Roman" w:eastAsia="宋体"/>
                <w:b/>
                <w:sz w:val="16"/>
              </w:rPr>
              <w:t>95%CI 上限</w:t>
            </w:r>
          </w:p>
        </w:tc>
      </w:tr>
      <w:tr>
        <w:tc>
          <w:tcPr>
            <w:tcW w:type="dxa" w:w="2337"/>
            <w:vAlign w:val="center"/>
          </w:tcPr>
          <w:p>
            <w:pPr>
              <w:spacing w:after="0"/>
              <w:jc w:val="center"/>
            </w:pPr>
            <w:r/>
            <w:r>
              <w:rPr>
                <w:rFonts w:ascii="Times New Roman" w:hAnsi="Times New Roman" w:eastAsia="宋体"/>
                <w:b w:val="0"/>
                <w:sz w:val="16"/>
              </w:rPr>
              <w:t>auroc</w:t>
            </w:r>
          </w:p>
        </w:tc>
        <w:tc>
          <w:tcPr>
            <w:tcW w:type="dxa" w:w="2337"/>
            <w:vAlign w:val="center"/>
          </w:tcPr>
          <w:p>
            <w:pPr>
              <w:spacing w:after="0"/>
              <w:jc w:val="center"/>
            </w:pPr>
            <w:r/>
            <w:r>
              <w:rPr>
                <w:rFonts w:ascii="Times New Roman" w:hAnsi="Times New Roman" w:eastAsia="宋体"/>
                <w:b w:val="0"/>
                <w:sz w:val="16"/>
              </w:rPr>
              <w:t>0.874</w:t>
            </w:r>
          </w:p>
        </w:tc>
        <w:tc>
          <w:tcPr>
            <w:tcW w:type="dxa" w:w="2337"/>
            <w:vAlign w:val="center"/>
          </w:tcPr>
          <w:p>
            <w:pPr>
              <w:spacing w:after="0"/>
              <w:jc w:val="center"/>
            </w:pPr>
            <w:r/>
            <w:r>
              <w:rPr>
                <w:rFonts w:ascii="Times New Roman" w:hAnsi="Times New Roman" w:eastAsia="宋体"/>
                <w:b w:val="0"/>
                <w:sz w:val="16"/>
              </w:rPr>
              <w:t>0.865</w:t>
            </w:r>
          </w:p>
        </w:tc>
        <w:tc>
          <w:tcPr>
            <w:tcW w:type="dxa" w:w="2337"/>
            <w:vAlign w:val="center"/>
          </w:tcPr>
          <w:p>
            <w:pPr>
              <w:spacing w:after="0"/>
              <w:jc w:val="center"/>
            </w:pPr>
            <w:r/>
            <w:r>
              <w:rPr>
                <w:rFonts w:ascii="Times New Roman" w:hAnsi="Times New Roman" w:eastAsia="宋体"/>
                <w:b w:val="0"/>
                <w:sz w:val="16"/>
              </w:rPr>
              <w:t>0.883</w:t>
            </w:r>
          </w:p>
        </w:tc>
      </w:tr>
      <w:tr>
        <w:tc>
          <w:tcPr>
            <w:tcW w:type="dxa" w:w="2337"/>
            <w:vAlign w:val="center"/>
          </w:tcPr>
          <w:p>
            <w:pPr>
              <w:spacing w:after="0"/>
              <w:jc w:val="center"/>
            </w:pPr>
            <w:r/>
            <w:r>
              <w:rPr>
                <w:rFonts w:ascii="Times New Roman" w:hAnsi="Times New Roman" w:eastAsia="宋体"/>
                <w:b w:val="0"/>
                <w:sz w:val="16"/>
              </w:rPr>
              <w:t>auprc</w:t>
            </w:r>
          </w:p>
        </w:tc>
        <w:tc>
          <w:tcPr>
            <w:tcW w:type="dxa" w:w="2337"/>
            <w:vAlign w:val="center"/>
          </w:tcPr>
          <w:p>
            <w:pPr>
              <w:spacing w:after="0"/>
              <w:jc w:val="center"/>
            </w:pPr>
            <w:r/>
            <w:r>
              <w:rPr>
                <w:rFonts w:ascii="Times New Roman" w:hAnsi="Times New Roman" w:eastAsia="宋体"/>
                <w:b w:val="0"/>
                <w:sz w:val="16"/>
              </w:rPr>
              <w:t>0.558</w:t>
            </w:r>
          </w:p>
        </w:tc>
        <w:tc>
          <w:tcPr>
            <w:tcW w:type="dxa" w:w="2337"/>
            <w:vAlign w:val="center"/>
          </w:tcPr>
          <w:p>
            <w:pPr>
              <w:spacing w:after="0"/>
              <w:jc w:val="center"/>
            </w:pPr>
            <w:r/>
            <w:r>
              <w:rPr>
                <w:rFonts w:ascii="Times New Roman" w:hAnsi="Times New Roman" w:eastAsia="宋体"/>
                <w:b w:val="0"/>
                <w:sz w:val="16"/>
              </w:rPr>
              <w:t>0.529</w:t>
            </w:r>
          </w:p>
        </w:tc>
        <w:tc>
          <w:tcPr>
            <w:tcW w:type="dxa" w:w="2337"/>
            <w:vAlign w:val="center"/>
          </w:tcPr>
          <w:p>
            <w:pPr>
              <w:spacing w:after="0"/>
              <w:jc w:val="center"/>
            </w:pPr>
            <w:r/>
            <w:r>
              <w:rPr>
                <w:rFonts w:ascii="Times New Roman" w:hAnsi="Times New Roman" w:eastAsia="宋体"/>
                <w:b w:val="0"/>
                <w:sz w:val="16"/>
              </w:rPr>
              <w:t>0.583</w:t>
            </w:r>
          </w:p>
        </w:tc>
      </w:tr>
      <w:tr>
        <w:tc>
          <w:tcPr>
            <w:tcW w:type="dxa" w:w="2337"/>
            <w:vAlign w:val="center"/>
          </w:tcPr>
          <w:p>
            <w:pPr>
              <w:spacing w:after="0"/>
              <w:jc w:val="center"/>
            </w:pPr>
            <w:r/>
            <w:r>
              <w:rPr>
                <w:rFonts w:ascii="Times New Roman" w:hAnsi="Times New Roman" w:eastAsia="宋体"/>
                <w:b w:val="0"/>
                <w:sz w:val="16"/>
              </w:rPr>
              <w:t>accuracy</w:t>
            </w:r>
          </w:p>
        </w:tc>
        <w:tc>
          <w:tcPr>
            <w:tcW w:type="dxa" w:w="2337"/>
            <w:vAlign w:val="center"/>
          </w:tcPr>
          <w:p>
            <w:pPr>
              <w:spacing w:after="0"/>
              <w:jc w:val="center"/>
            </w:pPr>
            <w:r/>
            <w:r>
              <w:rPr>
                <w:rFonts w:ascii="Times New Roman" w:hAnsi="Times New Roman" w:eastAsia="宋体"/>
                <w:b w:val="0"/>
                <w:sz w:val="16"/>
              </w:rPr>
              <w:t>0.870</w:t>
            </w:r>
          </w:p>
        </w:tc>
        <w:tc>
          <w:tcPr>
            <w:tcW w:type="dxa" w:w="2337"/>
            <w:vAlign w:val="center"/>
          </w:tcPr>
          <w:p>
            <w:pPr>
              <w:spacing w:after="0"/>
              <w:jc w:val="center"/>
            </w:pPr>
            <w:r/>
            <w:r>
              <w:rPr>
                <w:rFonts w:ascii="Times New Roman" w:hAnsi="Times New Roman" w:eastAsia="宋体"/>
                <w:b w:val="0"/>
                <w:sz w:val="16"/>
              </w:rPr>
              <w:t>0.863</w:t>
            </w:r>
          </w:p>
        </w:tc>
        <w:tc>
          <w:tcPr>
            <w:tcW w:type="dxa" w:w="2337"/>
            <w:vAlign w:val="center"/>
          </w:tcPr>
          <w:p>
            <w:pPr>
              <w:spacing w:after="0"/>
              <w:jc w:val="center"/>
            </w:pPr>
            <w:r/>
            <w:r>
              <w:rPr>
                <w:rFonts w:ascii="Times New Roman" w:hAnsi="Times New Roman" w:eastAsia="宋体"/>
                <w:b w:val="0"/>
                <w:sz w:val="16"/>
              </w:rPr>
              <w:t>0.876</w:t>
            </w:r>
          </w:p>
        </w:tc>
      </w:tr>
      <w:tr>
        <w:tc>
          <w:tcPr>
            <w:tcW w:type="dxa" w:w="2337"/>
            <w:vAlign w:val="center"/>
          </w:tcPr>
          <w:p>
            <w:pPr>
              <w:spacing w:after="0"/>
              <w:jc w:val="center"/>
            </w:pPr>
            <w:r/>
            <w:r>
              <w:rPr>
                <w:rFonts w:ascii="Times New Roman" w:hAnsi="Times New Roman" w:eastAsia="宋体"/>
                <w:b w:val="0"/>
                <w:sz w:val="16"/>
              </w:rPr>
              <w:t>precision</w:t>
            </w:r>
          </w:p>
        </w:tc>
        <w:tc>
          <w:tcPr>
            <w:tcW w:type="dxa" w:w="2337"/>
            <w:vAlign w:val="center"/>
          </w:tcPr>
          <w:p>
            <w:pPr>
              <w:spacing w:after="0"/>
              <w:jc w:val="center"/>
            </w:pPr>
            <w:r/>
            <w:r>
              <w:rPr>
                <w:rFonts w:ascii="Times New Roman" w:hAnsi="Times New Roman" w:eastAsia="宋体"/>
                <w:b w:val="0"/>
                <w:sz w:val="16"/>
              </w:rPr>
              <w:t>0.511</w:t>
            </w:r>
          </w:p>
        </w:tc>
        <w:tc>
          <w:tcPr>
            <w:tcW w:type="dxa" w:w="2337"/>
            <w:vAlign w:val="center"/>
          </w:tcPr>
          <w:p>
            <w:pPr>
              <w:spacing w:after="0"/>
              <w:jc w:val="center"/>
            </w:pPr>
            <w:r/>
            <w:r>
              <w:rPr>
                <w:rFonts w:ascii="Times New Roman" w:hAnsi="Times New Roman" w:eastAsia="宋体"/>
                <w:b w:val="0"/>
                <w:sz w:val="16"/>
              </w:rPr>
              <w:t>0.485</w:t>
            </w:r>
          </w:p>
        </w:tc>
        <w:tc>
          <w:tcPr>
            <w:tcW w:type="dxa" w:w="2337"/>
            <w:vAlign w:val="center"/>
          </w:tcPr>
          <w:p>
            <w:pPr>
              <w:spacing w:after="0"/>
              <w:jc w:val="center"/>
            </w:pPr>
            <w:r/>
            <w:r>
              <w:rPr>
                <w:rFonts w:ascii="Times New Roman" w:hAnsi="Times New Roman" w:eastAsia="宋体"/>
                <w:b w:val="0"/>
                <w:sz w:val="16"/>
              </w:rPr>
              <w:t>0.536</w:t>
            </w:r>
          </w:p>
        </w:tc>
      </w:tr>
      <w:tr>
        <w:tc>
          <w:tcPr>
            <w:tcW w:type="dxa" w:w="2337"/>
            <w:vAlign w:val="center"/>
          </w:tcPr>
          <w:p>
            <w:pPr>
              <w:spacing w:after="0"/>
              <w:jc w:val="center"/>
            </w:pPr>
            <w:r/>
            <w:r>
              <w:rPr>
                <w:rFonts w:ascii="Times New Roman" w:hAnsi="Times New Roman" w:eastAsia="宋体"/>
                <w:b w:val="0"/>
                <w:sz w:val="16"/>
              </w:rPr>
              <w:t>recall</w:t>
            </w:r>
          </w:p>
        </w:tc>
        <w:tc>
          <w:tcPr>
            <w:tcW w:type="dxa" w:w="2337"/>
            <w:vAlign w:val="center"/>
          </w:tcPr>
          <w:p>
            <w:pPr>
              <w:spacing w:after="0"/>
              <w:jc w:val="center"/>
            </w:pPr>
            <w:r/>
            <w:r>
              <w:rPr>
                <w:rFonts w:ascii="Times New Roman" w:hAnsi="Times New Roman" w:eastAsia="宋体"/>
                <w:b w:val="0"/>
                <w:sz w:val="16"/>
              </w:rPr>
              <w:t>0.565</w:t>
            </w:r>
          </w:p>
        </w:tc>
        <w:tc>
          <w:tcPr>
            <w:tcW w:type="dxa" w:w="2337"/>
            <w:vAlign w:val="center"/>
          </w:tcPr>
          <w:p>
            <w:pPr>
              <w:spacing w:after="0"/>
              <w:jc w:val="center"/>
            </w:pPr>
            <w:r/>
            <w:r>
              <w:rPr>
                <w:rFonts w:ascii="Times New Roman" w:hAnsi="Times New Roman" w:eastAsia="宋体"/>
                <w:b w:val="0"/>
                <w:sz w:val="16"/>
              </w:rPr>
              <w:t>0.541</w:t>
            </w:r>
          </w:p>
        </w:tc>
        <w:tc>
          <w:tcPr>
            <w:tcW w:type="dxa" w:w="2337"/>
            <w:vAlign w:val="center"/>
          </w:tcPr>
          <w:p>
            <w:pPr>
              <w:spacing w:after="0"/>
              <w:jc w:val="center"/>
            </w:pPr>
            <w:r/>
            <w:r>
              <w:rPr>
                <w:rFonts w:ascii="Times New Roman" w:hAnsi="Times New Roman" w:eastAsia="宋体"/>
                <w:b w:val="0"/>
                <w:sz w:val="16"/>
              </w:rPr>
              <w:t>0.590</w:t>
            </w:r>
          </w:p>
        </w:tc>
      </w:tr>
      <w:tr>
        <w:tc>
          <w:tcPr>
            <w:tcW w:type="dxa" w:w="2337"/>
            <w:vAlign w:val="center"/>
          </w:tcPr>
          <w:p>
            <w:pPr>
              <w:spacing w:after="0"/>
              <w:jc w:val="center"/>
            </w:pPr>
            <w:r/>
            <w:r>
              <w:rPr>
                <w:rFonts w:ascii="Times New Roman" w:hAnsi="Times New Roman" w:eastAsia="宋体"/>
                <w:b w:val="0"/>
                <w:sz w:val="16"/>
              </w:rPr>
              <w:t>f1</w:t>
            </w:r>
          </w:p>
        </w:tc>
        <w:tc>
          <w:tcPr>
            <w:tcW w:type="dxa" w:w="2337"/>
            <w:vAlign w:val="center"/>
          </w:tcPr>
          <w:p>
            <w:pPr>
              <w:spacing w:after="0"/>
              <w:jc w:val="center"/>
            </w:pPr>
            <w:r/>
            <w:r>
              <w:rPr>
                <w:rFonts w:ascii="Times New Roman" w:hAnsi="Times New Roman" w:eastAsia="宋体"/>
                <w:b w:val="0"/>
                <w:sz w:val="16"/>
              </w:rPr>
              <w:t>0.536</w:t>
            </w:r>
          </w:p>
        </w:tc>
        <w:tc>
          <w:tcPr>
            <w:tcW w:type="dxa" w:w="2337"/>
            <w:vAlign w:val="center"/>
          </w:tcPr>
          <w:p>
            <w:pPr>
              <w:spacing w:after="0"/>
              <w:jc w:val="center"/>
            </w:pPr>
            <w:r/>
            <w:r>
              <w:rPr>
                <w:rFonts w:ascii="Times New Roman" w:hAnsi="Times New Roman" w:eastAsia="宋体"/>
                <w:b w:val="0"/>
                <w:sz w:val="16"/>
              </w:rPr>
              <w:t>0.515</w:t>
            </w:r>
          </w:p>
        </w:tc>
        <w:tc>
          <w:tcPr>
            <w:tcW w:type="dxa" w:w="2337"/>
            <w:vAlign w:val="center"/>
          </w:tcPr>
          <w:p>
            <w:pPr>
              <w:spacing w:after="0"/>
              <w:jc w:val="center"/>
            </w:pPr>
            <w:r/>
            <w:r>
              <w:rPr>
                <w:rFonts w:ascii="Times New Roman" w:hAnsi="Times New Roman" w:eastAsia="宋体"/>
                <w:b w:val="0"/>
                <w:sz w:val="16"/>
              </w:rPr>
              <w:t>0.558</w:t>
            </w:r>
          </w:p>
        </w:tc>
      </w:tr>
      <w:tr>
        <w:tc>
          <w:tcPr>
            <w:tcW w:type="dxa" w:w="2337"/>
            <w:vAlign w:val="center"/>
          </w:tcPr>
          <w:p>
            <w:pPr>
              <w:spacing w:after="0"/>
              <w:jc w:val="center"/>
            </w:pPr>
            <w:r/>
            <w:r>
              <w:rPr>
                <w:rFonts w:ascii="Times New Roman" w:hAnsi="Times New Roman" w:eastAsia="宋体"/>
                <w:b w:val="0"/>
                <w:sz w:val="16"/>
              </w:rPr>
              <w:t>brier</w:t>
            </w:r>
          </w:p>
        </w:tc>
        <w:tc>
          <w:tcPr>
            <w:tcW w:type="dxa" w:w="2337"/>
            <w:vAlign w:val="center"/>
          </w:tcPr>
          <w:p>
            <w:pPr>
              <w:spacing w:after="0"/>
              <w:jc w:val="center"/>
            </w:pPr>
            <w:r/>
            <w:r>
              <w:rPr>
                <w:rFonts w:ascii="Times New Roman" w:hAnsi="Times New Roman" w:eastAsia="宋体"/>
                <w:b w:val="0"/>
                <w:sz w:val="16"/>
              </w:rPr>
              <w:t>0.137</w:t>
            </w:r>
          </w:p>
        </w:tc>
        <w:tc>
          <w:tcPr>
            <w:tcW w:type="dxa" w:w="2337"/>
            <w:vAlign w:val="center"/>
          </w:tcPr>
          <w:p>
            <w:pPr>
              <w:spacing w:after="0"/>
              <w:jc w:val="center"/>
            </w:pPr>
            <w:r/>
            <w:r>
              <w:rPr>
                <w:rFonts w:ascii="Times New Roman" w:hAnsi="Times New Roman" w:eastAsia="宋体"/>
                <w:b w:val="0"/>
                <w:sz w:val="16"/>
              </w:rPr>
              <w:t>0.134</w:t>
            </w:r>
          </w:p>
        </w:tc>
        <w:tc>
          <w:tcPr>
            <w:tcW w:type="dxa" w:w="2337"/>
            <w:vAlign w:val="center"/>
          </w:tcPr>
          <w:p>
            <w:pPr>
              <w:spacing w:after="0"/>
              <w:jc w:val="center"/>
            </w:pPr>
            <w:r/>
            <w:r>
              <w:rPr>
                <w:rFonts w:ascii="Times New Roman" w:hAnsi="Times New Roman" w:eastAsia="宋体"/>
                <w:b w:val="0"/>
                <w:sz w:val="16"/>
              </w:rPr>
              <w:t>0.141</w:t>
            </w:r>
          </w:p>
        </w:tc>
      </w:tr>
    </w:tbl>
    <w:p/>
    <w:p>
      <w:pPr>
        <w:jc w:val="center"/>
      </w:pPr>
      <w:r>
        <w:drawing>
          <wp:inline xmlns:a="http://schemas.openxmlformats.org/drawingml/2006/main" xmlns:pic="http://schemas.openxmlformats.org/drawingml/2006/picture">
            <wp:extent cx="4754880" cy="4075611"/>
            <wp:docPr id="1" name="Picture 1"/>
            <wp:cNvGraphicFramePr>
              <a:graphicFrameLocks noChangeAspect="1"/>
            </wp:cNvGraphicFramePr>
            <a:graphic>
              <a:graphicData uri="http://schemas.openxmlformats.org/drawingml/2006/picture">
                <pic:pic>
                  <pic:nvPicPr>
                    <pic:cNvPr id="0" name="icu_28d_mortality_roc.jpg"/>
                    <pic:cNvPicPr/>
                  </pic:nvPicPr>
                  <pic:blipFill>
                    <a:blip r:embed="rId9"/>
                    <a:stretch>
                      <a:fillRect/>
                    </a:stretch>
                  </pic:blipFill>
                  <pic:spPr>
                    <a:xfrm>
                      <a:off x="0" y="0"/>
                      <a:ext cx="4754880" cy="4075611"/>
                    </a:xfrm>
                    <a:prstGeom prst="rect"/>
                  </pic:spPr>
                </pic:pic>
              </a:graphicData>
            </a:graphic>
          </wp:inline>
        </w:drawing>
      </w:r>
    </w:p>
    <w:p>
      <w:pPr>
        <w:spacing w:before="40" w:after="140"/>
        <w:jc w:val="center"/>
      </w:pPr>
      <w:r>
        <w:rPr>
          <w:rFonts w:ascii="Times New Roman" w:hAnsi="Times New Roman" w:eastAsia="宋体"/>
          <w:sz w:val="18"/>
        </w:rPr>
        <w:t>图 1 不同模型 ROC 曲线</w:t>
      </w:r>
    </w:p>
    <w:p>
      <w:pPr>
        <w:jc w:val="center"/>
      </w:pPr>
      <w:r>
        <w:drawing>
          <wp:inline xmlns:a="http://schemas.openxmlformats.org/drawingml/2006/main" xmlns:pic="http://schemas.openxmlformats.org/drawingml/2006/picture">
            <wp:extent cx="4754880" cy="4075611"/>
            <wp:docPr id="2" name="Picture 2"/>
            <wp:cNvGraphicFramePr>
              <a:graphicFrameLocks noChangeAspect="1"/>
            </wp:cNvGraphicFramePr>
            <a:graphic>
              <a:graphicData uri="http://schemas.openxmlformats.org/drawingml/2006/picture">
                <pic:pic>
                  <pic:nvPicPr>
                    <pic:cNvPr id="0" name="icu_28d_mortality_pr.jpg"/>
                    <pic:cNvPicPr/>
                  </pic:nvPicPr>
                  <pic:blipFill>
                    <a:blip r:embed="rId10"/>
                    <a:stretch>
                      <a:fillRect/>
                    </a:stretch>
                  </pic:blipFill>
                  <pic:spPr>
                    <a:xfrm>
                      <a:off x="0" y="0"/>
                      <a:ext cx="4754880" cy="4075611"/>
                    </a:xfrm>
                    <a:prstGeom prst="rect"/>
                  </pic:spPr>
                </pic:pic>
              </a:graphicData>
            </a:graphic>
          </wp:inline>
        </w:drawing>
      </w:r>
    </w:p>
    <w:p>
      <w:pPr>
        <w:spacing w:before="40" w:after="140"/>
        <w:jc w:val="center"/>
      </w:pPr>
      <w:r>
        <w:rPr>
          <w:rFonts w:ascii="Times New Roman" w:hAnsi="Times New Roman" w:eastAsia="宋体"/>
          <w:sz w:val="18"/>
        </w:rPr>
        <w:t>图 2 不同模型 PR 曲线</w:t>
      </w:r>
    </w:p>
    <w:p>
      <w:pPr>
        <w:jc w:val="center"/>
      </w:pPr>
      <w:r>
        <w:drawing>
          <wp:inline xmlns:a="http://schemas.openxmlformats.org/drawingml/2006/main" xmlns:pic="http://schemas.openxmlformats.org/drawingml/2006/picture">
            <wp:extent cx="4754880" cy="4075611"/>
            <wp:docPr id="3" name="Picture 3"/>
            <wp:cNvGraphicFramePr>
              <a:graphicFrameLocks noChangeAspect="1"/>
            </wp:cNvGraphicFramePr>
            <a:graphic>
              <a:graphicData uri="http://schemas.openxmlformats.org/drawingml/2006/picture">
                <pic:pic>
                  <pic:nvPicPr>
                    <pic:cNvPr id="0" name="icu_28d_mortality_calibration.jpg"/>
                    <pic:cNvPicPr/>
                  </pic:nvPicPr>
                  <pic:blipFill>
                    <a:blip r:embed="rId11"/>
                    <a:stretch>
                      <a:fillRect/>
                    </a:stretch>
                  </pic:blipFill>
                  <pic:spPr>
                    <a:xfrm>
                      <a:off x="0" y="0"/>
                      <a:ext cx="4754880" cy="4075611"/>
                    </a:xfrm>
                    <a:prstGeom prst="rect"/>
                  </pic:spPr>
                </pic:pic>
              </a:graphicData>
            </a:graphic>
          </wp:inline>
        </w:drawing>
      </w:r>
    </w:p>
    <w:p>
      <w:pPr>
        <w:spacing w:before="40" w:after="140"/>
        <w:jc w:val="center"/>
      </w:pPr>
      <w:r>
        <w:rPr>
          <w:rFonts w:ascii="Times New Roman" w:hAnsi="Times New Roman" w:eastAsia="宋体"/>
          <w:sz w:val="18"/>
        </w:rPr>
        <w:t>图 3 最佳模型校准曲线</w:t>
      </w:r>
    </w:p>
    <w:p>
      <w:pPr>
        <w:pStyle w:val="Heading2"/>
        <w:spacing w:before="100" w:after="100"/>
      </w:pPr>
      <w:r>
        <w:rPr>
          <w:rFonts w:ascii="Times New Roman" w:hAnsi="Times New Roman" w:eastAsia="黑体"/>
          <w:b/>
          <w:color w:val="000000"/>
          <w:sz w:val="26"/>
        </w:rPr>
        <w:t>3.4 特征重要性</w:t>
      </w:r>
    </w:p>
    <w:p>
      <w:pPr>
        <w:spacing w:line="324" w:lineRule="auto" w:after="100"/>
        <w:ind w:firstLine="420"/>
      </w:pPr>
      <w:r>
        <w:rPr>
          <w:rFonts w:ascii="Times New Roman" w:hAnsi="Times New Roman" w:eastAsia="宋体"/>
          <w:sz w:val="22"/>
        </w:rPr>
        <w:t>最佳模型的重要特征主要包括年龄、平均 SpO2、平均体温、平均呼吸频率、平均心率、最高体温、平均 BUN、平均收缩压、最高 WBC、最低体温等。上述变量分别反映基础脆弱性、氧合状态、感染或炎症反应、呼吸循环负荷、肾功能状态和血流动力学稳定性，具有明确的临床解释基础。</w:t>
      </w:r>
    </w:p>
    <w:p>
      <w:pPr>
        <w:spacing w:before="40" w:after="140"/>
        <w:jc w:val="center"/>
      </w:pPr>
      <w:r>
        <w:rPr>
          <w:rFonts w:ascii="Times New Roman" w:hAnsi="Times New Roman" w:eastAsia="宋体"/>
          <w:sz w:val="18"/>
        </w:rPr>
        <w:t>表 4 最佳模型前 12 个重要特征</w:t>
      </w:r>
    </w:p>
    <w:tbl>
      <w:tblPr>
        <w:tblStyle w:val="TableGrid"/>
        <w:tblW w:type="auto" w:w="0"/>
        <w:jc w:val="center"/>
        <w:tblLayout w:type="autofit"/>
        <w:tblLook w:firstColumn="1" w:firstRow="1" w:lastColumn="0" w:lastRow="0" w:noHBand="0" w:noVBand="1" w:val="04A0"/>
      </w:tblPr>
      <w:tblGrid>
        <w:gridCol w:w="4674"/>
        <w:gridCol w:w="4674"/>
      </w:tblGrid>
      <w:tr>
        <w:tc>
          <w:tcPr>
            <w:tcW w:type="dxa" w:w="4674"/>
            <w:vAlign w:val="center"/>
            <w:shd w:fill="D9EAF7"/>
          </w:tcPr>
          <w:p>
            <w:pPr>
              <w:spacing w:after="0"/>
              <w:jc w:val="center"/>
            </w:pPr>
            <w:r/>
            <w:r>
              <w:rPr>
                <w:rFonts w:ascii="Times New Roman" w:hAnsi="Times New Roman" w:eastAsia="宋体"/>
                <w:b/>
                <w:sz w:val="16"/>
              </w:rPr>
              <w:t>特征</w:t>
            </w:r>
          </w:p>
        </w:tc>
        <w:tc>
          <w:tcPr>
            <w:tcW w:type="dxa" w:w="4674"/>
            <w:vAlign w:val="center"/>
            <w:shd w:fill="D9EAF7"/>
          </w:tcPr>
          <w:p>
            <w:pPr>
              <w:spacing w:after="0"/>
              <w:jc w:val="center"/>
            </w:pPr>
            <w:r/>
            <w:r>
              <w:rPr>
                <w:rFonts w:ascii="Times New Roman" w:hAnsi="Times New Roman" w:eastAsia="宋体"/>
                <w:b/>
                <w:sz w:val="16"/>
              </w:rPr>
              <w:t>重要性</w:t>
            </w:r>
          </w:p>
        </w:tc>
      </w:tr>
      <w:tr>
        <w:tc>
          <w:tcPr>
            <w:tcW w:type="dxa" w:w="4674"/>
            <w:vAlign w:val="center"/>
          </w:tcPr>
          <w:p>
            <w:pPr>
              <w:spacing w:after="0"/>
              <w:jc w:val="center"/>
            </w:pPr>
            <w:r/>
            <w:r>
              <w:rPr>
                <w:rFonts w:ascii="Times New Roman" w:hAnsi="Times New Roman" w:eastAsia="宋体"/>
                <w:b w:val="0"/>
                <w:sz w:val="16"/>
              </w:rPr>
              <w:t>num__anchor_age</w:t>
            </w:r>
          </w:p>
        </w:tc>
        <w:tc>
          <w:tcPr>
            <w:tcW w:type="dxa" w:w="4674"/>
            <w:vAlign w:val="center"/>
          </w:tcPr>
          <w:p>
            <w:pPr>
              <w:spacing w:after="0"/>
              <w:jc w:val="center"/>
            </w:pPr>
            <w:r/>
            <w:r>
              <w:rPr>
                <w:rFonts w:ascii="Times New Roman" w:hAnsi="Times New Roman" w:eastAsia="宋体"/>
                <w:b w:val="0"/>
                <w:sz w:val="16"/>
              </w:rPr>
              <w:t>288</w:t>
            </w:r>
          </w:p>
        </w:tc>
      </w:tr>
      <w:tr>
        <w:tc>
          <w:tcPr>
            <w:tcW w:type="dxa" w:w="4674"/>
            <w:vAlign w:val="center"/>
          </w:tcPr>
          <w:p>
            <w:pPr>
              <w:spacing w:after="0"/>
              <w:jc w:val="center"/>
            </w:pPr>
            <w:r/>
            <w:r>
              <w:rPr>
                <w:rFonts w:ascii="Times New Roman" w:hAnsi="Times New Roman" w:eastAsia="宋体"/>
                <w:b w:val="0"/>
                <w:sz w:val="16"/>
              </w:rPr>
              <w:t>num__spo2_mean</w:t>
            </w:r>
          </w:p>
        </w:tc>
        <w:tc>
          <w:tcPr>
            <w:tcW w:type="dxa" w:w="4674"/>
            <w:vAlign w:val="center"/>
          </w:tcPr>
          <w:p>
            <w:pPr>
              <w:spacing w:after="0"/>
              <w:jc w:val="center"/>
            </w:pPr>
            <w:r/>
            <w:r>
              <w:rPr>
                <w:rFonts w:ascii="Times New Roman" w:hAnsi="Times New Roman" w:eastAsia="宋体"/>
                <w:b w:val="0"/>
                <w:sz w:val="16"/>
              </w:rPr>
              <w:t>178</w:t>
            </w:r>
          </w:p>
        </w:tc>
      </w:tr>
      <w:tr>
        <w:tc>
          <w:tcPr>
            <w:tcW w:type="dxa" w:w="4674"/>
            <w:vAlign w:val="center"/>
          </w:tcPr>
          <w:p>
            <w:pPr>
              <w:spacing w:after="0"/>
              <w:jc w:val="center"/>
            </w:pPr>
            <w:r/>
            <w:r>
              <w:rPr>
                <w:rFonts w:ascii="Times New Roman" w:hAnsi="Times New Roman" w:eastAsia="宋体"/>
                <w:b w:val="0"/>
                <w:sz w:val="16"/>
              </w:rPr>
              <w:t>num__temp_mean</w:t>
            </w:r>
          </w:p>
        </w:tc>
        <w:tc>
          <w:tcPr>
            <w:tcW w:type="dxa" w:w="4674"/>
            <w:vAlign w:val="center"/>
          </w:tcPr>
          <w:p>
            <w:pPr>
              <w:spacing w:after="0"/>
              <w:jc w:val="center"/>
            </w:pPr>
            <w:r/>
            <w:r>
              <w:rPr>
                <w:rFonts w:ascii="Times New Roman" w:hAnsi="Times New Roman" w:eastAsia="宋体"/>
                <w:b w:val="0"/>
                <w:sz w:val="16"/>
              </w:rPr>
              <w:t>166</w:t>
            </w:r>
          </w:p>
        </w:tc>
      </w:tr>
      <w:tr>
        <w:tc>
          <w:tcPr>
            <w:tcW w:type="dxa" w:w="4674"/>
            <w:vAlign w:val="center"/>
          </w:tcPr>
          <w:p>
            <w:pPr>
              <w:spacing w:after="0"/>
              <w:jc w:val="center"/>
            </w:pPr>
            <w:r/>
            <w:r>
              <w:rPr>
                <w:rFonts w:ascii="Times New Roman" w:hAnsi="Times New Roman" w:eastAsia="宋体"/>
                <w:b w:val="0"/>
                <w:sz w:val="16"/>
              </w:rPr>
              <w:t>num__rr_mean</w:t>
            </w:r>
          </w:p>
        </w:tc>
        <w:tc>
          <w:tcPr>
            <w:tcW w:type="dxa" w:w="4674"/>
            <w:vAlign w:val="center"/>
          </w:tcPr>
          <w:p>
            <w:pPr>
              <w:spacing w:after="0"/>
              <w:jc w:val="center"/>
            </w:pPr>
            <w:r/>
            <w:r>
              <w:rPr>
                <w:rFonts w:ascii="Times New Roman" w:hAnsi="Times New Roman" w:eastAsia="宋体"/>
                <w:b w:val="0"/>
                <w:sz w:val="16"/>
              </w:rPr>
              <w:t>162</w:t>
            </w:r>
          </w:p>
        </w:tc>
      </w:tr>
      <w:tr>
        <w:tc>
          <w:tcPr>
            <w:tcW w:type="dxa" w:w="4674"/>
            <w:vAlign w:val="center"/>
          </w:tcPr>
          <w:p>
            <w:pPr>
              <w:spacing w:after="0"/>
              <w:jc w:val="center"/>
            </w:pPr>
            <w:r/>
            <w:r>
              <w:rPr>
                <w:rFonts w:ascii="Times New Roman" w:hAnsi="Times New Roman" w:eastAsia="宋体"/>
                <w:b w:val="0"/>
                <w:sz w:val="16"/>
              </w:rPr>
              <w:t>num__hr_mean</w:t>
            </w:r>
          </w:p>
        </w:tc>
        <w:tc>
          <w:tcPr>
            <w:tcW w:type="dxa" w:w="4674"/>
            <w:vAlign w:val="center"/>
          </w:tcPr>
          <w:p>
            <w:pPr>
              <w:spacing w:after="0"/>
              <w:jc w:val="center"/>
            </w:pPr>
            <w:r/>
            <w:r>
              <w:rPr>
                <w:rFonts w:ascii="Times New Roman" w:hAnsi="Times New Roman" w:eastAsia="宋体"/>
                <w:b w:val="0"/>
                <w:sz w:val="16"/>
              </w:rPr>
              <w:t>137</w:t>
            </w:r>
          </w:p>
        </w:tc>
      </w:tr>
      <w:tr>
        <w:tc>
          <w:tcPr>
            <w:tcW w:type="dxa" w:w="4674"/>
            <w:vAlign w:val="center"/>
          </w:tcPr>
          <w:p>
            <w:pPr>
              <w:spacing w:after="0"/>
              <w:jc w:val="center"/>
            </w:pPr>
            <w:r/>
            <w:r>
              <w:rPr>
                <w:rFonts w:ascii="Times New Roman" w:hAnsi="Times New Roman" w:eastAsia="宋体"/>
                <w:b w:val="0"/>
                <w:sz w:val="16"/>
              </w:rPr>
              <w:t>num__temp_max</w:t>
            </w:r>
          </w:p>
        </w:tc>
        <w:tc>
          <w:tcPr>
            <w:tcW w:type="dxa" w:w="4674"/>
            <w:vAlign w:val="center"/>
          </w:tcPr>
          <w:p>
            <w:pPr>
              <w:spacing w:after="0"/>
              <w:jc w:val="center"/>
            </w:pPr>
            <w:r/>
            <w:r>
              <w:rPr>
                <w:rFonts w:ascii="Times New Roman" w:hAnsi="Times New Roman" w:eastAsia="宋体"/>
                <w:b w:val="0"/>
                <w:sz w:val="16"/>
              </w:rPr>
              <w:t>137</w:t>
            </w:r>
          </w:p>
        </w:tc>
      </w:tr>
      <w:tr>
        <w:tc>
          <w:tcPr>
            <w:tcW w:type="dxa" w:w="4674"/>
            <w:vAlign w:val="center"/>
          </w:tcPr>
          <w:p>
            <w:pPr>
              <w:spacing w:after="0"/>
              <w:jc w:val="center"/>
            </w:pPr>
            <w:r/>
            <w:r>
              <w:rPr>
                <w:rFonts w:ascii="Times New Roman" w:hAnsi="Times New Roman" w:eastAsia="宋体"/>
                <w:b w:val="0"/>
                <w:sz w:val="16"/>
              </w:rPr>
              <w:t>num__bun_mean</w:t>
            </w:r>
          </w:p>
        </w:tc>
        <w:tc>
          <w:tcPr>
            <w:tcW w:type="dxa" w:w="4674"/>
            <w:vAlign w:val="center"/>
          </w:tcPr>
          <w:p>
            <w:pPr>
              <w:spacing w:after="0"/>
              <w:jc w:val="center"/>
            </w:pPr>
            <w:r/>
            <w:r>
              <w:rPr>
                <w:rFonts w:ascii="Times New Roman" w:hAnsi="Times New Roman" w:eastAsia="宋体"/>
                <w:b w:val="0"/>
                <w:sz w:val="16"/>
              </w:rPr>
              <w:t>124</w:t>
            </w:r>
          </w:p>
        </w:tc>
      </w:tr>
      <w:tr>
        <w:tc>
          <w:tcPr>
            <w:tcW w:type="dxa" w:w="4674"/>
            <w:vAlign w:val="center"/>
          </w:tcPr>
          <w:p>
            <w:pPr>
              <w:spacing w:after="0"/>
              <w:jc w:val="center"/>
            </w:pPr>
            <w:r/>
            <w:r>
              <w:rPr>
                <w:rFonts w:ascii="Times New Roman" w:hAnsi="Times New Roman" w:eastAsia="宋体"/>
                <w:b w:val="0"/>
                <w:sz w:val="16"/>
              </w:rPr>
              <w:t>num__sbp_mean</w:t>
            </w:r>
          </w:p>
        </w:tc>
        <w:tc>
          <w:tcPr>
            <w:tcW w:type="dxa" w:w="4674"/>
            <w:vAlign w:val="center"/>
          </w:tcPr>
          <w:p>
            <w:pPr>
              <w:spacing w:after="0"/>
              <w:jc w:val="center"/>
            </w:pPr>
            <w:r/>
            <w:r>
              <w:rPr>
                <w:rFonts w:ascii="Times New Roman" w:hAnsi="Times New Roman" w:eastAsia="宋体"/>
                <w:b w:val="0"/>
                <w:sz w:val="16"/>
              </w:rPr>
              <w:t>123</w:t>
            </w:r>
          </w:p>
        </w:tc>
      </w:tr>
      <w:tr>
        <w:tc>
          <w:tcPr>
            <w:tcW w:type="dxa" w:w="4674"/>
            <w:vAlign w:val="center"/>
          </w:tcPr>
          <w:p>
            <w:pPr>
              <w:spacing w:after="0"/>
              <w:jc w:val="center"/>
            </w:pPr>
            <w:r/>
            <w:r>
              <w:rPr>
                <w:rFonts w:ascii="Times New Roman" w:hAnsi="Times New Roman" w:eastAsia="宋体"/>
                <w:b w:val="0"/>
                <w:sz w:val="16"/>
              </w:rPr>
              <w:t>num__wbc_max</w:t>
            </w:r>
          </w:p>
        </w:tc>
        <w:tc>
          <w:tcPr>
            <w:tcW w:type="dxa" w:w="4674"/>
            <w:vAlign w:val="center"/>
          </w:tcPr>
          <w:p>
            <w:pPr>
              <w:spacing w:after="0"/>
              <w:jc w:val="center"/>
            </w:pPr>
            <w:r/>
            <w:r>
              <w:rPr>
                <w:rFonts w:ascii="Times New Roman" w:hAnsi="Times New Roman" w:eastAsia="宋体"/>
                <w:b w:val="0"/>
                <w:sz w:val="16"/>
              </w:rPr>
              <w:t>109</w:t>
            </w:r>
          </w:p>
        </w:tc>
      </w:tr>
      <w:tr>
        <w:tc>
          <w:tcPr>
            <w:tcW w:type="dxa" w:w="4674"/>
            <w:vAlign w:val="center"/>
          </w:tcPr>
          <w:p>
            <w:pPr>
              <w:spacing w:after="0"/>
              <w:jc w:val="center"/>
            </w:pPr>
            <w:r/>
            <w:r>
              <w:rPr>
                <w:rFonts w:ascii="Times New Roman" w:hAnsi="Times New Roman" w:eastAsia="宋体"/>
                <w:b w:val="0"/>
                <w:sz w:val="16"/>
              </w:rPr>
              <w:t>num__temp_min</w:t>
            </w:r>
          </w:p>
        </w:tc>
        <w:tc>
          <w:tcPr>
            <w:tcW w:type="dxa" w:w="4674"/>
            <w:vAlign w:val="center"/>
          </w:tcPr>
          <w:p>
            <w:pPr>
              <w:spacing w:after="0"/>
              <w:jc w:val="center"/>
            </w:pPr>
            <w:r/>
            <w:r>
              <w:rPr>
                <w:rFonts w:ascii="Times New Roman" w:hAnsi="Times New Roman" w:eastAsia="宋体"/>
                <w:b w:val="0"/>
                <w:sz w:val="16"/>
              </w:rPr>
              <w:t>103</w:t>
            </w:r>
          </w:p>
        </w:tc>
      </w:tr>
      <w:tr>
        <w:tc>
          <w:tcPr>
            <w:tcW w:type="dxa" w:w="4674"/>
            <w:vAlign w:val="center"/>
          </w:tcPr>
          <w:p>
            <w:pPr>
              <w:spacing w:after="0"/>
              <w:jc w:val="center"/>
            </w:pPr>
            <w:r/>
            <w:r>
              <w:rPr>
                <w:rFonts w:ascii="Times New Roman" w:hAnsi="Times New Roman" w:eastAsia="宋体"/>
                <w:b w:val="0"/>
                <w:sz w:val="16"/>
              </w:rPr>
              <w:t>num__spo2_min</w:t>
            </w:r>
          </w:p>
        </w:tc>
        <w:tc>
          <w:tcPr>
            <w:tcW w:type="dxa" w:w="4674"/>
            <w:vAlign w:val="center"/>
          </w:tcPr>
          <w:p>
            <w:pPr>
              <w:spacing w:after="0"/>
              <w:jc w:val="center"/>
            </w:pPr>
            <w:r/>
            <w:r>
              <w:rPr>
                <w:rFonts w:ascii="Times New Roman" w:hAnsi="Times New Roman" w:eastAsia="宋体"/>
                <w:b w:val="0"/>
                <w:sz w:val="16"/>
              </w:rPr>
              <w:t>101</w:t>
            </w:r>
          </w:p>
        </w:tc>
      </w:tr>
      <w:tr>
        <w:tc>
          <w:tcPr>
            <w:tcW w:type="dxa" w:w="4674"/>
            <w:vAlign w:val="center"/>
          </w:tcPr>
          <w:p>
            <w:pPr>
              <w:spacing w:after="0"/>
              <w:jc w:val="center"/>
            </w:pPr>
            <w:r/>
            <w:r>
              <w:rPr>
                <w:rFonts w:ascii="Times New Roman" w:hAnsi="Times New Roman" w:eastAsia="宋体"/>
                <w:b w:val="0"/>
                <w:sz w:val="16"/>
              </w:rPr>
              <w:t>num__na_max</w:t>
            </w:r>
          </w:p>
        </w:tc>
        <w:tc>
          <w:tcPr>
            <w:tcW w:type="dxa" w:w="4674"/>
            <w:vAlign w:val="center"/>
          </w:tcPr>
          <w:p>
            <w:pPr>
              <w:spacing w:after="0"/>
              <w:jc w:val="center"/>
            </w:pPr>
            <w:r/>
            <w:r>
              <w:rPr>
                <w:rFonts w:ascii="Times New Roman" w:hAnsi="Times New Roman" w:eastAsia="宋体"/>
                <w:b w:val="0"/>
                <w:sz w:val="16"/>
              </w:rPr>
              <w:t>98</w:t>
            </w:r>
          </w:p>
        </w:tc>
      </w:tr>
    </w:tbl>
    <w:p/>
    <w:p>
      <w:pPr>
        <w:pStyle w:val="Heading1"/>
        <w:spacing w:before="160" w:after="100"/>
      </w:pPr>
      <w:r>
        <w:rPr>
          <w:rFonts w:ascii="Times New Roman" w:hAnsi="Times New Roman" w:eastAsia="黑体"/>
          <w:b/>
          <w:color w:val="000000"/>
          <w:sz w:val="30"/>
        </w:rPr>
        <w:t>4 讨论</w:t>
      </w:r>
    </w:p>
    <w:p>
      <w:pPr>
        <w:pStyle w:val="Heading2"/>
        <w:spacing w:before="100" w:after="100"/>
      </w:pPr>
      <w:r>
        <w:rPr>
          <w:rFonts w:ascii="Times New Roman" w:hAnsi="Times New Roman" w:eastAsia="黑体"/>
          <w:b/>
          <w:color w:val="000000"/>
          <w:sz w:val="26"/>
        </w:rPr>
        <w:t>4.1 主要发现</w:t>
      </w:r>
    </w:p>
    <w:p>
      <w:pPr>
        <w:spacing w:line="324" w:lineRule="auto" w:after="100"/>
        <w:ind w:firstLine="420"/>
      </w:pPr>
      <w:r>
        <w:rPr>
          <w:rFonts w:ascii="Times New Roman" w:hAnsi="Times New Roman" w:eastAsia="宋体"/>
          <w:sz w:val="22"/>
        </w:rPr>
        <w:t>本研究基于 51838 例 ICU 患者构建 28 天死亡风险预测模型，最佳模型 LightGBM 的测试集 AUROC 达到 0.874，说明入 ICU 后前 24 小时的常规结构化数据包含较强的短期死亡预测信息。该结局定义明确，事件数充足，模型区分度较高，具有较好的研究稳定性和临床解释价值。</w:t>
      </w:r>
    </w:p>
    <w:p>
      <w:pPr>
        <w:pStyle w:val="Heading2"/>
        <w:spacing w:before="100" w:after="100"/>
      </w:pPr>
      <w:r>
        <w:rPr>
          <w:rFonts w:ascii="Times New Roman" w:hAnsi="Times New Roman" w:eastAsia="黑体"/>
          <w:b/>
          <w:color w:val="000000"/>
          <w:sz w:val="26"/>
        </w:rPr>
        <w:t>4.2 医学意义</w:t>
      </w:r>
    </w:p>
    <w:p>
      <w:pPr>
        <w:spacing w:line="324" w:lineRule="auto" w:after="100"/>
        <w:ind w:firstLine="420"/>
      </w:pPr>
      <w:r>
        <w:rPr>
          <w:rFonts w:ascii="Times New Roman" w:hAnsi="Times New Roman" w:eastAsia="宋体"/>
          <w:sz w:val="22"/>
        </w:rPr>
        <w:t>特征重要性结果与临床认知基本一致。年龄代表患者基础脆弱性和恢复储备；SpO2、呼吸频率和心率反映呼吸循环负荷；体温和 WBC 与感染、炎症和应激状态相关；BUN、肌酐和电解质反映肾功能与内环境紊乱；血压相关变量提示循环灌注状态。这些因素共同影响 ICU 患者短期预后，也解释了模型能够取得较好区分度的原因。</w:t>
      </w:r>
    </w:p>
    <w:p>
      <w:pPr>
        <w:pStyle w:val="Heading2"/>
        <w:spacing w:before="100" w:after="100"/>
      </w:pPr>
      <w:r>
        <w:rPr>
          <w:rFonts w:ascii="Times New Roman" w:hAnsi="Times New Roman" w:eastAsia="黑体"/>
          <w:b/>
          <w:color w:val="000000"/>
          <w:sz w:val="26"/>
        </w:rPr>
        <w:t>4.3 临床应用前景</w:t>
      </w:r>
    </w:p>
    <w:p>
      <w:pPr>
        <w:spacing w:line="324" w:lineRule="auto" w:after="100"/>
        <w:ind w:firstLine="420"/>
      </w:pPr>
      <w:r>
        <w:rPr>
          <w:rFonts w:ascii="Times New Roman" w:hAnsi="Times New Roman" w:eastAsia="宋体"/>
          <w:sz w:val="22"/>
        </w:rPr>
        <w:t>该模型可作为 ICU 入科早期风险分层工具的研究基础。对于预测为高风险的患者，临床团队可进一步结合病情评估、器官支持需求和治疗目标，优化监护频率、资源配置和医患沟通。但模型输出不应替代临床判断，而应作为辅助信息使用。</w:t>
      </w:r>
    </w:p>
    <w:p>
      <w:pPr>
        <w:pStyle w:val="Heading2"/>
        <w:spacing w:before="100" w:after="100"/>
      </w:pPr>
      <w:r>
        <w:rPr>
          <w:rFonts w:ascii="Times New Roman" w:hAnsi="Times New Roman" w:eastAsia="黑体"/>
          <w:b/>
          <w:color w:val="000000"/>
          <w:sz w:val="26"/>
        </w:rPr>
        <w:t>4.4 局限性</w:t>
      </w:r>
    </w:p>
    <w:p>
      <w:pPr>
        <w:spacing w:line="324" w:lineRule="auto" w:after="100"/>
        <w:ind w:firstLine="420"/>
      </w:pPr>
      <w:r>
        <w:rPr>
          <w:rFonts w:ascii="Times New Roman" w:hAnsi="Times New Roman" w:eastAsia="宋体"/>
          <w:sz w:val="22"/>
        </w:rPr>
        <w:t>本研究仍存在一定局限。第一，研究基于回顾性数据库，可能受到数据缺失、测量偏倚和未观测混杂因素影响。第二，当前模型仅使用结构化变量，尚未纳入诊断、用药、治疗措施、护理记录和时间序列动态变化等信息。第三，模型尚未进行外部验证，泛化能力仍需在其他医院或数据集中进一步评估。第四，特征重要性反映的是模型预测贡献，不能直接解释为因果关系。</w:t>
      </w:r>
    </w:p>
    <w:p>
      <w:pPr>
        <w:pStyle w:val="Heading1"/>
        <w:spacing w:before="160" w:after="100"/>
      </w:pPr>
      <w:r>
        <w:rPr>
          <w:rFonts w:ascii="Times New Roman" w:hAnsi="Times New Roman" w:eastAsia="黑体"/>
          <w:b/>
          <w:color w:val="000000"/>
          <w:sz w:val="30"/>
        </w:rPr>
        <w:t>5 结论</w:t>
      </w:r>
    </w:p>
    <w:p>
      <w:pPr>
        <w:spacing w:line="324" w:lineRule="auto" w:after="100"/>
        <w:ind w:firstLine="420"/>
      </w:pPr>
      <w:r>
        <w:rPr>
          <w:rFonts w:ascii="Times New Roman" w:hAnsi="Times New Roman" w:eastAsia="宋体"/>
          <w:sz w:val="22"/>
        </w:rPr>
        <w:t>本研究构建了基于 MIMIC-IV 衍生数据集的 ICU 患者 28 天死亡风险预测模型。结果显示，LightGBM 在测试集中取得较好的预测性能，AUROC 为 0.874，bootstrap 95% 置信区间为 0.865-0.883。模型重要特征具有较好的医学解释性，提示入 ICU 早期常规临床数据可用于短期死亡风险分层。未来研究应进一步开展外部验证，并结合更多动态临床信息提升模型稳定性和临床可用性。</w:t>
      </w:r>
    </w:p>
    <w:p>
      <w:pPr>
        <w:pStyle w:val="Heading1"/>
        <w:spacing w:before="160" w:after="100"/>
      </w:pPr>
      <w:r>
        <w:rPr>
          <w:rFonts w:ascii="Times New Roman" w:hAnsi="Times New Roman" w:eastAsia="黑体"/>
          <w:b/>
          <w:color w:val="000000"/>
          <w:sz w:val="30"/>
        </w:rPr>
        <w:t>参考文献</w:t>
      </w:r>
    </w:p>
    <w:p>
      <w:pPr>
        <w:spacing w:line="288" w:lineRule="auto"/>
        <w:ind w:hanging="283" w:left="283"/>
      </w:pPr>
      <w:r>
        <w:rPr>
          <w:rFonts w:ascii="Times New Roman" w:hAnsi="Times New Roman" w:eastAsia="宋体"/>
          <w:sz w:val="20"/>
        </w:rPr>
        <w:t>[1] Johnson A E W, Bulgarelli L, Shen L, et al. MIMIC-IV, a freely accessible electronic health record dataset [J]. Scientific Data, 2023, 10: 1.</w:t>
      </w:r>
    </w:p>
    <w:p>
      <w:pPr>
        <w:spacing w:line="288" w:lineRule="auto"/>
        <w:ind w:hanging="283" w:left="283"/>
      </w:pPr>
      <w:r>
        <w:rPr>
          <w:rFonts w:ascii="Times New Roman" w:hAnsi="Times New Roman" w:eastAsia="宋体"/>
          <w:sz w:val="20"/>
        </w:rPr>
        <w:t>[2] Goldberger A L, Amaral L A N, Glass L, et al. PhysioBank, PhysioToolkit, and PhysioNet: Components of a new research resource for complex physiologic signals [J]. Circulation, 2000, 101(23): e215-e220.</w:t>
      </w:r>
    </w:p>
    <w:p>
      <w:pPr>
        <w:spacing w:line="288" w:lineRule="auto"/>
        <w:ind w:hanging="283" w:left="283"/>
      </w:pPr>
      <w:r>
        <w:rPr>
          <w:rFonts w:ascii="Times New Roman" w:hAnsi="Times New Roman" w:eastAsia="宋体"/>
          <w:sz w:val="20"/>
        </w:rPr>
        <w:t>[3] Harrell F E. Regression Modeling Strategies: With Applications to Linear Models, Logistic and Ordinal Regression, and Survival Analysis [M]. Springer, 2015.</w:t>
      </w:r>
    </w:p>
    <w:p>
      <w:pPr>
        <w:spacing w:line="288" w:lineRule="auto"/>
        <w:ind w:hanging="283" w:left="283"/>
      </w:pPr>
      <w:r>
        <w:rPr>
          <w:rFonts w:ascii="Times New Roman" w:hAnsi="Times New Roman" w:eastAsia="宋体"/>
          <w:sz w:val="20"/>
        </w:rPr>
        <w:t>[4] Lundberg S M, Lee S I. A unified approach to interpreting model predictions [C]. Advances in Neural Information Processing Systems, 2017.</w:t>
      </w:r>
    </w:p>
    <w:p>
      <w:pPr>
        <w:spacing w:line="288" w:lineRule="auto"/>
        <w:ind w:hanging="283" w:left="283"/>
      </w:pPr>
      <w:r>
        <w:rPr>
          <w:rFonts w:ascii="Times New Roman" w:hAnsi="Times New Roman" w:eastAsia="宋体"/>
          <w:sz w:val="20"/>
        </w:rPr>
        <w:t>[5] Steyerberg E W. Clinical Prediction Models: A Practical Approach to Development, Validation, and Updating [M]. Springer, 2019.</w:t>
      </w:r>
    </w:p>
    <w:p>
      <w:pPr>
        <w:spacing w:line="288" w:lineRule="auto"/>
        <w:ind w:hanging="283" w:left="283"/>
      </w:pPr>
      <w:r>
        <w:rPr>
          <w:rFonts w:ascii="Times New Roman" w:hAnsi="Times New Roman" w:eastAsia="宋体"/>
          <w:sz w:val="20"/>
        </w:rPr>
        <w:t>[6] Rajkomar A, Dean J, Kohane I. Machine learning in medicine [J]. New England Journal of Medicine, 2019, 380(14): 1347-1358.</w:t>
      </w:r>
    </w:p>
    <w:p>
      <w:pPr>
        <w:spacing w:line="288" w:lineRule="auto"/>
        <w:ind w:hanging="283" w:left="283"/>
      </w:pPr>
      <w:r>
        <w:rPr>
          <w:rFonts w:ascii="Times New Roman" w:hAnsi="Times New Roman" w:eastAsia="宋体"/>
          <w:sz w:val="20"/>
        </w:rPr>
        <w:t>[7] Liu V X, Escobar G J, Greene J D, et al. The expected trajectory of acute organ failure after admission to a general intensive care unit [J]. Critical Care Medicine, 2013, 41(3): 599-608.</w:t>
      </w:r>
    </w:p>
    <w:p>
      <w:pPr>
        <w:spacing w:line="288" w:lineRule="auto"/>
        <w:ind w:hanging="283" w:left="283"/>
      </w:pPr>
      <w:r>
        <w:rPr>
          <w:rFonts w:ascii="Times New Roman" w:hAnsi="Times New Roman" w:eastAsia="宋体"/>
          <w:sz w:val="20"/>
        </w:rPr>
        <w:t>[8] Shillan D, Sterne J A C, Champneys A, Gibbison B. Use of machine learning to analyse routinely collected intensive care unit data: a systematic review [J]. Critical Care, 2019, 23: 284.</w:t>
      </w:r>
    </w:p>
    <w:sectPr w:rsidR="00FC693F" w:rsidRPr="0006063C" w:rsidSect="00034616">
      <w:pgSz w:w="12240" w:h="15840"/>
      <w:pgMar w:top="1417" w:right="136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