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336D13">
      <w:pPr>
        <w:jc w:val="center"/>
      </w:pPr>
      <w:r>
        <w:rPr>
          <w:rFonts w:ascii="Times New Roman" w:hAnsi="Times New Roman" w:eastAsia="黑体"/>
          <w:b/>
          <w:sz w:val="32"/>
        </w:rPr>
        <w:t>基于MIMIC-IV早期结构化数据的ICU患者28天死亡风险预测研究</w:t>
      </w:r>
    </w:p>
    <w:p w14:paraId="4BE147E7">
      <w:pPr>
        <w:jc w:val="center"/>
      </w:pPr>
      <w:r>
        <w:rPr>
          <w:rFonts w:ascii="Times New Roman" w:hAnsi="Times New Roman" w:eastAsia="宋体"/>
          <w:b/>
          <w:sz w:val="18"/>
        </w:rPr>
        <w:t>方明正</w:t>
      </w:r>
    </w:p>
    <w:p w14:paraId="10D78D6E">
      <w:pPr>
        <w:jc w:val="center"/>
      </w:pPr>
      <w:r>
        <w:rPr>
          <w:rFonts w:ascii="Times New Roman" w:hAnsi="Times New Roman" w:eastAsia="仿宋"/>
          <w:b w:val="0"/>
          <w:sz w:val="16"/>
        </w:rPr>
        <w:t>信息学院 软件工程，2022级</w:t>
      </w:r>
    </w:p>
    <w:p w14:paraId="2A5DC7C6">
      <w:pPr>
        <w:spacing w:after="60" w:line="259" w:lineRule="auto"/>
      </w:pPr>
      <w:r>
        <w:rPr>
          <w:rFonts w:ascii="Times New Roman" w:hAnsi="Times New Roman" w:eastAsia="宋体"/>
          <w:b w:val="0"/>
          <w:sz w:val="18"/>
        </w:rPr>
        <w:t>摘 要  ICU患者短期死亡风险高，已有基于MIMIC数据库的死亡预测研究多集中于模型性能比较，但对概率校准、缺失机制、特征来源贡献和解释稳定性的系统分析相对不足。为提升研究的临床可用性和方法学规范性，基于MIMIC-IV衍生结构化数据构建ICU患者28天死亡风险预测模型，并围绕校准、缺失模式和解释稳定性重构实验方案。纳入ICU住院时长不少于24小时且结局明确的患者51838例，其中28天内死亡6935例，事件率为13.38%。预测变量包括人口学信息、首次ICU入科单元、入ICU后前24小时生命体征和实验室指标。采用分层训练/测试划分和交叉验证比较Logistic回归、决策树、随机森林、ExtraTrees、HistGradientBoosting、XGBoost、LightGBM和CatBoost等模型，并进一步开展特征组消融、缺失指示与缺失负担特征、概率校准和SHAP稳定性实验。结果显示，基线模型中LightGBM取得最高测试集AUROC（0.874），AUPRC为0.556；校准实验中HistGradientBoosting经sigmoid校准后Brier score最低（0.083）。消融结果表明实验室指标和24小时摘要统计是主要信息来源，缺失模式特征可进一步提升三类梯度提升模型的AUROC和AUPRC。SHAP稳定性分析显示年龄、阴离子间隙、尿素氮、呼吸频率、血氧饱和度和ICU单元等特征在重复抽样中稳定出现。研究表明，早期结构化ICU数据可用于28天死亡风险分层；相比单纯追求最高AUROC，综合校准、缺失机制、消融和解释稳定性的评估框架更有助于形成可复现、可解释且面向临床使用边界的预测模型。</w:t>
      </w:r>
      <w:bookmarkStart w:id="0" w:name="_GoBack"/>
      <w:bookmarkEnd w:id="0"/>
    </w:p>
    <w:p w14:paraId="070DE4F4">
      <w:r>
        <w:rPr>
          <w:rFonts w:ascii="Times New Roman" w:hAnsi="Times New Roman" w:eastAsia="宋体"/>
          <w:b/>
          <w:sz w:val="18"/>
        </w:rPr>
        <w:t>关键词：MIMIC-IV；ICU；28天死亡；机器学习；模型校准；缺失机制；SHAP</w:t>
      </w:r>
    </w:p>
    <w:p w14:paraId="0F04A849">
      <w:pPr>
        <w:jc w:val="center"/>
      </w:pPr>
      <w:r>
        <w:rPr>
          <w:rFonts w:ascii="Times New Roman" w:hAnsi="Times New Roman" w:eastAsia="Times New Roman"/>
          <w:b/>
          <w:sz w:val="24"/>
        </w:rPr>
        <w:t>Prediction of 28-Day Mortality in ICU Patients Using Early Structured MIMIC-IV Data: A Reproducible Study of Calibration, Missingness, Ablation, and Explanation Stability</w:t>
      </w:r>
    </w:p>
    <w:p w14:paraId="1C8AA4BA">
      <w:pPr>
        <w:spacing w:after="60" w:line="259" w:lineRule="auto"/>
      </w:pPr>
      <w:r>
        <w:rPr>
          <w:rFonts w:ascii="Times New Roman" w:hAnsi="Times New Roman" w:eastAsia="宋体"/>
          <w:b w:val="0"/>
          <w:sz w:val="18"/>
        </w:rPr>
        <w:t>Abstract  Short-term mortality prediction in the intensive care unit has been widely studied with public critical-care databases, yet many studies emphasize model discrimination while paying less attention to calibration, informative missingness, feature-source contribution, and explanation stability. This study developed a reproducible 28-day mortality prediction workflow using structured variables from the first 24 hours after ICU admission in a MIMIC-IV-derived cohort. Patients with an ICU length of stay of at least 24 hours and available 28-day mortality labels were included. The final cohort contained 51838 ICU records, including 6935 deaths within 28 days. Candidate predictors included demographics, first care unit, vital signs, and laboratory measurements. Eight baseline models were compared using stratified train-test split and cross-validation, followed by additional experiments on feature ablation, missingness indicators, group-level missingness burden, probability calibration, risk stratification, and SHAP-based explanation stability. LightGBM achieved the highest baseline test AUROC of 0.874, with an AUPRC of 0.556. In the calibration analysis, HistGradientBoosting with sigmoid calibration achieved the lowest Brier score of 0.083. Ablation experiments indicated that laboratory variables and 24-hour summary features contributed substantial predictive information, while missingness-aware features improved discrimination and precision-recall performance across selected gradient boosting models. Stable SHAP features included age, anion gap, blood urea nitrogen, respiratory rate, oxygen saturation, and first care unit. These results suggest that early structured ICU data are informative for 28-day mortality prediction, and that clinically oriented evaluation should move beyond AUROC-only model selection toward calibration-aware, missingness-aware, and stability-aware assessment.</w:t>
      </w:r>
    </w:p>
    <w:p w14:paraId="0E1F8C24">
      <w:r>
        <w:rPr>
          <w:rFonts w:ascii="Times New Roman" w:hAnsi="Times New Roman" w:eastAsia="Times New Roman"/>
          <w:b/>
          <w:sz w:val="18"/>
        </w:rPr>
        <w:t>Keywords  MIMIC-IV; intensive care unit; 28-day mortality; machine learning; calibration; missingness; SHAP</w:t>
      </w:r>
    </w:p>
    <w:p w14:paraId="1F4F53D2">
      <w:pPr>
        <w:sectPr>
          <w:pgSz w:w="11906" w:h="16838"/>
          <w:pgMar w:top="1020" w:right="964" w:bottom="1020" w:left="964" w:header="720" w:footer="720" w:gutter="0"/>
          <w:cols w:space="720" w:num="1"/>
          <w:docGrid w:linePitch="360" w:charSpace="0"/>
        </w:sectPr>
      </w:pPr>
    </w:p>
    <w:p w14:paraId="4B7C0B5F">
      <w:pPr>
        <w:keepNext/>
        <w:spacing w:before="160" w:after="80"/>
      </w:pPr>
      <w:r>
        <w:rPr>
          <w:rFonts w:ascii="Times New Roman" w:hAnsi="Times New Roman" w:eastAsia="黑体"/>
          <w:b/>
          <w:sz w:val="20"/>
        </w:rPr>
        <w:t>1 引言</w:t>
      </w:r>
    </w:p>
    <w:p w14:paraId="2C293C9D">
      <w:pPr>
        <w:spacing w:after="60" w:line="259" w:lineRule="auto"/>
        <w:ind w:firstLine="360"/>
      </w:pPr>
      <w:r>
        <w:rPr>
          <w:rFonts w:ascii="Times New Roman" w:hAnsi="Times New Roman" w:eastAsia="宋体"/>
          <w:b w:val="0"/>
          <w:sz w:val="18"/>
        </w:rPr>
        <w:t>ICU患者病情变化快、短期死亡风险高，入科早期进行客观风险分层有助于识别高危患者、优化监护强度和支持资源配置。随着电子健康记录和开放重症数据库的发展，基于MIMIC数据的ICU预后预测研究逐渐增多。现有研究通常通过机器学习模型整合生命体征和实验室指标，并以AUROC作为主要评价指标。</w:t>
      </w:r>
    </w:p>
    <w:p w14:paraId="6FB5269C">
      <w:pPr>
        <w:spacing w:after="60" w:line="259" w:lineRule="auto"/>
        <w:ind w:firstLine="360"/>
      </w:pPr>
      <w:r>
        <w:rPr>
          <w:rFonts w:ascii="Times New Roman" w:hAnsi="Times New Roman" w:eastAsia="宋体"/>
          <w:b w:val="0"/>
          <w:sz w:val="18"/>
        </w:rPr>
        <w:t>然而，类似研究已经较多，若仅停留在“使用MIMIC-IV、比较多个机器学习模型、用SHAP解释最佳模型”的路径上，创新性不足。临床风险模型不仅需要较好的区分能力，还需要概率校准可靠、缺失处理透明、特征贡献可解释、解释结果稳定。本研究据此将重点从单纯模型排行榜转向面向临床可用性的评估框架。</w:t>
      </w:r>
    </w:p>
    <w:p w14:paraId="0410905E">
      <w:pPr>
        <w:spacing w:after="60" w:line="259" w:lineRule="auto"/>
        <w:ind w:firstLine="360"/>
      </w:pPr>
      <w:r>
        <w:rPr>
          <w:rFonts w:ascii="Times New Roman" w:hAnsi="Times New Roman" w:eastAsia="宋体"/>
          <w:b w:val="0"/>
          <w:sz w:val="18"/>
        </w:rPr>
        <w:t>研究贡献主要包括：第一，在基线模型比较基础上同步评价AUROC、AUPRC、Brier score、阈值指标和bootstrap不确定性；第二，将缺失指示和特征组缺失负担作为临床监测强度的代理信息纳入实验；第三，通过人口学、生命体征、实验室指标、首次值和24小时摘要特征消融回答模型信息来源；第四，采用重复抽样的SHAP稳定性分析，区分稳定预测特征和单次解释结果。</w:t>
      </w:r>
    </w:p>
    <w:p w14:paraId="3FA218DB">
      <w:pPr>
        <w:keepNext/>
        <w:spacing w:before="160" w:after="80"/>
      </w:pPr>
      <w:r>
        <w:rPr>
          <w:rFonts w:ascii="Times New Roman" w:hAnsi="Times New Roman" w:eastAsia="黑体"/>
          <w:b/>
          <w:sz w:val="20"/>
        </w:rPr>
        <w:t>2 相关工作</w:t>
      </w:r>
    </w:p>
    <w:p w14:paraId="28D487FF">
      <w:pPr>
        <w:spacing w:after="60" w:line="259" w:lineRule="auto"/>
        <w:ind w:firstLine="360"/>
      </w:pPr>
      <w:r>
        <w:rPr>
          <w:rFonts w:ascii="Times New Roman" w:hAnsi="Times New Roman" w:eastAsia="宋体"/>
          <w:b w:val="0"/>
          <w:sz w:val="18"/>
        </w:rPr>
        <w:t>传统ICU评分系统如APACHE II、SAPS II和SOFA使用少量经过临床筛选的生理变量和固定权重描述病情严重程度，解释性强、应用历史长，但对电子病历中高维结构化变量和非线性关系的利用有限。</w:t>
      </w:r>
    </w:p>
    <w:p w14:paraId="4CB00E89">
      <w:pPr>
        <w:spacing w:after="60" w:line="259" w:lineRule="auto"/>
        <w:ind w:firstLine="360"/>
      </w:pPr>
      <w:r>
        <w:rPr>
          <w:rFonts w:ascii="Times New Roman" w:hAnsi="Times New Roman" w:eastAsia="宋体"/>
          <w:b w:val="0"/>
          <w:sz w:val="18"/>
        </w:rPr>
        <w:t>MIMIC-IV为真实世界ICU电子病历研究提供了可复现数据基础。Harutyunyan等建立的临床时间序列benchmark强调任务定义、时间窗和可复现处理的重要性。与这些工作一致，本研究明确预测时点为ICU入科后24小时，结局为入科后28天死亡。</w:t>
      </w:r>
    </w:p>
    <w:p w14:paraId="6407E96D">
      <w:pPr>
        <w:spacing w:after="60" w:line="259" w:lineRule="auto"/>
        <w:ind w:firstLine="360"/>
      </w:pPr>
      <w:r>
        <w:rPr>
          <w:rFonts w:ascii="Times New Roman" w:hAnsi="Times New Roman" w:eastAsia="宋体"/>
          <w:b w:val="0"/>
          <w:sz w:val="18"/>
        </w:rPr>
        <w:t>TRIPOD和TRIPOD+AI强调预测模型研究需透明报告研究对象、预测时点、变量可得性、缺失处理、模型选择和验证方式。因此，本研究将创新点定位于规范化实验设计和可用性验证，而非声称提出全新的算法。</w:t>
      </w:r>
    </w:p>
    <w:p w14:paraId="447C6DFB">
      <w:pPr>
        <w:keepNext/>
        <w:spacing w:before="160" w:after="80"/>
      </w:pPr>
      <w:r>
        <w:rPr>
          <w:rFonts w:ascii="Times New Roman" w:hAnsi="Times New Roman" w:eastAsia="黑体"/>
          <w:b/>
          <w:sz w:val="20"/>
        </w:rPr>
        <w:t>3 资料与方法</w:t>
      </w:r>
    </w:p>
    <w:p w14:paraId="0E275E27">
      <w:pPr>
        <w:keepNext/>
        <w:spacing w:before="100" w:after="80"/>
      </w:pPr>
      <w:r>
        <w:rPr>
          <w:rFonts w:ascii="Times New Roman" w:hAnsi="Times New Roman" w:eastAsia="黑体"/>
          <w:b/>
          <w:sz w:val="18"/>
        </w:rPr>
        <w:t>3.1 数据来源与研究对象</w:t>
      </w:r>
    </w:p>
    <w:p w14:paraId="5313AEB2">
      <w:pPr>
        <w:spacing w:after="60" w:line="259" w:lineRule="auto"/>
        <w:ind w:firstLine="360"/>
      </w:pPr>
      <w:r>
        <w:rPr>
          <w:rFonts w:ascii="Times New Roman" w:hAnsi="Times New Roman" w:eastAsia="宋体"/>
          <w:b w:val="0"/>
          <w:sz w:val="18"/>
        </w:rPr>
        <w:t>研究使用MIMIC-IV衍生分析数据集ch3_analysis_dataset。纳入标准为ICU住院时长可用、ICU住院时长不少于24小时且28天死亡结局可用。最终纳入51838例ICU记录，其中28天内死亡6935例，事件率为13.38%。</w:t>
      </w:r>
    </w:p>
    <w:p w14:paraId="65317644">
      <w:pPr>
        <w:keepNext/>
        <w:spacing w:before="100" w:after="80"/>
      </w:pPr>
      <w:r>
        <w:rPr>
          <w:rFonts w:ascii="Times New Roman" w:hAnsi="Times New Roman" w:eastAsia="黑体"/>
          <w:b/>
          <w:sz w:val="18"/>
        </w:rPr>
        <w:t>3.2 结局与预测变量</w:t>
      </w:r>
    </w:p>
    <w:p w14:paraId="43FF237F">
      <w:pPr>
        <w:spacing w:after="60" w:line="259" w:lineRule="auto"/>
        <w:ind w:firstLine="360"/>
      </w:pPr>
      <w:r>
        <w:rPr>
          <w:rFonts w:ascii="Times New Roman" w:hAnsi="Times New Roman" w:eastAsia="宋体"/>
          <w:b w:val="0"/>
          <w:sz w:val="18"/>
        </w:rPr>
        <w:t>主要结局为ICU入科后28天内死亡，death_28d=1表示入科后28天内死亡，death_28d=0表示未在28天内死亡。预测变量包括年龄、性别、种族分组、首次ICU入科单元，以及入ICU后前24小时生命体征和实验室指标。数值特征包括first、mean、min和max等摘要统计，以表示早期状态和波动范围。</w:t>
      </w:r>
    </w:p>
    <w:p w14:paraId="75B25217">
      <w:pPr>
        <w:keepNext/>
        <w:spacing w:before="100" w:after="80"/>
      </w:pPr>
      <w:r>
        <w:rPr>
          <w:rFonts w:ascii="Times New Roman" w:hAnsi="Times New Roman" w:eastAsia="黑体"/>
          <w:b/>
          <w:sz w:val="18"/>
        </w:rPr>
        <w:t>3.3 建模流程</w:t>
      </w:r>
    </w:p>
    <w:p w14:paraId="2D087462">
      <w:pPr>
        <w:spacing w:after="60" w:line="259" w:lineRule="auto"/>
        <w:ind w:firstLine="360"/>
      </w:pPr>
      <w:r>
        <w:rPr>
          <w:rFonts w:ascii="Times New Roman" w:hAnsi="Times New Roman" w:eastAsia="宋体"/>
          <w:b w:val="0"/>
          <w:sz w:val="18"/>
        </w:rPr>
        <w:t>数据按8:2进行分层训练集/测试集划分。数值变量采用中位数填补并标准化，分类变量采用众数填补并one-hot编码。候选模型包括Logistic回归、决策树、随机森林、ExtraTrees、HistGradientBoosting、XGBoost、LightGBM和CatBoost。训练集内通过分层交叉验证选择模型参数，独立测试集用于最终评估。</w:t>
      </w:r>
    </w:p>
    <w:p w14:paraId="2651004B">
      <w:pPr>
        <w:keepNext/>
        <w:spacing w:before="100" w:after="80"/>
      </w:pPr>
      <w:r>
        <w:rPr>
          <w:rFonts w:ascii="Times New Roman" w:hAnsi="Times New Roman" w:eastAsia="黑体"/>
          <w:b/>
          <w:sz w:val="18"/>
        </w:rPr>
        <w:t>3.4 重构实验设计</w:t>
      </w:r>
    </w:p>
    <w:p w14:paraId="53E756AD">
      <w:pPr>
        <w:spacing w:after="60" w:line="259" w:lineRule="auto"/>
        <w:ind w:firstLine="360"/>
      </w:pPr>
      <w:r>
        <w:rPr>
          <w:rFonts w:ascii="Times New Roman" w:hAnsi="Times New Roman" w:eastAsia="宋体"/>
          <w:b w:val="0"/>
          <w:sz w:val="18"/>
        </w:rPr>
        <w:t>为突出区别于常规模型比较研究的创新点，新增四类实验：（1）特征组消融，比较人口学、生命体征、实验室指标、首次测量值、24小时摘要和完整特征；（2）缺失机制实验，在基础填补上加入数值变量缺失指示器和特征组缺失负担；（3）概率校准实验，比较未校准、sigmoid校准和isotonic校准；（4）解释稳定性实验，对树模型进行重复抽样SHAP分析，统计Top 10特征出现频率。</w:t>
      </w:r>
    </w:p>
    <w:p w14:paraId="0FBFF3A5">
      <w:pPr>
        <w:keepNext/>
        <w:spacing w:before="160" w:after="80"/>
      </w:pPr>
      <w:r>
        <w:rPr>
          <w:rFonts w:ascii="Times New Roman" w:hAnsi="Times New Roman" w:eastAsia="黑体"/>
          <w:b/>
          <w:sz w:val="20"/>
        </w:rPr>
        <w:t>4 实验结果</w:t>
      </w:r>
    </w:p>
    <w:p w14:paraId="775082ED">
      <w:pPr>
        <w:keepNext/>
        <w:spacing w:before="100" w:after="80"/>
      </w:pPr>
      <w:r>
        <w:rPr>
          <w:rFonts w:ascii="Times New Roman" w:hAnsi="Times New Roman" w:eastAsia="黑体"/>
          <w:b/>
          <w:sz w:val="18"/>
        </w:rPr>
        <w:t>4.1 基线模型性能</w:t>
      </w:r>
    </w:p>
    <w:p w14:paraId="43F6DE6D">
      <w:pPr>
        <w:spacing w:after="60" w:line="259" w:lineRule="auto"/>
        <w:ind w:firstLine="360"/>
      </w:pPr>
      <w:r>
        <w:rPr>
          <w:rFonts w:ascii="Times New Roman" w:hAnsi="Times New Roman" w:eastAsia="宋体"/>
          <w:b w:val="0"/>
          <w:sz w:val="18"/>
        </w:rPr>
        <w:t>如表1所列，LightGBM在基线模型中取得最高测试集AUROC（0.874）和AUPRC（0.556）。梯度提升类模型整体优于单棵决策树和传统线性模型，说明ICU早期结构化变量中存在明显的非线性预测信息。</w:t>
      </w:r>
    </w:p>
    <w:p w14:paraId="0B028035">
      <w:pPr>
        <w:keepNext/>
        <w:spacing w:after="60"/>
        <w:jc w:val="center"/>
      </w:pPr>
      <w:r>
        <w:rPr>
          <w:rFonts w:ascii="Times New Roman" w:hAnsi="Times New Roman" w:eastAsia="宋体"/>
          <w:b w:val="0"/>
          <w:sz w:val="14"/>
        </w:rPr>
        <w:t>表1  候选模型在测试集上的预测性能</w:t>
      </w:r>
      <w:r>
        <w:rPr>
          <w:rFonts w:ascii="Times New Roman" w:hAnsi="Times New Roman" w:eastAsia="宋体"/>
          <w:b w:val="0"/>
          <w:sz w:val="14"/>
        </w:rPr>
        <w:br w:type="textWrapping"/>
      </w:r>
      <w:r>
        <w:rPr>
          <w:rFonts w:ascii="Times New Roman" w:hAnsi="Times New Roman" w:eastAsia="宋体"/>
          <w:b w:val="0"/>
          <w:sz w:val="14"/>
        </w:rPr>
        <w:t>Table 1  Predictive performance of candidate models on the test set</w:t>
      </w:r>
    </w:p>
    <w:tbl>
      <w:tblPr>
        <w:tblStyle w:val="33"/>
        <w:tblW w:w="496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45"/>
        <w:gridCol w:w="1084"/>
        <w:gridCol w:w="1049"/>
        <w:gridCol w:w="788"/>
        <w:gridCol w:w="795"/>
      </w:tblGrid>
      <w:tr w14:paraId="2419E685">
        <w:trPr>
          <w:trHeight w:val="0" w:hRule="atLeast"/>
          <w:tblHeader/>
          <w:jc w:val="center"/>
        </w:trPr>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66718318">
            <w:pPr>
              <w:snapToGrid w:val="0"/>
              <w:spacing w:after="0" w:line="240" w:lineRule="auto"/>
              <w:ind w:left="0" w:leftChars="0" w:right="0" w:rightChars="0" w:firstLine="0" w:firstLineChars="0"/>
              <w:jc w:val="center"/>
              <w:rPr>
                <w:rFonts w:ascii="Times New Roman" w:eastAsia="宋体"/>
                <w:b/>
                <w:sz w:val="14"/>
              </w:rPr>
            </w:pPr>
            <w:r>
              <w:rPr>
                <w:rFonts w:ascii="Times New Roman" w:hAnsi="Times New Roman" w:eastAsia="宋体"/>
                <w:b/>
                <w:sz w:val="14"/>
              </w:rPr>
              <w:t>模型</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77588212">
            <w:pPr>
              <w:snapToGrid w:val="0"/>
              <w:spacing w:after="0" w:line="240" w:lineRule="auto"/>
              <w:ind w:left="0" w:leftChars="0" w:right="0" w:rightChars="0" w:firstLine="0" w:firstLineChars="0"/>
              <w:jc w:val="center"/>
              <w:rPr>
                <w:rFonts w:ascii="Times New Roman" w:eastAsia="宋体"/>
                <w:b/>
                <w:sz w:val="14"/>
              </w:rPr>
            </w:pPr>
            <w:r>
              <w:rPr>
                <w:rFonts w:ascii="Times New Roman" w:hAnsi="Times New Roman" w:eastAsia="宋体"/>
                <w:b/>
                <w:sz w:val="14"/>
              </w:rPr>
              <w:t>AUROC</w:t>
            </w:r>
          </w:p>
        </w:tc>
        <w:tc>
          <w:tcPr>
            <w:tcW w:w="1049"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526D174D">
            <w:pPr>
              <w:snapToGrid w:val="0"/>
              <w:spacing w:after="0" w:line="240" w:lineRule="auto"/>
              <w:ind w:left="0" w:leftChars="0" w:right="0" w:rightChars="0" w:firstLine="0" w:firstLineChars="0"/>
              <w:jc w:val="center"/>
              <w:rPr>
                <w:rFonts w:ascii="Times New Roman" w:eastAsia="宋体"/>
                <w:b/>
                <w:sz w:val="14"/>
              </w:rPr>
            </w:pPr>
            <w:r>
              <w:rPr>
                <w:rFonts w:ascii="Times New Roman" w:hAnsi="Times New Roman" w:eastAsia="宋体"/>
                <w:b/>
                <w:sz w:val="14"/>
              </w:rPr>
              <w:t>AUPRC</w:t>
            </w:r>
          </w:p>
        </w:tc>
        <w:tc>
          <w:tcPr>
            <w:tcW w:w="788"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38879B8D">
            <w:pPr>
              <w:snapToGrid w:val="0"/>
              <w:spacing w:after="0" w:line="240" w:lineRule="auto"/>
              <w:ind w:left="0" w:leftChars="0" w:right="0" w:rightChars="0" w:firstLine="0" w:firstLineChars="0"/>
              <w:jc w:val="center"/>
              <w:rPr>
                <w:rFonts w:ascii="Times New Roman" w:eastAsia="宋体"/>
                <w:b/>
                <w:sz w:val="14"/>
              </w:rPr>
            </w:pPr>
            <w:r>
              <w:rPr>
                <w:rFonts w:ascii="Times New Roman" w:hAnsi="Times New Roman" w:eastAsia="宋体"/>
                <w:b/>
                <w:sz w:val="14"/>
              </w:rPr>
              <w:t>F1</w:t>
            </w:r>
          </w:p>
        </w:tc>
        <w:tc>
          <w:tcPr>
            <w:tcW w:w="795"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39A9BFF9">
            <w:pPr>
              <w:snapToGrid w:val="0"/>
              <w:spacing w:after="0" w:line="240" w:lineRule="auto"/>
              <w:ind w:left="0" w:leftChars="0" w:right="0" w:rightChars="0" w:firstLine="0" w:firstLineChars="0"/>
              <w:jc w:val="center"/>
              <w:rPr>
                <w:rFonts w:ascii="Times New Roman" w:eastAsia="宋体"/>
                <w:b/>
                <w:sz w:val="14"/>
              </w:rPr>
            </w:pPr>
            <w:r>
              <w:rPr>
                <w:rFonts w:ascii="Times New Roman" w:hAnsi="Times New Roman" w:eastAsia="宋体"/>
                <w:b/>
                <w:sz w:val="14"/>
              </w:rPr>
              <w:t>Brier</w:t>
            </w:r>
          </w:p>
        </w:tc>
      </w:tr>
      <w:tr w14:paraId="4F1D3B7D">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6C10C39">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LightGBM</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89AECAD">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0.874</w:t>
            </w:r>
          </w:p>
        </w:tc>
        <w:tc>
          <w:tcPr>
            <w:tcW w:w="1049" w:type="dxa"/>
            <w:tcBorders>
              <w:top w:val="single" w:color="auto" w:sz="4" w:space="0"/>
              <w:left w:val="nil"/>
              <w:bottom w:val="nil"/>
              <w:right w:val="nil"/>
            </w:tcBorders>
            <w:noWrap w:val="0"/>
            <w:tcMar>
              <w:top w:w="-1" w:type="dxa"/>
              <w:left w:w="-1" w:type="dxa"/>
              <w:bottom w:w="-1" w:type="dxa"/>
              <w:right w:w="-1" w:type="dxa"/>
            </w:tcMar>
            <w:vAlign w:val="center"/>
          </w:tcPr>
          <w:p w14:paraId="166ABE3C">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0.556</w:t>
            </w:r>
          </w:p>
        </w:tc>
        <w:tc>
          <w:tcPr>
            <w:tcW w:w="788" w:type="dxa"/>
            <w:tcBorders>
              <w:top w:val="single" w:color="auto" w:sz="4" w:space="0"/>
              <w:left w:val="nil"/>
              <w:bottom w:val="nil"/>
              <w:right w:val="nil"/>
            </w:tcBorders>
            <w:noWrap w:val="0"/>
            <w:tcMar>
              <w:top w:w="-1" w:type="dxa"/>
              <w:left w:w="-1" w:type="dxa"/>
              <w:bottom w:w="-1" w:type="dxa"/>
              <w:right w:w="-1" w:type="dxa"/>
            </w:tcMar>
            <w:vAlign w:val="center"/>
          </w:tcPr>
          <w:p w14:paraId="058FFCC2">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0.538</w:t>
            </w:r>
          </w:p>
        </w:tc>
        <w:tc>
          <w:tcPr>
            <w:tcW w:w="795" w:type="dxa"/>
            <w:tcBorders>
              <w:top w:val="single" w:color="auto" w:sz="4" w:space="0"/>
              <w:left w:val="nil"/>
              <w:bottom w:val="nil"/>
              <w:right w:val="nil"/>
            </w:tcBorders>
            <w:noWrap w:val="0"/>
            <w:tcMar>
              <w:top w:w="-1" w:type="dxa"/>
              <w:left w:w="-1" w:type="dxa"/>
              <w:bottom w:w="-1" w:type="dxa"/>
              <w:right w:w="-1" w:type="dxa"/>
            </w:tcMar>
            <w:vAlign w:val="center"/>
          </w:tcPr>
          <w:p w14:paraId="1E6B3067">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0.132</w:t>
            </w:r>
          </w:p>
        </w:tc>
      </w:tr>
      <w:tr w14:paraId="727BC5C6">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4606B9E">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HGB</w:t>
            </w:r>
          </w:p>
        </w:tc>
        <w:tc>
          <w:tcPr>
            <w:tcW w:w="0" w:type="auto"/>
            <w:tcBorders>
              <w:top w:val="nil"/>
              <w:left w:val="nil"/>
              <w:bottom w:val="nil"/>
              <w:right w:val="nil"/>
            </w:tcBorders>
            <w:noWrap w:val="0"/>
            <w:tcMar>
              <w:top w:w="-1" w:type="dxa"/>
              <w:left w:w="-1" w:type="dxa"/>
              <w:bottom w:w="-1" w:type="dxa"/>
              <w:right w:w="-1" w:type="dxa"/>
            </w:tcMar>
            <w:vAlign w:val="center"/>
          </w:tcPr>
          <w:p w14:paraId="27571F31">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0.873</w:t>
            </w:r>
          </w:p>
        </w:tc>
        <w:tc>
          <w:tcPr>
            <w:tcW w:w="1049" w:type="dxa"/>
            <w:tcBorders>
              <w:top w:val="nil"/>
              <w:left w:val="nil"/>
              <w:bottom w:val="nil"/>
              <w:right w:val="nil"/>
            </w:tcBorders>
            <w:noWrap w:val="0"/>
            <w:tcMar>
              <w:top w:w="-1" w:type="dxa"/>
              <w:left w:w="-1" w:type="dxa"/>
              <w:bottom w:w="-1" w:type="dxa"/>
              <w:right w:w="-1" w:type="dxa"/>
            </w:tcMar>
            <w:vAlign w:val="center"/>
          </w:tcPr>
          <w:p w14:paraId="5A4A9AE7">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0.555</w:t>
            </w:r>
          </w:p>
        </w:tc>
        <w:tc>
          <w:tcPr>
            <w:tcW w:w="788" w:type="dxa"/>
            <w:tcBorders>
              <w:top w:val="nil"/>
              <w:left w:val="nil"/>
              <w:bottom w:val="nil"/>
              <w:right w:val="nil"/>
            </w:tcBorders>
            <w:noWrap w:val="0"/>
            <w:tcMar>
              <w:top w:w="-1" w:type="dxa"/>
              <w:left w:w="-1" w:type="dxa"/>
              <w:bottom w:w="-1" w:type="dxa"/>
              <w:right w:w="-1" w:type="dxa"/>
            </w:tcMar>
            <w:vAlign w:val="center"/>
          </w:tcPr>
          <w:p w14:paraId="4B90E30C">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0.534</w:t>
            </w:r>
          </w:p>
        </w:tc>
        <w:tc>
          <w:tcPr>
            <w:tcW w:w="795" w:type="dxa"/>
            <w:tcBorders>
              <w:top w:val="nil"/>
              <w:left w:val="nil"/>
              <w:bottom w:val="nil"/>
              <w:right w:val="nil"/>
            </w:tcBorders>
            <w:noWrap w:val="0"/>
            <w:tcMar>
              <w:top w:w="-1" w:type="dxa"/>
              <w:left w:w="-1" w:type="dxa"/>
              <w:bottom w:w="-1" w:type="dxa"/>
              <w:right w:w="-1" w:type="dxa"/>
            </w:tcMar>
            <w:vAlign w:val="center"/>
          </w:tcPr>
          <w:p w14:paraId="14D1F02C">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0.083</w:t>
            </w:r>
          </w:p>
        </w:tc>
      </w:tr>
      <w:tr w14:paraId="6349BA58">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4BCFB71">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XGBoost</w:t>
            </w:r>
          </w:p>
        </w:tc>
        <w:tc>
          <w:tcPr>
            <w:tcW w:w="0" w:type="auto"/>
            <w:tcBorders>
              <w:top w:val="nil"/>
              <w:left w:val="nil"/>
              <w:bottom w:val="nil"/>
              <w:right w:val="nil"/>
            </w:tcBorders>
            <w:noWrap w:val="0"/>
            <w:tcMar>
              <w:top w:w="-1" w:type="dxa"/>
              <w:left w:w="-1" w:type="dxa"/>
              <w:bottom w:w="-1" w:type="dxa"/>
              <w:right w:w="-1" w:type="dxa"/>
            </w:tcMar>
            <w:vAlign w:val="center"/>
          </w:tcPr>
          <w:p w14:paraId="360CBC48">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0.870</w:t>
            </w:r>
          </w:p>
        </w:tc>
        <w:tc>
          <w:tcPr>
            <w:tcW w:w="1049" w:type="dxa"/>
            <w:tcBorders>
              <w:top w:val="nil"/>
              <w:left w:val="nil"/>
              <w:bottom w:val="nil"/>
              <w:right w:val="nil"/>
            </w:tcBorders>
            <w:noWrap w:val="0"/>
            <w:tcMar>
              <w:top w:w="-1" w:type="dxa"/>
              <w:left w:w="-1" w:type="dxa"/>
              <w:bottom w:w="-1" w:type="dxa"/>
              <w:right w:w="-1" w:type="dxa"/>
            </w:tcMar>
            <w:vAlign w:val="center"/>
          </w:tcPr>
          <w:p w14:paraId="2CCE5A20">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0.546</w:t>
            </w:r>
          </w:p>
        </w:tc>
        <w:tc>
          <w:tcPr>
            <w:tcW w:w="788" w:type="dxa"/>
            <w:tcBorders>
              <w:top w:val="nil"/>
              <w:left w:val="nil"/>
              <w:bottom w:val="nil"/>
              <w:right w:val="nil"/>
            </w:tcBorders>
            <w:noWrap w:val="0"/>
            <w:tcMar>
              <w:top w:w="-1" w:type="dxa"/>
              <w:left w:w="-1" w:type="dxa"/>
              <w:bottom w:w="-1" w:type="dxa"/>
              <w:right w:w="-1" w:type="dxa"/>
            </w:tcMar>
            <w:vAlign w:val="center"/>
          </w:tcPr>
          <w:p w14:paraId="0032C47A">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0.527</w:t>
            </w:r>
          </w:p>
        </w:tc>
        <w:tc>
          <w:tcPr>
            <w:tcW w:w="795" w:type="dxa"/>
            <w:tcBorders>
              <w:top w:val="nil"/>
              <w:left w:val="nil"/>
              <w:bottom w:val="nil"/>
              <w:right w:val="nil"/>
            </w:tcBorders>
            <w:noWrap w:val="0"/>
            <w:tcMar>
              <w:top w:w="-1" w:type="dxa"/>
              <w:left w:w="-1" w:type="dxa"/>
              <w:bottom w:w="-1" w:type="dxa"/>
              <w:right w:w="-1" w:type="dxa"/>
            </w:tcMar>
            <w:vAlign w:val="center"/>
          </w:tcPr>
          <w:p w14:paraId="714B1306">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0.084</w:t>
            </w:r>
          </w:p>
        </w:tc>
      </w:tr>
      <w:tr w14:paraId="10A3ED05">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6B5142D">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CatBoost</w:t>
            </w:r>
          </w:p>
        </w:tc>
        <w:tc>
          <w:tcPr>
            <w:tcW w:w="0" w:type="auto"/>
            <w:tcBorders>
              <w:top w:val="nil"/>
              <w:left w:val="nil"/>
              <w:bottom w:val="nil"/>
              <w:right w:val="nil"/>
            </w:tcBorders>
            <w:noWrap w:val="0"/>
            <w:tcMar>
              <w:top w:w="-1" w:type="dxa"/>
              <w:left w:w="-1" w:type="dxa"/>
              <w:bottom w:w="-1" w:type="dxa"/>
              <w:right w:w="-1" w:type="dxa"/>
            </w:tcMar>
            <w:vAlign w:val="center"/>
          </w:tcPr>
          <w:p w14:paraId="775CE97E">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0.870</w:t>
            </w:r>
          </w:p>
        </w:tc>
        <w:tc>
          <w:tcPr>
            <w:tcW w:w="1049" w:type="dxa"/>
            <w:tcBorders>
              <w:top w:val="nil"/>
              <w:left w:val="nil"/>
              <w:bottom w:val="nil"/>
              <w:right w:val="nil"/>
            </w:tcBorders>
            <w:noWrap w:val="0"/>
            <w:tcMar>
              <w:top w:w="-1" w:type="dxa"/>
              <w:left w:w="-1" w:type="dxa"/>
              <w:bottom w:w="-1" w:type="dxa"/>
              <w:right w:w="-1" w:type="dxa"/>
            </w:tcMar>
            <w:vAlign w:val="center"/>
          </w:tcPr>
          <w:p w14:paraId="4FD83542">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0.533</w:t>
            </w:r>
          </w:p>
        </w:tc>
        <w:tc>
          <w:tcPr>
            <w:tcW w:w="788" w:type="dxa"/>
            <w:tcBorders>
              <w:top w:val="nil"/>
              <w:left w:val="nil"/>
              <w:bottom w:val="nil"/>
              <w:right w:val="nil"/>
            </w:tcBorders>
            <w:noWrap w:val="0"/>
            <w:tcMar>
              <w:top w:w="-1" w:type="dxa"/>
              <w:left w:w="-1" w:type="dxa"/>
              <w:bottom w:w="-1" w:type="dxa"/>
              <w:right w:w="-1" w:type="dxa"/>
            </w:tcMar>
            <w:vAlign w:val="center"/>
          </w:tcPr>
          <w:p w14:paraId="6B649CC7">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0.529</w:t>
            </w:r>
          </w:p>
        </w:tc>
        <w:tc>
          <w:tcPr>
            <w:tcW w:w="795" w:type="dxa"/>
            <w:tcBorders>
              <w:top w:val="nil"/>
              <w:left w:val="nil"/>
              <w:bottom w:val="nil"/>
              <w:right w:val="nil"/>
            </w:tcBorders>
            <w:noWrap w:val="0"/>
            <w:tcMar>
              <w:top w:w="-1" w:type="dxa"/>
              <w:left w:w="-1" w:type="dxa"/>
              <w:bottom w:w="-1" w:type="dxa"/>
              <w:right w:w="-1" w:type="dxa"/>
            </w:tcMar>
            <w:vAlign w:val="center"/>
          </w:tcPr>
          <w:p w14:paraId="66ACF5AC">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0.150</w:t>
            </w:r>
          </w:p>
        </w:tc>
      </w:tr>
      <w:tr w14:paraId="17691318">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704706A">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Logistic</w:t>
            </w:r>
          </w:p>
        </w:tc>
        <w:tc>
          <w:tcPr>
            <w:tcW w:w="0" w:type="auto"/>
            <w:tcBorders>
              <w:top w:val="nil"/>
              <w:left w:val="nil"/>
              <w:bottom w:val="nil"/>
              <w:right w:val="nil"/>
            </w:tcBorders>
            <w:noWrap w:val="0"/>
            <w:tcMar>
              <w:top w:w="-1" w:type="dxa"/>
              <w:left w:w="-1" w:type="dxa"/>
              <w:bottom w:w="-1" w:type="dxa"/>
              <w:right w:w="-1" w:type="dxa"/>
            </w:tcMar>
            <w:vAlign w:val="center"/>
          </w:tcPr>
          <w:p w14:paraId="4254E48F">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0.838</w:t>
            </w:r>
          </w:p>
        </w:tc>
        <w:tc>
          <w:tcPr>
            <w:tcW w:w="1049" w:type="dxa"/>
            <w:tcBorders>
              <w:top w:val="nil"/>
              <w:left w:val="nil"/>
              <w:bottom w:val="nil"/>
              <w:right w:val="nil"/>
            </w:tcBorders>
            <w:noWrap w:val="0"/>
            <w:tcMar>
              <w:top w:w="-1" w:type="dxa"/>
              <w:left w:w="-1" w:type="dxa"/>
              <w:bottom w:w="-1" w:type="dxa"/>
              <w:right w:w="-1" w:type="dxa"/>
            </w:tcMar>
            <w:vAlign w:val="center"/>
          </w:tcPr>
          <w:p w14:paraId="1DEBC278">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0.455</w:t>
            </w:r>
          </w:p>
        </w:tc>
        <w:tc>
          <w:tcPr>
            <w:tcW w:w="788" w:type="dxa"/>
            <w:tcBorders>
              <w:top w:val="nil"/>
              <w:left w:val="nil"/>
              <w:bottom w:val="nil"/>
              <w:right w:val="nil"/>
            </w:tcBorders>
            <w:noWrap w:val="0"/>
            <w:tcMar>
              <w:top w:w="-1" w:type="dxa"/>
              <w:left w:w="-1" w:type="dxa"/>
              <w:bottom w:w="-1" w:type="dxa"/>
              <w:right w:w="-1" w:type="dxa"/>
            </w:tcMar>
            <w:vAlign w:val="center"/>
          </w:tcPr>
          <w:p w14:paraId="7DCFC89D">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0.477</w:t>
            </w:r>
          </w:p>
        </w:tc>
        <w:tc>
          <w:tcPr>
            <w:tcW w:w="795" w:type="dxa"/>
            <w:tcBorders>
              <w:top w:val="nil"/>
              <w:left w:val="nil"/>
              <w:bottom w:val="nil"/>
              <w:right w:val="nil"/>
            </w:tcBorders>
            <w:noWrap w:val="0"/>
            <w:tcMar>
              <w:top w:w="-1" w:type="dxa"/>
              <w:left w:w="-1" w:type="dxa"/>
              <w:bottom w:w="-1" w:type="dxa"/>
              <w:right w:w="-1" w:type="dxa"/>
            </w:tcMar>
            <w:vAlign w:val="center"/>
          </w:tcPr>
          <w:p w14:paraId="5B6216B7">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0.167</w:t>
            </w:r>
          </w:p>
        </w:tc>
      </w:tr>
      <w:tr w14:paraId="519B7370">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E217C47">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ExtraTrees</w:t>
            </w:r>
          </w:p>
        </w:tc>
        <w:tc>
          <w:tcPr>
            <w:tcW w:w="0" w:type="auto"/>
            <w:tcBorders>
              <w:top w:val="nil"/>
              <w:left w:val="nil"/>
              <w:bottom w:val="nil"/>
              <w:right w:val="nil"/>
            </w:tcBorders>
            <w:noWrap w:val="0"/>
            <w:tcMar>
              <w:top w:w="-1" w:type="dxa"/>
              <w:left w:w="-1" w:type="dxa"/>
              <w:bottom w:w="-1" w:type="dxa"/>
              <w:right w:w="-1" w:type="dxa"/>
            </w:tcMar>
            <w:vAlign w:val="center"/>
          </w:tcPr>
          <w:p w14:paraId="64461839">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0.821</w:t>
            </w:r>
          </w:p>
        </w:tc>
        <w:tc>
          <w:tcPr>
            <w:tcW w:w="1049" w:type="dxa"/>
            <w:tcBorders>
              <w:top w:val="nil"/>
              <w:left w:val="nil"/>
              <w:bottom w:val="nil"/>
              <w:right w:val="nil"/>
            </w:tcBorders>
            <w:noWrap w:val="0"/>
            <w:tcMar>
              <w:top w:w="-1" w:type="dxa"/>
              <w:left w:w="-1" w:type="dxa"/>
              <w:bottom w:w="-1" w:type="dxa"/>
              <w:right w:w="-1" w:type="dxa"/>
            </w:tcMar>
            <w:vAlign w:val="center"/>
          </w:tcPr>
          <w:p w14:paraId="0818BA43">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0.444</w:t>
            </w:r>
          </w:p>
        </w:tc>
        <w:tc>
          <w:tcPr>
            <w:tcW w:w="788" w:type="dxa"/>
            <w:tcBorders>
              <w:top w:val="nil"/>
              <w:left w:val="nil"/>
              <w:bottom w:val="nil"/>
              <w:right w:val="nil"/>
            </w:tcBorders>
            <w:noWrap w:val="0"/>
            <w:tcMar>
              <w:top w:w="-1" w:type="dxa"/>
              <w:left w:w="-1" w:type="dxa"/>
              <w:bottom w:w="-1" w:type="dxa"/>
              <w:right w:w="-1" w:type="dxa"/>
            </w:tcMar>
            <w:vAlign w:val="center"/>
          </w:tcPr>
          <w:p w14:paraId="38B52B37">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0.445</w:t>
            </w:r>
          </w:p>
        </w:tc>
        <w:tc>
          <w:tcPr>
            <w:tcW w:w="795" w:type="dxa"/>
            <w:tcBorders>
              <w:top w:val="nil"/>
              <w:left w:val="nil"/>
              <w:bottom w:val="nil"/>
              <w:right w:val="nil"/>
            </w:tcBorders>
            <w:noWrap w:val="0"/>
            <w:tcMar>
              <w:top w:w="-1" w:type="dxa"/>
              <w:left w:w="-1" w:type="dxa"/>
              <w:bottom w:w="-1" w:type="dxa"/>
              <w:right w:w="-1" w:type="dxa"/>
            </w:tcMar>
            <w:vAlign w:val="center"/>
          </w:tcPr>
          <w:p w14:paraId="01467F11">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0.199</w:t>
            </w:r>
          </w:p>
        </w:tc>
      </w:tr>
      <w:tr w14:paraId="14AA4EAF">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196CF62">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RF</w:t>
            </w:r>
          </w:p>
        </w:tc>
        <w:tc>
          <w:tcPr>
            <w:tcW w:w="0" w:type="auto"/>
            <w:tcBorders>
              <w:top w:val="nil"/>
              <w:left w:val="nil"/>
              <w:bottom w:val="nil"/>
              <w:right w:val="nil"/>
            </w:tcBorders>
            <w:noWrap w:val="0"/>
            <w:tcMar>
              <w:top w:w="-1" w:type="dxa"/>
              <w:left w:w="-1" w:type="dxa"/>
              <w:bottom w:w="-1" w:type="dxa"/>
              <w:right w:w="-1" w:type="dxa"/>
            </w:tcMar>
            <w:vAlign w:val="center"/>
          </w:tcPr>
          <w:p w14:paraId="320F3D9F">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0.820</w:t>
            </w:r>
          </w:p>
        </w:tc>
        <w:tc>
          <w:tcPr>
            <w:tcW w:w="1049" w:type="dxa"/>
            <w:tcBorders>
              <w:top w:val="nil"/>
              <w:left w:val="nil"/>
              <w:bottom w:val="nil"/>
              <w:right w:val="nil"/>
            </w:tcBorders>
            <w:noWrap w:val="0"/>
            <w:tcMar>
              <w:top w:w="-1" w:type="dxa"/>
              <w:left w:w="-1" w:type="dxa"/>
              <w:bottom w:w="-1" w:type="dxa"/>
              <w:right w:w="-1" w:type="dxa"/>
            </w:tcMar>
            <w:vAlign w:val="center"/>
          </w:tcPr>
          <w:p w14:paraId="3C27CA23">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0.436</w:t>
            </w:r>
          </w:p>
        </w:tc>
        <w:tc>
          <w:tcPr>
            <w:tcW w:w="788" w:type="dxa"/>
            <w:tcBorders>
              <w:top w:val="nil"/>
              <w:left w:val="nil"/>
              <w:bottom w:val="nil"/>
              <w:right w:val="nil"/>
            </w:tcBorders>
            <w:noWrap w:val="0"/>
            <w:tcMar>
              <w:top w:w="-1" w:type="dxa"/>
              <w:left w:w="-1" w:type="dxa"/>
              <w:bottom w:w="-1" w:type="dxa"/>
              <w:right w:w="-1" w:type="dxa"/>
            </w:tcMar>
            <w:vAlign w:val="center"/>
          </w:tcPr>
          <w:p w14:paraId="44454444">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0.433</w:t>
            </w:r>
          </w:p>
        </w:tc>
        <w:tc>
          <w:tcPr>
            <w:tcW w:w="795" w:type="dxa"/>
            <w:tcBorders>
              <w:top w:val="nil"/>
              <w:left w:val="nil"/>
              <w:bottom w:val="nil"/>
              <w:right w:val="nil"/>
            </w:tcBorders>
            <w:noWrap w:val="0"/>
            <w:tcMar>
              <w:top w:w="-1" w:type="dxa"/>
              <w:left w:w="-1" w:type="dxa"/>
              <w:bottom w:w="-1" w:type="dxa"/>
              <w:right w:w="-1" w:type="dxa"/>
            </w:tcMar>
            <w:vAlign w:val="center"/>
          </w:tcPr>
          <w:p w14:paraId="7D9238E6">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0.177</w:t>
            </w:r>
          </w:p>
        </w:tc>
      </w:tr>
      <w:tr w14:paraId="012F7CBE">
        <w:trPr>
          <w:trHeight w:val="0" w:hRule="atLeast"/>
          <w:jc w:val="center"/>
        </w:trPr>
        <w:tc>
          <w:tcPr>
            <w:tcW w:w="1245" w:type="dxa"/>
            <w:tcBorders>
              <w:top w:val="nil"/>
              <w:left w:val="nil"/>
              <w:bottom w:val="single" w:color="auto" w:sz="12" w:space="0"/>
              <w:right w:val="nil"/>
            </w:tcBorders>
            <w:noWrap w:val="0"/>
            <w:tcMar>
              <w:top w:w="-1" w:type="dxa"/>
              <w:left w:w="-1" w:type="dxa"/>
              <w:bottom w:w="-1" w:type="dxa"/>
              <w:right w:w="-1" w:type="dxa"/>
            </w:tcMar>
            <w:vAlign w:val="center"/>
          </w:tcPr>
          <w:p w14:paraId="5CBFBF34">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Tree</w:t>
            </w:r>
          </w:p>
        </w:tc>
        <w:tc>
          <w:tcPr>
            <w:tcW w:w="1084" w:type="dxa"/>
            <w:tcBorders>
              <w:top w:val="nil"/>
              <w:left w:val="nil"/>
              <w:bottom w:val="single" w:color="auto" w:sz="12" w:space="0"/>
              <w:right w:val="nil"/>
            </w:tcBorders>
            <w:noWrap w:val="0"/>
            <w:tcMar>
              <w:top w:w="-1" w:type="dxa"/>
              <w:left w:w="-1" w:type="dxa"/>
              <w:bottom w:w="-1" w:type="dxa"/>
              <w:right w:w="-1" w:type="dxa"/>
            </w:tcMar>
            <w:vAlign w:val="center"/>
          </w:tcPr>
          <w:p w14:paraId="1AB33A70">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0.779</w:t>
            </w:r>
          </w:p>
        </w:tc>
        <w:tc>
          <w:tcPr>
            <w:tcW w:w="1049" w:type="dxa"/>
            <w:tcBorders>
              <w:top w:val="nil"/>
              <w:left w:val="nil"/>
              <w:bottom w:val="single" w:color="auto" w:sz="12" w:space="0"/>
              <w:right w:val="nil"/>
            </w:tcBorders>
            <w:noWrap w:val="0"/>
            <w:tcMar>
              <w:top w:w="-1" w:type="dxa"/>
              <w:left w:w="-1" w:type="dxa"/>
              <w:bottom w:w="-1" w:type="dxa"/>
              <w:right w:w="-1" w:type="dxa"/>
            </w:tcMar>
            <w:vAlign w:val="center"/>
          </w:tcPr>
          <w:p w14:paraId="576C372F">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0.337</w:t>
            </w:r>
          </w:p>
        </w:tc>
        <w:tc>
          <w:tcPr>
            <w:tcW w:w="788" w:type="dxa"/>
            <w:tcBorders>
              <w:top w:val="nil"/>
              <w:left w:val="nil"/>
              <w:bottom w:val="single" w:color="auto" w:sz="12" w:space="0"/>
              <w:right w:val="nil"/>
            </w:tcBorders>
            <w:noWrap w:val="0"/>
            <w:tcMar>
              <w:top w:w="-1" w:type="dxa"/>
              <w:left w:w="-1" w:type="dxa"/>
              <w:bottom w:w="-1" w:type="dxa"/>
              <w:right w:w="-1" w:type="dxa"/>
            </w:tcMar>
            <w:vAlign w:val="center"/>
          </w:tcPr>
          <w:p w14:paraId="55C83C1F">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0.404</w:t>
            </w:r>
          </w:p>
        </w:tc>
        <w:tc>
          <w:tcPr>
            <w:tcW w:w="795" w:type="dxa"/>
            <w:tcBorders>
              <w:top w:val="nil"/>
              <w:left w:val="nil"/>
              <w:bottom w:val="single" w:color="auto" w:sz="12" w:space="0"/>
              <w:right w:val="nil"/>
            </w:tcBorders>
            <w:noWrap w:val="0"/>
            <w:tcMar>
              <w:top w:w="-1" w:type="dxa"/>
              <w:left w:w="-1" w:type="dxa"/>
              <w:bottom w:w="-1" w:type="dxa"/>
              <w:right w:w="-1" w:type="dxa"/>
            </w:tcMar>
            <w:vAlign w:val="center"/>
          </w:tcPr>
          <w:p w14:paraId="655785E2">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0.196</w:t>
            </w:r>
          </w:p>
        </w:tc>
      </w:tr>
    </w:tbl>
    <w:p w14:paraId="2C7E673E"/>
    <w:p w14:paraId="292D73A8">
      <w:pPr>
        <w:spacing w:after="60" w:line="259" w:lineRule="auto"/>
        <w:ind w:firstLine="360"/>
      </w:pPr>
      <w:r>
        <w:rPr>
          <w:rFonts w:ascii="Times New Roman" w:hAnsi="Times New Roman" w:eastAsia="宋体"/>
          <w:b w:val="0"/>
          <w:sz w:val="18"/>
        </w:rPr>
        <w:t>Bootstrap分析显示，最佳模型AUROC均值为0.874，95%置信区间为0.865-0.883，提示模型区分能力较稳定。</w:t>
      </w:r>
    </w:p>
    <w:p w14:paraId="138F72EC">
      <w:pPr>
        <w:keepNext/>
        <w:spacing w:before="100" w:after="80"/>
      </w:pPr>
      <w:r>
        <w:rPr>
          <w:rFonts w:ascii="Times New Roman" w:hAnsi="Times New Roman" w:eastAsia="黑体"/>
          <w:b/>
          <w:sz w:val="18"/>
        </w:rPr>
        <w:t>4.2 特征组消融</w:t>
      </w:r>
    </w:p>
    <w:p w14:paraId="55A80A0F">
      <w:pPr>
        <w:spacing w:after="60" w:line="259" w:lineRule="auto"/>
        <w:ind w:firstLine="360"/>
      </w:pPr>
      <w:r>
        <w:rPr>
          <w:rFonts w:ascii="Times New Roman" w:hAnsi="Times New Roman" w:eastAsia="宋体"/>
          <w:b w:val="0"/>
          <w:sz w:val="18"/>
        </w:rPr>
        <w:t>如表2所列，完整特征集取得最高AUROC；24小时摘要特征在特征数较少的情况下已接近完整特征表现，提示入ICU后24小时内的均值、极值等摘要统计具有较高信息密度。实验室指标优于生命体征和人口学特征，是主要预测信息来源之一。</w:t>
      </w:r>
    </w:p>
    <w:p w14:paraId="7B51A505">
      <w:pPr>
        <w:keepNext/>
        <w:spacing w:after="60"/>
        <w:jc w:val="center"/>
      </w:pPr>
      <w:r>
        <w:rPr>
          <w:rFonts w:ascii="Times New Roman" w:hAnsi="Times New Roman" w:eastAsia="宋体"/>
          <w:b w:val="0"/>
          <w:sz w:val="14"/>
        </w:rPr>
        <w:t>表2  特征组消融实验结果</w:t>
      </w:r>
      <w:r>
        <w:rPr>
          <w:rFonts w:ascii="Times New Roman" w:hAnsi="Times New Roman" w:eastAsia="宋体"/>
          <w:b w:val="0"/>
          <w:sz w:val="14"/>
        </w:rPr>
        <w:br w:type="textWrapping"/>
      </w:r>
      <w:r>
        <w:rPr>
          <w:rFonts w:ascii="Times New Roman" w:hAnsi="Times New Roman" w:eastAsia="宋体"/>
          <w:b w:val="0"/>
          <w:sz w:val="14"/>
        </w:rPr>
        <w:t>Table 2  Feature-source ablation results</w:t>
      </w:r>
    </w:p>
    <w:tbl>
      <w:tblPr>
        <w:tblStyle w:val="3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0"/>
        <w:gridCol w:w="1241"/>
        <w:gridCol w:w="1241"/>
        <w:gridCol w:w="1241"/>
      </w:tblGrid>
      <w:tr w14:paraId="7E50976C">
        <w:trPr>
          <w:jc w:val="center"/>
        </w:trPr>
        <w:tc>
          <w:tcPr>
            <w:tcW w:w="1250" w:type="pct"/>
            <w:shd w:val="clear" w:color="auto" w:fill="D9EAF7"/>
            <w:vAlign w:val="center"/>
          </w:tcPr>
          <w:p w14:paraId="33785388">
            <w:pPr>
              <w:spacing w:after="0" w:line="240" w:lineRule="auto"/>
              <w:jc w:val="center"/>
            </w:pPr>
            <w:r>
              <w:rPr>
                <w:rFonts w:ascii="Times New Roman" w:hAnsi="Times New Roman" w:eastAsia="宋体"/>
                <w:b/>
                <w:sz w:val="14"/>
              </w:rPr>
              <w:t>实验组</w:t>
            </w:r>
          </w:p>
        </w:tc>
        <w:tc>
          <w:tcPr>
            <w:tcW w:w="1250" w:type="pct"/>
            <w:shd w:val="clear" w:color="auto" w:fill="D9EAF7"/>
            <w:vAlign w:val="center"/>
          </w:tcPr>
          <w:p w14:paraId="34091E23">
            <w:pPr>
              <w:spacing w:after="0" w:line="240" w:lineRule="auto"/>
              <w:jc w:val="center"/>
            </w:pPr>
            <w:r>
              <w:rPr>
                <w:rFonts w:ascii="Times New Roman" w:hAnsi="Times New Roman" w:eastAsia="宋体"/>
                <w:b/>
                <w:sz w:val="14"/>
              </w:rPr>
              <w:t>模型</w:t>
            </w:r>
          </w:p>
        </w:tc>
        <w:tc>
          <w:tcPr>
            <w:tcW w:w="1250" w:type="pct"/>
            <w:shd w:val="clear" w:color="auto" w:fill="D9EAF7"/>
            <w:vAlign w:val="center"/>
          </w:tcPr>
          <w:p w14:paraId="651D3AC7">
            <w:pPr>
              <w:spacing w:after="0" w:line="240" w:lineRule="auto"/>
              <w:jc w:val="center"/>
            </w:pPr>
            <w:r>
              <w:rPr>
                <w:rFonts w:ascii="Times New Roman" w:hAnsi="Times New Roman" w:eastAsia="宋体"/>
                <w:b/>
                <w:sz w:val="14"/>
              </w:rPr>
              <w:t>AUROC</w:t>
            </w:r>
          </w:p>
        </w:tc>
        <w:tc>
          <w:tcPr>
            <w:tcW w:w="1250" w:type="pct"/>
            <w:shd w:val="clear" w:color="auto" w:fill="D9EAF7"/>
            <w:vAlign w:val="center"/>
          </w:tcPr>
          <w:p w14:paraId="5BF43EE1">
            <w:pPr>
              <w:spacing w:after="0" w:line="240" w:lineRule="auto"/>
              <w:jc w:val="center"/>
            </w:pPr>
            <w:r>
              <w:rPr>
                <w:rFonts w:ascii="Times New Roman" w:hAnsi="Times New Roman" w:eastAsia="宋体"/>
                <w:b/>
                <w:sz w:val="14"/>
              </w:rPr>
              <w:t>AUPRC</w:t>
            </w:r>
          </w:p>
        </w:tc>
      </w:tr>
      <w:tr w14:paraId="1FB52144">
        <w:trPr>
          <w:jc w:val="center"/>
        </w:trPr>
        <w:tc>
          <w:tcPr>
            <w:tcW w:w="1250" w:type="pct"/>
            <w:vAlign w:val="center"/>
          </w:tcPr>
          <w:p w14:paraId="65C04327">
            <w:pPr>
              <w:spacing w:after="0" w:line="240" w:lineRule="auto"/>
              <w:jc w:val="center"/>
            </w:pPr>
            <w:r>
              <w:rPr>
                <w:rFonts w:ascii="Times New Roman" w:hAnsi="Times New Roman" w:eastAsia="宋体"/>
                <w:b w:val="0"/>
                <w:sz w:val="14"/>
              </w:rPr>
              <w:t>人口学+ICU单元</w:t>
            </w:r>
          </w:p>
        </w:tc>
        <w:tc>
          <w:tcPr>
            <w:tcW w:w="1250" w:type="pct"/>
            <w:vAlign w:val="center"/>
          </w:tcPr>
          <w:p w14:paraId="086B25D2">
            <w:pPr>
              <w:spacing w:after="0" w:line="240" w:lineRule="auto"/>
              <w:jc w:val="center"/>
            </w:pPr>
            <w:r>
              <w:rPr>
                <w:rFonts w:ascii="Times New Roman" w:hAnsi="Times New Roman" w:eastAsia="宋体"/>
                <w:b w:val="0"/>
                <w:sz w:val="14"/>
              </w:rPr>
              <w:t>HGB</w:t>
            </w:r>
          </w:p>
        </w:tc>
        <w:tc>
          <w:tcPr>
            <w:tcW w:w="1250" w:type="pct"/>
            <w:vAlign w:val="center"/>
          </w:tcPr>
          <w:p w14:paraId="7028472E">
            <w:pPr>
              <w:spacing w:after="0" w:line="240" w:lineRule="auto"/>
              <w:jc w:val="center"/>
            </w:pPr>
            <w:r>
              <w:rPr>
                <w:rFonts w:ascii="Times New Roman" w:hAnsi="Times New Roman" w:eastAsia="宋体"/>
                <w:b w:val="0"/>
                <w:sz w:val="14"/>
              </w:rPr>
              <w:t>0.758</w:t>
            </w:r>
          </w:p>
        </w:tc>
        <w:tc>
          <w:tcPr>
            <w:tcW w:w="1250" w:type="pct"/>
            <w:vAlign w:val="center"/>
          </w:tcPr>
          <w:p w14:paraId="18EF20FA">
            <w:pPr>
              <w:spacing w:after="0" w:line="240" w:lineRule="auto"/>
              <w:jc w:val="center"/>
            </w:pPr>
            <w:r>
              <w:rPr>
                <w:rFonts w:ascii="Times New Roman" w:hAnsi="Times New Roman" w:eastAsia="宋体"/>
                <w:b w:val="0"/>
                <w:sz w:val="14"/>
              </w:rPr>
              <w:t>0.306</w:t>
            </w:r>
          </w:p>
        </w:tc>
      </w:tr>
      <w:tr w14:paraId="5FE02314">
        <w:trPr>
          <w:jc w:val="center"/>
        </w:trPr>
        <w:tc>
          <w:tcPr>
            <w:tcW w:w="1250" w:type="pct"/>
            <w:vAlign w:val="center"/>
          </w:tcPr>
          <w:p w14:paraId="228C6377">
            <w:pPr>
              <w:spacing w:after="0" w:line="240" w:lineRule="auto"/>
              <w:jc w:val="center"/>
            </w:pPr>
            <w:r>
              <w:rPr>
                <w:rFonts w:ascii="Times New Roman" w:hAnsi="Times New Roman" w:eastAsia="宋体"/>
                <w:b w:val="0"/>
                <w:sz w:val="14"/>
              </w:rPr>
              <w:t>生命体征</w:t>
            </w:r>
          </w:p>
        </w:tc>
        <w:tc>
          <w:tcPr>
            <w:tcW w:w="1250" w:type="pct"/>
            <w:vAlign w:val="center"/>
          </w:tcPr>
          <w:p w14:paraId="7266A1DE">
            <w:pPr>
              <w:spacing w:after="0" w:line="240" w:lineRule="auto"/>
              <w:jc w:val="center"/>
            </w:pPr>
            <w:r>
              <w:rPr>
                <w:rFonts w:ascii="Times New Roman" w:hAnsi="Times New Roman" w:eastAsia="宋体"/>
                <w:b w:val="0"/>
                <w:sz w:val="14"/>
              </w:rPr>
              <w:t>LightGBM</w:t>
            </w:r>
          </w:p>
        </w:tc>
        <w:tc>
          <w:tcPr>
            <w:tcW w:w="1250" w:type="pct"/>
            <w:vAlign w:val="center"/>
          </w:tcPr>
          <w:p w14:paraId="3F62C589">
            <w:pPr>
              <w:spacing w:after="0" w:line="240" w:lineRule="auto"/>
              <w:jc w:val="center"/>
            </w:pPr>
            <w:r>
              <w:rPr>
                <w:rFonts w:ascii="Times New Roman" w:hAnsi="Times New Roman" w:eastAsia="宋体"/>
                <w:b w:val="0"/>
                <w:sz w:val="14"/>
              </w:rPr>
              <w:t>0.767</w:t>
            </w:r>
          </w:p>
        </w:tc>
        <w:tc>
          <w:tcPr>
            <w:tcW w:w="1250" w:type="pct"/>
            <w:vAlign w:val="center"/>
          </w:tcPr>
          <w:p w14:paraId="487E6551">
            <w:pPr>
              <w:spacing w:after="0" w:line="240" w:lineRule="auto"/>
              <w:jc w:val="center"/>
            </w:pPr>
            <w:r>
              <w:rPr>
                <w:rFonts w:ascii="Times New Roman" w:hAnsi="Times New Roman" w:eastAsia="宋体"/>
                <w:b w:val="0"/>
                <w:sz w:val="14"/>
              </w:rPr>
              <w:t>0.363</w:t>
            </w:r>
          </w:p>
        </w:tc>
      </w:tr>
      <w:tr w14:paraId="0C987CCA">
        <w:trPr>
          <w:jc w:val="center"/>
        </w:trPr>
        <w:tc>
          <w:tcPr>
            <w:tcW w:w="1250" w:type="pct"/>
            <w:vAlign w:val="center"/>
          </w:tcPr>
          <w:p w14:paraId="61CC5C1C">
            <w:pPr>
              <w:spacing w:after="0" w:line="240" w:lineRule="auto"/>
              <w:jc w:val="center"/>
            </w:pPr>
            <w:r>
              <w:rPr>
                <w:rFonts w:ascii="Times New Roman" w:hAnsi="Times New Roman" w:eastAsia="宋体"/>
                <w:b w:val="0"/>
                <w:sz w:val="14"/>
              </w:rPr>
              <w:t>实验室指标</w:t>
            </w:r>
          </w:p>
        </w:tc>
        <w:tc>
          <w:tcPr>
            <w:tcW w:w="1250" w:type="pct"/>
            <w:vAlign w:val="center"/>
          </w:tcPr>
          <w:p w14:paraId="39EE8A01">
            <w:pPr>
              <w:spacing w:after="0" w:line="240" w:lineRule="auto"/>
              <w:jc w:val="center"/>
            </w:pPr>
            <w:r>
              <w:rPr>
                <w:rFonts w:ascii="Times New Roman" w:hAnsi="Times New Roman" w:eastAsia="宋体"/>
                <w:b w:val="0"/>
                <w:sz w:val="14"/>
              </w:rPr>
              <w:t>LightGBM</w:t>
            </w:r>
          </w:p>
        </w:tc>
        <w:tc>
          <w:tcPr>
            <w:tcW w:w="1250" w:type="pct"/>
            <w:vAlign w:val="center"/>
          </w:tcPr>
          <w:p w14:paraId="699A647B">
            <w:pPr>
              <w:spacing w:after="0" w:line="240" w:lineRule="auto"/>
              <w:jc w:val="center"/>
            </w:pPr>
            <w:r>
              <w:rPr>
                <w:rFonts w:ascii="Times New Roman" w:hAnsi="Times New Roman" w:eastAsia="宋体"/>
                <w:b w:val="0"/>
                <w:sz w:val="14"/>
              </w:rPr>
              <w:t>0.819</w:t>
            </w:r>
          </w:p>
        </w:tc>
        <w:tc>
          <w:tcPr>
            <w:tcW w:w="1250" w:type="pct"/>
            <w:vAlign w:val="center"/>
          </w:tcPr>
          <w:p w14:paraId="0753F244">
            <w:pPr>
              <w:spacing w:after="0" w:line="240" w:lineRule="auto"/>
              <w:jc w:val="center"/>
            </w:pPr>
            <w:r>
              <w:rPr>
                <w:rFonts w:ascii="Times New Roman" w:hAnsi="Times New Roman" w:eastAsia="宋体"/>
                <w:b w:val="0"/>
                <w:sz w:val="14"/>
              </w:rPr>
              <w:t>0.448</w:t>
            </w:r>
          </w:p>
        </w:tc>
      </w:tr>
      <w:tr w14:paraId="253D6A5B">
        <w:trPr>
          <w:jc w:val="center"/>
        </w:trPr>
        <w:tc>
          <w:tcPr>
            <w:tcW w:w="1250" w:type="pct"/>
            <w:vAlign w:val="center"/>
          </w:tcPr>
          <w:p w14:paraId="40B570E3">
            <w:pPr>
              <w:spacing w:after="0" w:line="240" w:lineRule="auto"/>
              <w:jc w:val="center"/>
            </w:pPr>
            <w:r>
              <w:rPr>
                <w:rFonts w:ascii="Times New Roman" w:hAnsi="Times New Roman" w:eastAsia="宋体"/>
                <w:b w:val="0"/>
                <w:sz w:val="14"/>
              </w:rPr>
              <w:t>首次测量值</w:t>
            </w:r>
          </w:p>
        </w:tc>
        <w:tc>
          <w:tcPr>
            <w:tcW w:w="1250" w:type="pct"/>
            <w:vAlign w:val="center"/>
          </w:tcPr>
          <w:p w14:paraId="765A8A39">
            <w:pPr>
              <w:spacing w:after="0" w:line="240" w:lineRule="auto"/>
              <w:jc w:val="center"/>
            </w:pPr>
            <w:r>
              <w:rPr>
                <w:rFonts w:ascii="Times New Roman" w:hAnsi="Times New Roman" w:eastAsia="宋体"/>
                <w:b w:val="0"/>
                <w:sz w:val="14"/>
              </w:rPr>
              <w:t>LightGBM</w:t>
            </w:r>
          </w:p>
        </w:tc>
        <w:tc>
          <w:tcPr>
            <w:tcW w:w="1250" w:type="pct"/>
            <w:vAlign w:val="center"/>
          </w:tcPr>
          <w:p w14:paraId="3B0EA0FD">
            <w:pPr>
              <w:spacing w:after="0" w:line="240" w:lineRule="auto"/>
              <w:jc w:val="center"/>
            </w:pPr>
            <w:r>
              <w:rPr>
                <w:rFonts w:ascii="Times New Roman" w:hAnsi="Times New Roman" w:eastAsia="宋体"/>
                <w:b w:val="0"/>
                <w:sz w:val="14"/>
              </w:rPr>
              <w:t>0.830</w:t>
            </w:r>
          </w:p>
        </w:tc>
        <w:tc>
          <w:tcPr>
            <w:tcW w:w="1250" w:type="pct"/>
            <w:vAlign w:val="center"/>
          </w:tcPr>
          <w:p w14:paraId="5B03513C">
            <w:pPr>
              <w:spacing w:after="0" w:line="240" w:lineRule="auto"/>
              <w:jc w:val="center"/>
            </w:pPr>
            <w:r>
              <w:rPr>
                <w:rFonts w:ascii="Times New Roman" w:hAnsi="Times New Roman" w:eastAsia="宋体"/>
                <w:b w:val="0"/>
                <w:sz w:val="14"/>
              </w:rPr>
              <w:t>0.447</w:t>
            </w:r>
          </w:p>
        </w:tc>
      </w:tr>
      <w:tr w14:paraId="38F29454">
        <w:trPr>
          <w:jc w:val="center"/>
        </w:trPr>
        <w:tc>
          <w:tcPr>
            <w:tcW w:w="1250" w:type="pct"/>
            <w:vAlign w:val="center"/>
          </w:tcPr>
          <w:p w14:paraId="12200FFB">
            <w:pPr>
              <w:spacing w:after="0" w:line="240" w:lineRule="auto"/>
              <w:jc w:val="center"/>
            </w:pPr>
            <w:r>
              <w:rPr>
                <w:rFonts w:ascii="Times New Roman" w:hAnsi="Times New Roman" w:eastAsia="宋体"/>
                <w:b w:val="0"/>
                <w:sz w:val="14"/>
              </w:rPr>
              <w:t>24小时摘要</w:t>
            </w:r>
          </w:p>
        </w:tc>
        <w:tc>
          <w:tcPr>
            <w:tcW w:w="1250" w:type="pct"/>
            <w:vAlign w:val="center"/>
          </w:tcPr>
          <w:p w14:paraId="5B2D08FD">
            <w:pPr>
              <w:spacing w:after="0" w:line="240" w:lineRule="auto"/>
              <w:jc w:val="center"/>
            </w:pPr>
            <w:r>
              <w:rPr>
                <w:rFonts w:ascii="Times New Roman" w:hAnsi="Times New Roman" w:eastAsia="宋体"/>
                <w:b w:val="0"/>
                <w:sz w:val="14"/>
              </w:rPr>
              <w:t>HGB</w:t>
            </w:r>
          </w:p>
        </w:tc>
        <w:tc>
          <w:tcPr>
            <w:tcW w:w="1250" w:type="pct"/>
            <w:vAlign w:val="center"/>
          </w:tcPr>
          <w:p w14:paraId="53917A97">
            <w:pPr>
              <w:spacing w:after="0" w:line="240" w:lineRule="auto"/>
              <w:jc w:val="center"/>
            </w:pPr>
            <w:r>
              <w:rPr>
                <w:rFonts w:ascii="Times New Roman" w:hAnsi="Times New Roman" w:eastAsia="宋体"/>
                <w:b w:val="0"/>
                <w:sz w:val="14"/>
              </w:rPr>
              <w:t>0.858</w:t>
            </w:r>
          </w:p>
        </w:tc>
        <w:tc>
          <w:tcPr>
            <w:tcW w:w="1250" w:type="pct"/>
            <w:vAlign w:val="center"/>
          </w:tcPr>
          <w:p w14:paraId="62460E34">
            <w:pPr>
              <w:spacing w:after="0" w:line="240" w:lineRule="auto"/>
              <w:jc w:val="center"/>
            </w:pPr>
            <w:r>
              <w:rPr>
                <w:rFonts w:ascii="Times New Roman" w:hAnsi="Times New Roman" w:eastAsia="宋体"/>
                <w:b w:val="0"/>
                <w:sz w:val="14"/>
              </w:rPr>
              <w:t>0.527</w:t>
            </w:r>
          </w:p>
        </w:tc>
      </w:tr>
      <w:tr w14:paraId="38EBEA58">
        <w:trPr>
          <w:jc w:val="center"/>
        </w:trPr>
        <w:tc>
          <w:tcPr>
            <w:tcW w:w="1250" w:type="pct"/>
            <w:vAlign w:val="center"/>
          </w:tcPr>
          <w:p w14:paraId="6881741A">
            <w:pPr>
              <w:spacing w:after="0" w:line="240" w:lineRule="auto"/>
              <w:jc w:val="center"/>
            </w:pPr>
            <w:r>
              <w:rPr>
                <w:rFonts w:ascii="Times New Roman" w:hAnsi="Times New Roman" w:eastAsia="宋体"/>
                <w:b w:val="0"/>
                <w:sz w:val="14"/>
              </w:rPr>
              <w:t>完整特征</w:t>
            </w:r>
          </w:p>
        </w:tc>
        <w:tc>
          <w:tcPr>
            <w:tcW w:w="1250" w:type="pct"/>
            <w:vAlign w:val="center"/>
          </w:tcPr>
          <w:p w14:paraId="4EA8A849">
            <w:pPr>
              <w:spacing w:after="0" w:line="240" w:lineRule="auto"/>
              <w:jc w:val="center"/>
            </w:pPr>
            <w:r>
              <w:rPr>
                <w:rFonts w:ascii="Times New Roman" w:hAnsi="Times New Roman" w:eastAsia="宋体"/>
                <w:b w:val="0"/>
                <w:sz w:val="14"/>
              </w:rPr>
              <w:t>LightGBM</w:t>
            </w:r>
          </w:p>
        </w:tc>
        <w:tc>
          <w:tcPr>
            <w:tcW w:w="1250" w:type="pct"/>
            <w:vAlign w:val="center"/>
          </w:tcPr>
          <w:p w14:paraId="7513CBF3">
            <w:pPr>
              <w:spacing w:after="0" w:line="240" w:lineRule="auto"/>
              <w:jc w:val="center"/>
            </w:pPr>
            <w:r>
              <w:rPr>
                <w:rFonts w:ascii="Times New Roman" w:hAnsi="Times New Roman" w:eastAsia="宋体"/>
                <w:b w:val="0"/>
                <w:sz w:val="14"/>
              </w:rPr>
              <w:t>0.871</w:t>
            </w:r>
          </w:p>
        </w:tc>
        <w:tc>
          <w:tcPr>
            <w:tcW w:w="1250" w:type="pct"/>
            <w:vAlign w:val="center"/>
          </w:tcPr>
          <w:p w14:paraId="74C490D6">
            <w:pPr>
              <w:spacing w:after="0" w:line="240" w:lineRule="auto"/>
              <w:jc w:val="center"/>
            </w:pPr>
            <w:r>
              <w:rPr>
                <w:rFonts w:ascii="Times New Roman" w:hAnsi="Times New Roman" w:eastAsia="宋体"/>
                <w:b w:val="0"/>
                <w:sz w:val="14"/>
              </w:rPr>
              <w:t>0.545</w:t>
            </w:r>
          </w:p>
        </w:tc>
      </w:tr>
    </w:tbl>
    <w:p w14:paraId="410A32CB"/>
    <w:p w14:paraId="40D003DD">
      <w:pPr>
        <w:keepNext/>
        <w:spacing w:before="100" w:after="80"/>
      </w:pPr>
      <w:r>
        <w:rPr>
          <w:rFonts w:ascii="Times New Roman" w:hAnsi="Times New Roman" w:eastAsia="黑体"/>
          <w:b/>
          <w:sz w:val="18"/>
        </w:rPr>
        <w:t>4.3 缺失机制实验</w:t>
      </w:r>
    </w:p>
    <w:p w14:paraId="6FC2E272">
      <w:pPr>
        <w:spacing w:after="60" w:line="259" w:lineRule="auto"/>
        <w:ind w:firstLine="360"/>
      </w:pPr>
      <w:r>
        <w:rPr>
          <w:rFonts w:ascii="Times New Roman" w:hAnsi="Times New Roman" w:eastAsia="宋体"/>
          <w:b w:val="0"/>
          <w:sz w:val="18"/>
        </w:rPr>
        <w:t>如表3所列，引入缺失指示和特征组缺失负担后，HistGradientBoosting、XGBoost和LightGBM的AUROC与AUPRC均有提升。该结果说明ICU结构化数据中的缺失并非单纯噪声，检查是否发生以及不同特征组的缺失负担可能反映监测强度和临床关注点。</w:t>
      </w:r>
    </w:p>
    <w:p w14:paraId="67BE42E7">
      <w:pPr>
        <w:keepNext/>
        <w:spacing w:after="60"/>
        <w:jc w:val="center"/>
      </w:pPr>
      <w:r>
        <w:rPr>
          <w:rFonts w:ascii="Times New Roman" w:hAnsi="Times New Roman" w:eastAsia="宋体"/>
          <w:b w:val="0"/>
          <w:sz w:val="14"/>
        </w:rPr>
        <w:t>表3  缺失机制增强实验结果</w:t>
      </w:r>
      <w:r>
        <w:rPr>
          <w:rFonts w:ascii="Times New Roman" w:hAnsi="Times New Roman" w:eastAsia="宋体"/>
          <w:b w:val="0"/>
          <w:sz w:val="14"/>
        </w:rPr>
        <w:br w:type="textWrapping"/>
      </w:r>
      <w:r>
        <w:rPr>
          <w:rFonts w:ascii="Times New Roman" w:hAnsi="Times New Roman" w:eastAsia="宋体"/>
          <w:b w:val="0"/>
          <w:sz w:val="14"/>
        </w:rPr>
        <w:t>Table 3  Results of missingness-aware feature augmentation</w:t>
      </w:r>
    </w:p>
    <w:tbl>
      <w:tblPr>
        <w:tblStyle w:val="3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
        <w:gridCol w:w="1335"/>
        <w:gridCol w:w="1335"/>
        <w:gridCol w:w="1257"/>
      </w:tblGrid>
      <w:tr w14:paraId="1235544B">
        <w:trPr>
          <w:jc w:val="center"/>
        </w:trPr>
        <w:tc>
          <w:tcPr>
            <w:tcW w:w="1044" w:type="pct"/>
            <w:shd w:val="clear" w:color="auto" w:fill="D9EAF7"/>
            <w:vAlign w:val="center"/>
          </w:tcPr>
          <w:p w14:paraId="4F9AAB1F">
            <w:pPr>
              <w:spacing w:after="0" w:line="240" w:lineRule="auto"/>
              <w:jc w:val="center"/>
            </w:pPr>
            <w:r>
              <w:rPr>
                <w:rFonts w:ascii="Times New Roman" w:hAnsi="Times New Roman" w:eastAsia="宋体"/>
                <w:b/>
                <w:sz w:val="14"/>
              </w:rPr>
              <w:t>模型</w:t>
            </w:r>
          </w:p>
        </w:tc>
        <w:tc>
          <w:tcPr>
            <w:tcW w:w="1344" w:type="pct"/>
            <w:shd w:val="clear" w:color="auto" w:fill="D9EAF7"/>
            <w:vAlign w:val="center"/>
          </w:tcPr>
          <w:p w14:paraId="1CB25DE9">
            <w:pPr>
              <w:spacing w:after="0" w:line="240" w:lineRule="auto"/>
              <w:jc w:val="center"/>
            </w:pPr>
            <w:r>
              <w:rPr>
                <w:rFonts w:ascii="Times New Roman" w:hAnsi="Times New Roman" w:eastAsia="宋体"/>
                <w:b/>
                <w:sz w:val="14"/>
              </w:rPr>
              <w:t>基础AUROC</w:t>
            </w:r>
          </w:p>
        </w:tc>
        <w:tc>
          <w:tcPr>
            <w:tcW w:w="1344" w:type="pct"/>
            <w:shd w:val="clear" w:color="auto" w:fill="D9EAF7"/>
            <w:vAlign w:val="center"/>
          </w:tcPr>
          <w:p w14:paraId="3EAE37F2">
            <w:pPr>
              <w:spacing w:after="0" w:line="240" w:lineRule="auto"/>
              <w:jc w:val="center"/>
            </w:pPr>
            <w:r>
              <w:rPr>
                <w:rFonts w:ascii="Times New Roman" w:hAnsi="Times New Roman" w:eastAsia="宋体"/>
                <w:b/>
                <w:sz w:val="14"/>
              </w:rPr>
              <w:t>增强AUROC</w:t>
            </w:r>
          </w:p>
        </w:tc>
        <w:tc>
          <w:tcPr>
            <w:tcW w:w="1266" w:type="pct"/>
            <w:shd w:val="clear" w:color="auto" w:fill="D9EAF7"/>
            <w:vAlign w:val="center"/>
          </w:tcPr>
          <w:p w14:paraId="713B9D58">
            <w:pPr>
              <w:spacing w:after="0" w:line="240" w:lineRule="auto"/>
              <w:jc w:val="center"/>
            </w:pPr>
            <w:r>
              <w:rPr>
                <w:rFonts w:ascii="Times New Roman" w:hAnsi="Times New Roman" w:eastAsia="宋体"/>
                <w:b/>
                <w:sz w:val="14"/>
              </w:rPr>
              <w:t>AUPRC增益</w:t>
            </w:r>
          </w:p>
        </w:tc>
      </w:tr>
      <w:tr w14:paraId="1CF1F8D0">
        <w:trPr>
          <w:jc w:val="center"/>
        </w:trPr>
        <w:tc>
          <w:tcPr>
            <w:tcW w:w="1044" w:type="pct"/>
            <w:vAlign w:val="center"/>
          </w:tcPr>
          <w:p w14:paraId="1A48CDE3">
            <w:pPr>
              <w:spacing w:after="0" w:line="240" w:lineRule="auto"/>
              <w:jc w:val="center"/>
            </w:pPr>
            <w:r>
              <w:rPr>
                <w:rFonts w:ascii="Times New Roman" w:hAnsi="Times New Roman" w:eastAsia="宋体"/>
                <w:b w:val="0"/>
                <w:sz w:val="14"/>
              </w:rPr>
              <w:t>HGB</w:t>
            </w:r>
          </w:p>
        </w:tc>
        <w:tc>
          <w:tcPr>
            <w:tcW w:w="1344" w:type="pct"/>
            <w:vAlign w:val="center"/>
          </w:tcPr>
          <w:p w14:paraId="708B3E42">
            <w:pPr>
              <w:spacing w:after="0" w:line="240" w:lineRule="auto"/>
              <w:jc w:val="center"/>
            </w:pPr>
            <w:r>
              <w:rPr>
                <w:rFonts w:ascii="Times New Roman" w:hAnsi="Times New Roman" w:eastAsia="宋体"/>
                <w:b w:val="0"/>
                <w:sz w:val="14"/>
              </w:rPr>
              <w:t>0.870</w:t>
            </w:r>
          </w:p>
        </w:tc>
        <w:tc>
          <w:tcPr>
            <w:tcW w:w="1344" w:type="pct"/>
            <w:vAlign w:val="center"/>
          </w:tcPr>
          <w:p w14:paraId="3D76CE50">
            <w:pPr>
              <w:spacing w:after="0" w:line="240" w:lineRule="auto"/>
              <w:jc w:val="center"/>
            </w:pPr>
            <w:r>
              <w:rPr>
                <w:rFonts w:ascii="Times New Roman" w:hAnsi="Times New Roman" w:eastAsia="宋体"/>
                <w:b w:val="0"/>
                <w:sz w:val="14"/>
              </w:rPr>
              <w:t>0.871</w:t>
            </w:r>
          </w:p>
        </w:tc>
        <w:tc>
          <w:tcPr>
            <w:tcW w:w="1266" w:type="pct"/>
            <w:vAlign w:val="center"/>
          </w:tcPr>
          <w:p w14:paraId="4B695006">
            <w:pPr>
              <w:spacing w:after="0" w:line="240" w:lineRule="auto"/>
              <w:jc w:val="center"/>
            </w:pPr>
            <w:r>
              <w:rPr>
                <w:rFonts w:ascii="Times New Roman" w:hAnsi="Times New Roman" w:eastAsia="宋体"/>
                <w:b w:val="0"/>
                <w:sz w:val="14"/>
              </w:rPr>
              <w:t>+0.014</w:t>
            </w:r>
          </w:p>
        </w:tc>
      </w:tr>
      <w:tr w14:paraId="70F8475F">
        <w:trPr>
          <w:jc w:val="center"/>
        </w:trPr>
        <w:tc>
          <w:tcPr>
            <w:tcW w:w="1044" w:type="pct"/>
            <w:vAlign w:val="center"/>
          </w:tcPr>
          <w:p w14:paraId="51838847">
            <w:pPr>
              <w:spacing w:after="0" w:line="240" w:lineRule="auto"/>
              <w:jc w:val="center"/>
            </w:pPr>
            <w:r>
              <w:rPr>
                <w:rFonts w:ascii="Times New Roman" w:hAnsi="Times New Roman" w:eastAsia="宋体"/>
                <w:b w:val="0"/>
                <w:sz w:val="14"/>
              </w:rPr>
              <w:t>XGBoost</w:t>
            </w:r>
          </w:p>
        </w:tc>
        <w:tc>
          <w:tcPr>
            <w:tcW w:w="1344" w:type="pct"/>
            <w:vAlign w:val="center"/>
          </w:tcPr>
          <w:p w14:paraId="18185EF2">
            <w:pPr>
              <w:spacing w:after="0" w:line="240" w:lineRule="auto"/>
              <w:jc w:val="center"/>
            </w:pPr>
            <w:r>
              <w:rPr>
                <w:rFonts w:ascii="Times New Roman" w:hAnsi="Times New Roman" w:eastAsia="宋体"/>
                <w:b w:val="0"/>
                <w:sz w:val="14"/>
              </w:rPr>
              <w:t>0.860</w:t>
            </w:r>
          </w:p>
        </w:tc>
        <w:tc>
          <w:tcPr>
            <w:tcW w:w="1344" w:type="pct"/>
            <w:vAlign w:val="center"/>
          </w:tcPr>
          <w:p w14:paraId="3C9EE905">
            <w:pPr>
              <w:spacing w:after="0" w:line="240" w:lineRule="auto"/>
              <w:jc w:val="center"/>
            </w:pPr>
            <w:r>
              <w:rPr>
                <w:rFonts w:ascii="Times New Roman" w:hAnsi="Times New Roman" w:eastAsia="宋体"/>
                <w:b w:val="0"/>
                <w:sz w:val="14"/>
              </w:rPr>
              <w:t>0.861</w:t>
            </w:r>
          </w:p>
        </w:tc>
        <w:tc>
          <w:tcPr>
            <w:tcW w:w="1266" w:type="pct"/>
            <w:vAlign w:val="center"/>
          </w:tcPr>
          <w:p w14:paraId="0EE33CD9">
            <w:pPr>
              <w:spacing w:after="0" w:line="240" w:lineRule="auto"/>
              <w:jc w:val="center"/>
            </w:pPr>
            <w:r>
              <w:rPr>
                <w:rFonts w:ascii="Times New Roman" w:hAnsi="Times New Roman" w:eastAsia="宋体"/>
                <w:b w:val="0"/>
                <w:sz w:val="14"/>
              </w:rPr>
              <w:t>+0.007</w:t>
            </w:r>
          </w:p>
        </w:tc>
      </w:tr>
      <w:tr w14:paraId="0B7D8130">
        <w:trPr>
          <w:jc w:val="center"/>
        </w:trPr>
        <w:tc>
          <w:tcPr>
            <w:tcW w:w="1044" w:type="pct"/>
            <w:vAlign w:val="center"/>
          </w:tcPr>
          <w:p w14:paraId="35C0F2F6">
            <w:pPr>
              <w:spacing w:after="0" w:line="240" w:lineRule="auto"/>
              <w:jc w:val="center"/>
            </w:pPr>
            <w:r>
              <w:rPr>
                <w:rFonts w:ascii="Times New Roman" w:hAnsi="Times New Roman" w:eastAsia="宋体"/>
                <w:b w:val="0"/>
                <w:sz w:val="14"/>
              </w:rPr>
              <w:t>LightGBM</w:t>
            </w:r>
          </w:p>
        </w:tc>
        <w:tc>
          <w:tcPr>
            <w:tcW w:w="1344" w:type="pct"/>
            <w:vAlign w:val="center"/>
          </w:tcPr>
          <w:p w14:paraId="00F8A12B">
            <w:pPr>
              <w:spacing w:after="0" w:line="240" w:lineRule="auto"/>
              <w:jc w:val="center"/>
            </w:pPr>
            <w:r>
              <w:rPr>
                <w:rFonts w:ascii="Times New Roman" w:hAnsi="Times New Roman" w:eastAsia="宋体"/>
                <w:b w:val="0"/>
                <w:sz w:val="14"/>
              </w:rPr>
              <w:t>0.871</w:t>
            </w:r>
          </w:p>
        </w:tc>
        <w:tc>
          <w:tcPr>
            <w:tcW w:w="1344" w:type="pct"/>
            <w:vAlign w:val="center"/>
          </w:tcPr>
          <w:p w14:paraId="3E3DE7D5">
            <w:pPr>
              <w:spacing w:after="0" w:line="240" w:lineRule="auto"/>
              <w:jc w:val="center"/>
            </w:pPr>
            <w:r>
              <w:rPr>
                <w:rFonts w:ascii="Times New Roman" w:hAnsi="Times New Roman" w:eastAsia="宋体"/>
                <w:b w:val="0"/>
                <w:sz w:val="14"/>
              </w:rPr>
              <w:t>0.872</w:t>
            </w:r>
          </w:p>
        </w:tc>
        <w:tc>
          <w:tcPr>
            <w:tcW w:w="1266" w:type="pct"/>
            <w:vAlign w:val="center"/>
          </w:tcPr>
          <w:p w14:paraId="5F97A052">
            <w:pPr>
              <w:spacing w:after="0" w:line="240" w:lineRule="auto"/>
              <w:jc w:val="center"/>
            </w:pPr>
            <w:r>
              <w:rPr>
                <w:rFonts w:ascii="Times New Roman" w:hAnsi="Times New Roman" w:eastAsia="宋体"/>
                <w:b w:val="0"/>
                <w:sz w:val="14"/>
              </w:rPr>
              <w:t>+0.006</w:t>
            </w:r>
          </w:p>
        </w:tc>
      </w:tr>
    </w:tbl>
    <w:p w14:paraId="709B08D3"/>
    <w:p w14:paraId="28C84BE4">
      <w:pPr>
        <w:keepNext/>
        <w:spacing w:before="100" w:after="80"/>
      </w:pPr>
      <w:r>
        <w:rPr>
          <w:rFonts w:ascii="Times New Roman" w:hAnsi="Times New Roman" w:eastAsia="黑体"/>
          <w:b/>
          <w:sz w:val="18"/>
        </w:rPr>
        <w:t>4.4 概率校准与风险分层</w:t>
      </w:r>
    </w:p>
    <w:p w14:paraId="73E94340">
      <w:pPr>
        <w:spacing w:after="60" w:line="259" w:lineRule="auto"/>
        <w:ind w:firstLine="360"/>
      </w:pPr>
      <w:r>
        <w:rPr>
          <w:rFonts w:ascii="Times New Roman" w:hAnsi="Times New Roman" w:eastAsia="宋体"/>
          <w:b w:val="0"/>
          <w:sz w:val="18"/>
        </w:rPr>
        <w:t>如表4所列，按Brier score排序，HistGradientBoosting经sigmoid校准后概率可靠性最佳。LightGBM虽然在基线AUROC上最高，但未校准Brier score较高，经isotonic校准后Brier score明显下降，说明AUROC最高并不必然意味着概率最可靠。</w:t>
      </w:r>
    </w:p>
    <w:p w14:paraId="6B0BC8EA">
      <w:pPr>
        <w:keepNext/>
        <w:spacing w:after="60"/>
        <w:jc w:val="center"/>
      </w:pPr>
      <w:r>
        <w:rPr>
          <w:rFonts w:ascii="Times New Roman" w:hAnsi="Times New Roman" w:eastAsia="宋体"/>
          <w:b w:val="0"/>
          <w:sz w:val="14"/>
        </w:rPr>
        <w:t>表4  概率校准实验结果（按Brier score排序）</w:t>
      </w:r>
      <w:r>
        <w:rPr>
          <w:rFonts w:ascii="Times New Roman" w:hAnsi="Times New Roman" w:eastAsia="宋体"/>
          <w:b w:val="0"/>
          <w:sz w:val="14"/>
        </w:rPr>
        <w:br w:type="textWrapping"/>
      </w:r>
      <w:r>
        <w:rPr>
          <w:rFonts w:ascii="Times New Roman" w:hAnsi="Times New Roman" w:eastAsia="宋体"/>
          <w:b w:val="0"/>
          <w:sz w:val="14"/>
        </w:rPr>
        <w:t>Table 4  Probability calibration results ranked by Brier score</w:t>
      </w:r>
    </w:p>
    <w:tbl>
      <w:tblPr>
        <w:tblStyle w:val="33"/>
        <w:tblW w:w="519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45"/>
        <w:gridCol w:w="1565"/>
        <w:gridCol w:w="1258"/>
        <w:gridCol w:w="922"/>
      </w:tblGrid>
      <w:tr w14:paraId="766ABC26">
        <w:trPr>
          <w:trHeight w:val="0" w:hRule="atLeast"/>
          <w:tblHeader/>
          <w:jc w:val="center"/>
        </w:trPr>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62484144">
            <w:pPr>
              <w:snapToGrid w:val="0"/>
              <w:spacing w:after="0" w:line="240" w:lineRule="auto"/>
              <w:ind w:left="0" w:leftChars="0" w:right="0" w:rightChars="0" w:firstLine="0" w:firstLineChars="0"/>
              <w:jc w:val="center"/>
              <w:rPr>
                <w:rFonts w:ascii="Times New Roman" w:eastAsia="宋体"/>
                <w:b/>
                <w:sz w:val="14"/>
              </w:rPr>
            </w:pPr>
            <w:r>
              <w:rPr>
                <w:rFonts w:ascii="Times New Roman" w:hAnsi="Times New Roman" w:eastAsia="宋体"/>
                <w:b/>
                <w:sz w:val="14"/>
              </w:rPr>
              <w:t>模型</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6227A1AF">
            <w:pPr>
              <w:snapToGrid w:val="0"/>
              <w:spacing w:after="0" w:line="240" w:lineRule="auto"/>
              <w:ind w:left="0" w:leftChars="0" w:right="0" w:rightChars="0" w:firstLine="0" w:firstLineChars="0"/>
              <w:jc w:val="center"/>
              <w:rPr>
                <w:rFonts w:ascii="Times New Roman" w:eastAsia="宋体"/>
                <w:b/>
                <w:sz w:val="14"/>
              </w:rPr>
            </w:pPr>
            <w:r>
              <w:rPr>
                <w:rFonts w:ascii="Times New Roman" w:hAnsi="Times New Roman" w:eastAsia="宋体"/>
                <w:b/>
                <w:sz w:val="14"/>
              </w:rPr>
              <w:t>校准</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6E8CA6FF">
            <w:pPr>
              <w:snapToGrid w:val="0"/>
              <w:spacing w:after="0" w:line="240" w:lineRule="auto"/>
              <w:ind w:left="0" w:leftChars="0" w:right="0" w:rightChars="0" w:firstLine="0" w:firstLineChars="0"/>
              <w:jc w:val="center"/>
              <w:rPr>
                <w:rFonts w:ascii="Times New Roman" w:eastAsia="宋体"/>
                <w:b/>
                <w:sz w:val="14"/>
              </w:rPr>
            </w:pPr>
            <w:r>
              <w:rPr>
                <w:rFonts w:ascii="Times New Roman" w:hAnsi="Times New Roman" w:eastAsia="宋体"/>
                <w:b/>
                <w:sz w:val="14"/>
              </w:rPr>
              <w:t>AUROC</w:t>
            </w:r>
          </w:p>
        </w:tc>
        <w:tc>
          <w:tcPr>
            <w:tcW w:w="922" w:type="dxa"/>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55A8992A">
            <w:pPr>
              <w:snapToGrid w:val="0"/>
              <w:spacing w:after="0" w:line="240" w:lineRule="auto"/>
              <w:ind w:left="0" w:leftChars="0" w:right="0" w:rightChars="0" w:firstLine="0" w:firstLineChars="0"/>
              <w:jc w:val="center"/>
              <w:rPr>
                <w:rFonts w:ascii="Times New Roman" w:eastAsia="宋体"/>
                <w:b/>
                <w:sz w:val="14"/>
              </w:rPr>
            </w:pPr>
            <w:r>
              <w:rPr>
                <w:rFonts w:ascii="Times New Roman" w:hAnsi="Times New Roman" w:eastAsia="宋体"/>
                <w:b/>
                <w:sz w:val="14"/>
              </w:rPr>
              <w:t>Brier</w:t>
            </w:r>
          </w:p>
        </w:tc>
      </w:tr>
      <w:tr w14:paraId="6B33D900">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58C8A2B">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HGB</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A579686">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sigmoid</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CA83CF5">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0.873</w:t>
            </w:r>
          </w:p>
        </w:tc>
        <w:tc>
          <w:tcPr>
            <w:tcW w:w="922" w:type="dxa"/>
            <w:tcBorders>
              <w:top w:val="single" w:color="auto" w:sz="4" w:space="0"/>
              <w:left w:val="nil"/>
              <w:bottom w:val="nil"/>
              <w:right w:val="nil"/>
            </w:tcBorders>
            <w:noWrap w:val="0"/>
            <w:tcMar>
              <w:top w:w="-1" w:type="dxa"/>
              <w:left w:w="-1" w:type="dxa"/>
              <w:bottom w:w="-1" w:type="dxa"/>
              <w:right w:w="-1" w:type="dxa"/>
            </w:tcMar>
            <w:vAlign w:val="center"/>
          </w:tcPr>
          <w:p w14:paraId="0466E219">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0.083</w:t>
            </w:r>
          </w:p>
        </w:tc>
      </w:tr>
      <w:tr w14:paraId="1FD32DB8">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F42946E">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HGB</w:t>
            </w:r>
          </w:p>
        </w:tc>
        <w:tc>
          <w:tcPr>
            <w:tcW w:w="0" w:type="auto"/>
            <w:tcBorders>
              <w:top w:val="nil"/>
              <w:left w:val="nil"/>
              <w:bottom w:val="nil"/>
              <w:right w:val="nil"/>
            </w:tcBorders>
            <w:noWrap w:val="0"/>
            <w:tcMar>
              <w:top w:w="-1" w:type="dxa"/>
              <w:left w:w="-1" w:type="dxa"/>
              <w:bottom w:w="-1" w:type="dxa"/>
              <w:right w:w="-1" w:type="dxa"/>
            </w:tcMar>
            <w:vAlign w:val="center"/>
          </w:tcPr>
          <w:p w14:paraId="5434287F">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isotonic</w:t>
            </w:r>
          </w:p>
        </w:tc>
        <w:tc>
          <w:tcPr>
            <w:tcW w:w="0" w:type="auto"/>
            <w:tcBorders>
              <w:top w:val="nil"/>
              <w:left w:val="nil"/>
              <w:bottom w:val="nil"/>
              <w:right w:val="nil"/>
            </w:tcBorders>
            <w:noWrap w:val="0"/>
            <w:tcMar>
              <w:top w:w="-1" w:type="dxa"/>
              <w:left w:w="-1" w:type="dxa"/>
              <w:bottom w:w="-1" w:type="dxa"/>
              <w:right w:w="-1" w:type="dxa"/>
            </w:tcMar>
            <w:vAlign w:val="center"/>
          </w:tcPr>
          <w:p w14:paraId="16F3890F">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0.873</w:t>
            </w:r>
          </w:p>
        </w:tc>
        <w:tc>
          <w:tcPr>
            <w:tcW w:w="922" w:type="dxa"/>
            <w:tcBorders>
              <w:top w:val="nil"/>
              <w:left w:val="nil"/>
              <w:bottom w:val="nil"/>
              <w:right w:val="nil"/>
            </w:tcBorders>
            <w:noWrap w:val="0"/>
            <w:tcMar>
              <w:top w:w="-1" w:type="dxa"/>
              <w:left w:w="-1" w:type="dxa"/>
              <w:bottom w:w="-1" w:type="dxa"/>
              <w:right w:w="-1" w:type="dxa"/>
            </w:tcMar>
            <w:vAlign w:val="center"/>
          </w:tcPr>
          <w:p w14:paraId="146666E4">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0.083</w:t>
            </w:r>
          </w:p>
        </w:tc>
      </w:tr>
      <w:tr w14:paraId="36AAFDD8">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AD4B90">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LightGBM</w:t>
            </w:r>
          </w:p>
        </w:tc>
        <w:tc>
          <w:tcPr>
            <w:tcW w:w="0" w:type="auto"/>
            <w:tcBorders>
              <w:top w:val="nil"/>
              <w:left w:val="nil"/>
              <w:bottom w:val="nil"/>
              <w:right w:val="nil"/>
            </w:tcBorders>
            <w:noWrap w:val="0"/>
            <w:tcMar>
              <w:top w:w="-1" w:type="dxa"/>
              <w:left w:w="-1" w:type="dxa"/>
              <w:bottom w:w="-1" w:type="dxa"/>
              <w:right w:w="-1" w:type="dxa"/>
            </w:tcMar>
            <w:vAlign w:val="center"/>
          </w:tcPr>
          <w:p w14:paraId="453C44E2">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isotonic</w:t>
            </w:r>
          </w:p>
        </w:tc>
        <w:tc>
          <w:tcPr>
            <w:tcW w:w="0" w:type="auto"/>
            <w:tcBorders>
              <w:top w:val="nil"/>
              <w:left w:val="nil"/>
              <w:bottom w:val="nil"/>
              <w:right w:val="nil"/>
            </w:tcBorders>
            <w:noWrap w:val="0"/>
            <w:tcMar>
              <w:top w:w="-1" w:type="dxa"/>
              <w:left w:w="-1" w:type="dxa"/>
              <w:bottom w:w="-1" w:type="dxa"/>
              <w:right w:w="-1" w:type="dxa"/>
            </w:tcMar>
            <w:vAlign w:val="center"/>
          </w:tcPr>
          <w:p w14:paraId="61E75E89">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0.871</w:t>
            </w:r>
          </w:p>
        </w:tc>
        <w:tc>
          <w:tcPr>
            <w:tcW w:w="922" w:type="dxa"/>
            <w:tcBorders>
              <w:top w:val="nil"/>
              <w:left w:val="nil"/>
              <w:bottom w:val="nil"/>
              <w:right w:val="nil"/>
            </w:tcBorders>
            <w:noWrap w:val="0"/>
            <w:tcMar>
              <w:top w:w="-1" w:type="dxa"/>
              <w:left w:w="-1" w:type="dxa"/>
              <w:bottom w:w="-1" w:type="dxa"/>
              <w:right w:w="-1" w:type="dxa"/>
            </w:tcMar>
            <w:vAlign w:val="center"/>
          </w:tcPr>
          <w:p w14:paraId="6D813FEE">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0.083</w:t>
            </w:r>
          </w:p>
        </w:tc>
      </w:tr>
      <w:tr w14:paraId="79613EAC">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DBDEC14">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HGB</w:t>
            </w:r>
          </w:p>
        </w:tc>
        <w:tc>
          <w:tcPr>
            <w:tcW w:w="0" w:type="auto"/>
            <w:tcBorders>
              <w:top w:val="nil"/>
              <w:left w:val="nil"/>
              <w:bottom w:val="nil"/>
              <w:right w:val="nil"/>
            </w:tcBorders>
            <w:noWrap w:val="0"/>
            <w:tcMar>
              <w:top w:w="-1" w:type="dxa"/>
              <w:left w:w="-1" w:type="dxa"/>
              <w:bottom w:w="-1" w:type="dxa"/>
              <w:right w:w="-1" w:type="dxa"/>
            </w:tcMar>
            <w:vAlign w:val="center"/>
          </w:tcPr>
          <w:p w14:paraId="5D531592">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uncalibrated</w:t>
            </w:r>
          </w:p>
        </w:tc>
        <w:tc>
          <w:tcPr>
            <w:tcW w:w="0" w:type="auto"/>
            <w:tcBorders>
              <w:top w:val="nil"/>
              <w:left w:val="nil"/>
              <w:bottom w:val="nil"/>
              <w:right w:val="nil"/>
            </w:tcBorders>
            <w:noWrap w:val="0"/>
            <w:tcMar>
              <w:top w:w="-1" w:type="dxa"/>
              <w:left w:w="-1" w:type="dxa"/>
              <w:bottom w:w="-1" w:type="dxa"/>
              <w:right w:w="-1" w:type="dxa"/>
            </w:tcMar>
            <w:vAlign w:val="center"/>
          </w:tcPr>
          <w:p w14:paraId="4175DFF2">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0.870</w:t>
            </w:r>
          </w:p>
        </w:tc>
        <w:tc>
          <w:tcPr>
            <w:tcW w:w="922" w:type="dxa"/>
            <w:tcBorders>
              <w:top w:val="nil"/>
              <w:left w:val="nil"/>
              <w:bottom w:val="nil"/>
              <w:right w:val="nil"/>
            </w:tcBorders>
            <w:noWrap w:val="0"/>
            <w:tcMar>
              <w:top w:w="-1" w:type="dxa"/>
              <w:left w:w="-1" w:type="dxa"/>
              <w:bottom w:w="-1" w:type="dxa"/>
              <w:right w:w="-1" w:type="dxa"/>
            </w:tcMar>
            <w:vAlign w:val="center"/>
          </w:tcPr>
          <w:p w14:paraId="53EA0917">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0.084</w:t>
            </w:r>
          </w:p>
        </w:tc>
      </w:tr>
      <w:tr w14:paraId="680B7E49">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916418D">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LightGBM</w:t>
            </w:r>
          </w:p>
        </w:tc>
        <w:tc>
          <w:tcPr>
            <w:tcW w:w="0" w:type="auto"/>
            <w:tcBorders>
              <w:top w:val="nil"/>
              <w:left w:val="nil"/>
              <w:bottom w:val="nil"/>
              <w:right w:val="nil"/>
            </w:tcBorders>
            <w:noWrap w:val="0"/>
            <w:tcMar>
              <w:top w:w="-1" w:type="dxa"/>
              <w:left w:w="-1" w:type="dxa"/>
              <w:bottom w:w="-1" w:type="dxa"/>
              <w:right w:w="-1" w:type="dxa"/>
            </w:tcMar>
            <w:vAlign w:val="center"/>
          </w:tcPr>
          <w:p w14:paraId="68D35EAA">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sigmoid</w:t>
            </w:r>
          </w:p>
        </w:tc>
        <w:tc>
          <w:tcPr>
            <w:tcW w:w="0" w:type="auto"/>
            <w:tcBorders>
              <w:top w:val="nil"/>
              <w:left w:val="nil"/>
              <w:bottom w:val="nil"/>
              <w:right w:val="nil"/>
            </w:tcBorders>
            <w:noWrap w:val="0"/>
            <w:tcMar>
              <w:top w:w="-1" w:type="dxa"/>
              <w:left w:w="-1" w:type="dxa"/>
              <w:bottom w:w="-1" w:type="dxa"/>
              <w:right w:w="-1" w:type="dxa"/>
            </w:tcMar>
            <w:vAlign w:val="center"/>
          </w:tcPr>
          <w:p w14:paraId="53A9E9BB">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0.871</w:t>
            </w:r>
          </w:p>
        </w:tc>
        <w:tc>
          <w:tcPr>
            <w:tcW w:w="922" w:type="dxa"/>
            <w:tcBorders>
              <w:top w:val="nil"/>
              <w:left w:val="nil"/>
              <w:bottom w:val="nil"/>
              <w:right w:val="nil"/>
            </w:tcBorders>
            <w:noWrap w:val="0"/>
            <w:tcMar>
              <w:top w:w="-1" w:type="dxa"/>
              <w:left w:w="-1" w:type="dxa"/>
              <w:bottom w:w="-1" w:type="dxa"/>
              <w:right w:w="-1" w:type="dxa"/>
            </w:tcMar>
            <w:vAlign w:val="center"/>
          </w:tcPr>
          <w:p w14:paraId="65EA253C">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0.084</w:t>
            </w:r>
          </w:p>
        </w:tc>
      </w:tr>
      <w:tr w14:paraId="23F08928">
        <w:trPr>
          <w:trHeight w:val="0" w:hRule="atLeast"/>
          <w:jc w:val="center"/>
        </w:trPr>
        <w:tc>
          <w:tcPr>
            <w:tcW w:w="1445" w:type="dxa"/>
            <w:tcBorders>
              <w:top w:val="nil"/>
              <w:left w:val="nil"/>
              <w:bottom w:val="single" w:color="auto" w:sz="12" w:space="0"/>
              <w:right w:val="nil"/>
            </w:tcBorders>
            <w:noWrap w:val="0"/>
            <w:tcMar>
              <w:top w:w="-1" w:type="dxa"/>
              <w:left w:w="-1" w:type="dxa"/>
              <w:bottom w:w="-1" w:type="dxa"/>
              <w:right w:w="-1" w:type="dxa"/>
            </w:tcMar>
            <w:vAlign w:val="center"/>
          </w:tcPr>
          <w:p w14:paraId="003B3577">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XGBoost</w:t>
            </w:r>
          </w:p>
        </w:tc>
        <w:tc>
          <w:tcPr>
            <w:tcW w:w="1565" w:type="dxa"/>
            <w:tcBorders>
              <w:top w:val="nil"/>
              <w:left w:val="nil"/>
              <w:bottom w:val="single" w:color="auto" w:sz="12" w:space="0"/>
              <w:right w:val="nil"/>
            </w:tcBorders>
            <w:noWrap w:val="0"/>
            <w:tcMar>
              <w:top w:w="-1" w:type="dxa"/>
              <w:left w:w="-1" w:type="dxa"/>
              <w:bottom w:w="-1" w:type="dxa"/>
              <w:right w:w="-1" w:type="dxa"/>
            </w:tcMar>
            <w:vAlign w:val="center"/>
          </w:tcPr>
          <w:p w14:paraId="31278E04">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isotonic</w:t>
            </w:r>
          </w:p>
        </w:tc>
        <w:tc>
          <w:tcPr>
            <w:tcW w:w="1258" w:type="dxa"/>
            <w:tcBorders>
              <w:top w:val="nil"/>
              <w:left w:val="nil"/>
              <w:bottom w:val="single" w:color="auto" w:sz="12" w:space="0"/>
              <w:right w:val="nil"/>
            </w:tcBorders>
            <w:noWrap w:val="0"/>
            <w:tcMar>
              <w:top w:w="-1" w:type="dxa"/>
              <w:left w:w="-1" w:type="dxa"/>
              <w:bottom w:w="-1" w:type="dxa"/>
              <w:right w:w="-1" w:type="dxa"/>
            </w:tcMar>
            <w:vAlign w:val="center"/>
          </w:tcPr>
          <w:p w14:paraId="5CF99FA3">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0.868</w:t>
            </w:r>
          </w:p>
        </w:tc>
        <w:tc>
          <w:tcPr>
            <w:tcW w:w="922" w:type="dxa"/>
            <w:tcBorders>
              <w:top w:val="nil"/>
              <w:left w:val="nil"/>
              <w:bottom w:val="single" w:color="auto" w:sz="12" w:space="0"/>
              <w:right w:val="nil"/>
            </w:tcBorders>
            <w:noWrap w:val="0"/>
            <w:tcMar>
              <w:top w:w="-1" w:type="dxa"/>
              <w:left w:w="-1" w:type="dxa"/>
              <w:bottom w:w="-1" w:type="dxa"/>
              <w:right w:w="-1" w:type="dxa"/>
            </w:tcMar>
            <w:vAlign w:val="center"/>
          </w:tcPr>
          <w:p w14:paraId="7395799F">
            <w:pPr>
              <w:snapToGrid w:val="0"/>
              <w:spacing w:after="0" w:line="240" w:lineRule="auto"/>
              <w:ind w:left="0" w:leftChars="0" w:right="0" w:rightChars="0" w:firstLine="0" w:firstLineChars="0"/>
              <w:jc w:val="center"/>
              <w:rPr>
                <w:rFonts w:ascii="Times New Roman" w:eastAsia="宋体"/>
                <w:sz w:val="14"/>
              </w:rPr>
            </w:pPr>
            <w:r>
              <w:rPr>
                <w:rFonts w:ascii="Times New Roman" w:hAnsi="Times New Roman" w:eastAsia="宋体"/>
                <w:b w:val="0"/>
                <w:sz w:val="14"/>
              </w:rPr>
              <w:t>0.084</w:t>
            </w:r>
          </w:p>
        </w:tc>
      </w:tr>
    </w:tbl>
    <w:p w14:paraId="267EA1EB"/>
    <w:p w14:paraId="52E3A959">
      <w:pPr>
        <w:keepNext/>
        <w:spacing w:before="100" w:after="80"/>
      </w:pPr>
      <w:r>
        <w:rPr>
          <w:rFonts w:ascii="Times New Roman" w:hAnsi="Times New Roman" w:eastAsia="黑体"/>
          <w:b/>
          <w:sz w:val="18"/>
        </w:rPr>
        <w:t>4.5 解释稳定性</w:t>
      </w:r>
    </w:p>
    <w:p w14:paraId="5386DCE3">
      <w:pPr>
        <w:spacing w:after="60" w:line="259" w:lineRule="auto"/>
        <w:ind w:firstLine="360"/>
      </w:pPr>
      <w:r>
        <w:rPr>
          <w:rFonts w:ascii="Times New Roman" w:hAnsi="Times New Roman" w:eastAsia="宋体"/>
          <w:b w:val="0"/>
          <w:sz w:val="18"/>
        </w:rPr>
        <w:t>重复抽样SHAP稳定性分析显示，XGBoost和LightGBM的Top 10稳定特征高度一致，包括anchor_age, anion_gap_mean, bun_max, bun_mean, cl_first, first_careunit_CVICU, race_group_Unknown, rr_mean, spo2_mean, spo2_min。这些变量分别对应基础脆弱性、代谢/肾功能、呼吸状态、氧合状态、ICU单元和部分数据记录模式。稳定性分析避免了将一次SHAP排序误读为稳定临床规律。</w:t>
      </w:r>
    </w:p>
    <w:p w14:paraId="6BB42D92">
      <w:pPr>
        <w:jc w:val="center"/>
      </w:pPr>
      <w:r>
        <w:drawing>
          <wp:inline distT="0" distB="0" distL="114300" distR="114300">
            <wp:extent cx="2591435" cy="2221230"/>
            <wp:effectExtent l="0" t="0" r="2476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592000" cy="2221714"/>
                    </a:xfrm>
                    <a:prstGeom prst="rect">
                      <a:avLst/>
                    </a:prstGeom>
                  </pic:spPr>
                </pic:pic>
              </a:graphicData>
            </a:graphic>
          </wp:inline>
        </w:drawing>
      </w:r>
    </w:p>
    <w:p w14:paraId="3A0C786D">
      <w:pPr>
        <w:spacing w:after="120"/>
        <w:jc w:val="center"/>
      </w:pPr>
      <w:r>
        <w:rPr>
          <w:rFonts w:ascii="Times New Roman" w:hAnsi="Times New Roman" w:eastAsia="宋体"/>
          <w:b w:val="0"/>
          <w:sz w:val="14"/>
        </w:rPr>
        <w:t>图1  不同模型ROC曲线</w:t>
      </w:r>
      <w:r>
        <w:rPr>
          <w:rFonts w:ascii="Times New Roman" w:hAnsi="Times New Roman" w:eastAsia="宋体"/>
          <w:b w:val="0"/>
          <w:sz w:val="14"/>
        </w:rPr>
        <w:br w:type="textWrapping"/>
      </w:r>
      <w:r>
        <w:rPr>
          <w:rFonts w:ascii="Times New Roman" w:hAnsi="Times New Roman" w:eastAsia="宋体"/>
          <w:b w:val="0"/>
          <w:sz w:val="14"/>
        </w:rPr>
        <w:t>Fig.1  ROC curves of candidate models</w:t>
      </w:r>
    </w:p>
    <w:p w14:paraId="60CF50CF">
      <w:pPr>
        <w:jc w:val="center"/>
      </w:pPr>
      <w:r>
        <w:drawing>
          <wp:inline distT="0" distB="0" distL="114300" distR="114300">
            <wp:extent cx="2591435" cy="2221230"/>
            <wp:effectExtent l="0" t="0" r="24765"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592000" cy="2221714"/>
                    </a:xfrm>
                    <a:prstGeom prst="rect">
                      <a:avLst/>
                    </a:prstGeom>
                  </pic:spPr>
                </pic:pic>
              </a:graphicData>
            </a:graphic>
          </wp:inline>
        </w:drawing>
      </w:r>
    </w:p>
    <w:p w14:paraId="0BFC05C8">
      <w:pPr>
        <w:spacing w:after="120"/>
        <w:jc w:val="center"/>
      </w:pPr>
      <w:r>
        <w:rPr>
          <w:rFonts w:ascii="Times New Roman" w:hAnsi="Times New Roman" w:eastAsia="宋体"/>
          <w:b w:val="0"/>
          <w:sz w:val="14"/>
        </w:rPr>
        <w:t>图2  不同模型PR曲线</w:t>
      </w:r>
      <w:r>
        <w:rPr>
          <w:rFonts w:ascii="Times New Roman" w:hAnsi="Times New Roman" w:eastAsia="宋体"/>
          <w:b w:val="0"/>
          <w:sz w:val="14"/>
        </w:rPr>
        <w:br w:type="textWrapping"/>
      </w:r>
      <w:r>
        <w:rPr>
          <w:rFonts w:ascii="Times New Roman" w:hAnsi="Times New Roman" w:eastAsia="宋体"/>
          <w:b w:val="0"/>
          <w:sz w:val="14"/>
        </w:rPr>
        <w:t>Fig.2  Precision-recall curves of candidate models</w:t>
      </w:r>
    </w:p>
    <w:p w14:paraId="79C31A26">
      <w:pPr>
        <w:jc w:val="center"/>
      </w:pPr>
      <w:r>
        <w:drawing>
          <wp:inline distT="0" distB="0" distL="114300" distR="114300">
            <wp:extent cx="2591435" cy="2221230"/>
            <wp:effectExtent l="0" t="0" r="24765"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592000" cy="2221714"/>
                    </a:xfrm>
                    <a:prstGeom prst="rect">
                      <a:avLst/>
                    </a:prstGeom>
                  </pic:spPr>
                </pic:pic>
              </a:graphicData>
            </a:graphic>
          </wp:inline>
        </w:drawing>
      </w:r>
    </w:p>
    <w:p w14:paraId="7DCB3C84">
      <w:pPr>
        <w:spacing w:after="120"/>
        <w:jc w:val="center"/>
      </w:pPr>
      <w:r>
        <w:rPr>
          <w:rFonts w:ascii="Times New Roman" w:hAnsi="Times New Roman" w:eastAsia="宋体"/>
          <w:b w:val="0"/>
          <w:sz w:val="14"/>
        </w:rPr>
        <w:t>图3  最佳模型校准曲线</w:t>
      </w:r>
      <w:r>
        <w:rPr>
          <w:rFonts w:ascii="Times New Roman" w:hAnsi="Times New Roman" w:eastAsia="宋体"/>
          <w:b w:val="0"/>
          <w:sz w:val="14"/>
        </w:rPr>
        <w:br w:type="textWrapping"/>
      </w:r>
      <w:r>
        <w:rPr>
          <w:rFonts w:ascii="Times New Roman" w:hAnsi="Times New Roman" w:eastAsia="宋体"/>
          <w:b w:val="0"/>
          <w:sz w:val="14"/>
        </w:rPr>
        <w:t>Fig.3  Calibration curve of the best baseline model</w:t>
      </w:r>
    </w:p>
    <w:p w14:paraId="3C9D38D9">
      <w:pPr>
        <w:keepNext/>
        <w:spacing w:before="160" w:after="80"/>
      </w:pPr>
      <w:r>
        <w:rPr>
          <w:rFonts w:ascii="Times New Roman" w:hAnsi="Times New Roman" w:eastAsia="黑体"/>
          <w:b/>
          <w:sz w:val="20"/>
        </w:rPr>
        <w:t>5 讨论</w:t>
      </w:r>
    </w:p>
    <w:p w14:paraId="7CBF4E50">
      <w:pPr>
        <w:spacing w:after="60" w:line="259" w:lineRule="auto"/>
        <w:ind w:firstLine="360"/>
      </w:pPr>
      <w:r>
        <w:rPr>
          <w:rFonts w:ascii="Times New Roman" w:hAnsi="Times New Roman" w:eastAsia="宋体"/>
          <w:b w:val="0"/>
          <w:sz w:val="18"/>
        </w:rPr>
        <w:t>本研究的核心发现不是某一算法本身具有首创性，而是通过更完整的实验框架揭示了ICU 28天死亡预测模型在区分能力、概率可靠性、数据处理机制和解释稳定性之间的差异。基线结果显示LightGBM区分度最高，但校准实验提示HistGradientBoosting和校准后的LightGBM在概率可靠性方面更具优势。</w:t>
      </w:r>
    </w:p>
    <w:p w14:paraId="043724C5">
      <w:pPr>
        <w:spacing w:after="60" w:line="259" w:lineRule="auto"/>
        <w:ind w:firstLine="360"/>
      </w:pPr>
      <w:r>
        <w:rPr>
          <w:rFonts w:ascii="Times New Roman" w:hAnsi="Times New Roman" w:eastAsia="宋体"/>
          <w:b w:val="0"/>
          <w:sz w:val="18"/>
        </w:rPr>
        <w:t>缺失机制实验是本研究区别于常规中位数填补流程的重要部分。ICU场景中，某些检验项目是否被检测常由临床状态和治疗流程驱动，因此缺失模式可能携带风险信息。实验结果支持将缺失指示与缺失负担作为可解释的数据处理增强，但其含义应谨慎解释为监测强度或流程差异，而非病理因果关系。</w:t>
      </w:r>
    </w:p>
    <w:p w14:paraId="4FD9679E">
      <w:pPr>
        <w:spacing w:after="60" w:line="259" w:lineRule="auto"/>
        <w:ind w:firstLine="360"/>
      </w:pPr>
      <w:r>
        <w:rPr>
          <w:rFonts w:ascii="Times New Roman" w:hAnsi="Times New Roman" w:eastAsia="宋体"/>
          <w:b w:val="0"/>
          <w:sz w:val="18"/>
        </w:rPr>
        <w:t>特征消融显示，实验室指标和24小时摘要统计贡献较大，符合短期预后受器官功能、代谢紊乱、氧合状态和感染炎症负荷共同影响的临床认知。解释稳定性分析进一步表明，年龄、BUN、阴离子间隙、呼吸频率和SpO2等特征在不同树模型和重复抽样中稳定出现，增强了模型解释的可信度。</w:t>
      </w:r>
    </w:p>
    <w:p w14:paraId="698B9B24">
      <w:pPr>
        <w:spacing w:after="60" w:line="259" w:lineRule="auto"/>
        <w:ind w:firstLine="360"/>
      </w:pPr>
      <w:r>
        <w:rPr>
          <w:rFonts w:ascii="Times New Roman" w:hAnsi="Times New Roman" w:eastAsia="宋体"/>
          <w:b w:val="0"/>
          <w:sz w:val="18"/>
        </w:rPr>
        <w:t>研究仍存在局限：第一，数据来自单一公开数据库衍生队列，尚缺少外部验证；第二，当前仅使用结构化变量，未纳入诊断、用药、治疗措施、护理记录和连续时间序列模型；第三，SHAP为模型归因工具，不能直接推断因果关系；第四，校准模型仍需在独立外部队列中验证后才能考虑临床部署。</w:t>
      </w:r>
    </w:p>
    <w:p w14:paraId="783AD22D">
      <w:pPr>
        <w:keepNext/>
        <w:spacing w:before="160" w:after="80"/>
      </w:pPr>
      <w:r>
        <w:rPr>
          <w:rFonts w:ascii="Times New Roman" w:hAnsi="Times New Roman" w:eastAsia="黑体"/>
          <w:b/>
          <w:sz w:val="20"/>
        </w:rPr>
        <w:t>6 结束语</w:t>
      </w:r>
    </w:p>
    <w:p w14:paraId="2A1540A7">
      <w:pPr>
        <w:spacing w:after="60" w:line="259" w:lineRule="auto"/>
        <w:ind w:firstLine="360"/>
      </w:pPr>
      <w:r>
        <w:rPr>
          <w:rFonts w:ascii="Times New Roman" w:hAnsi="Times New Roman" w:eastAsia="宋体"/>
          <w:b w:val="0"/>
          <w:sz w:val="18"/>
        </w:rPr>
        <w:t>基于MIMIC-IV早期结构化数据的ICU 28天死亡预测模型具有较好的区分能力。通过引入特征消融、缺失机制增强、概率校准和SHAP稳定性分析，本研究将创新点从常规算法比较转向临床可用性和方法学规范性验证。后续工作应进一步开展外部验证、时间切分验证和前瞻性临床影响评估。</w:t>
      </w:r>
    </w:p>
    <w:p w14:paraId="678D8D2A">
      <w:pPr>
        <w:keepNext/>
        <w:spacing w:before="160" w:after="80"/>
      </w:pPr>
      <w:r>
        <w:rPr>
          <w:rFonts w:ascii="Times New Roman" w:hAnsi="Times New Roman" w:eastAsia="黑体"/>
          <w:b/>
          <w:sz w:val="20"/>
        </w:rPr>
        <w:t>参考文献</w:t>
      </w:r>
    </w:p>
    <w:p w14:paraId="2E7352BB">
      <w:pPr>
        <w:ind w:left="360" w:hanging="360"/>
      </w:pPr>
      <w:r>
        <w:rPr>
          <w:rFonts w:ascii="Times New Roman" w:hAnsi="Times New Roman" w:eastAsia="宋体"/>
          <w:b w:val="0"/>
          <w:sz w:val="16"/>
        </w:rPr>
        <w:t>[1] JOHNSON A E W, BULGARELLI L, SHEN L, et al. MIMIC-IV, a freely accessible electronic health record dataset[J]. Scientific Data, 2023, 10: 1.</w:t>
      </w:r>
    </w:p>
    <w:p w14:paraId="1DB78B23">
      <w:pPr>
        <w:ind w:left="360" w:hanging="360"/>
      </w:pPr>
      <w:r>
        <w:rPr>
          <w:rFonts w:ascii="Times New Roman" w:hAnsi="Times New Roman" w:eastAsia="宋体"/>
          <w:b w:val="0"/>
          <w:sz w:val="16"/>
        </w:rPr>
        <w:t>[2] JOHNSON A E W, POLLARD T J, SHEN L, et al. MIMIC-III, a freely accessible critical care database[J]. Scientific Data, 2016, 3: 160035.</w:t>
      </w:r>
    </w:p>
    <w:p w14:paraId="611F480E">
      <w:pPr>
        <w:ind w:left="360" w:hanging="360"/>
      </w:pPr>
      <w:r>
        <w:rPr>
          <w:rFonts w:ascii="Times New Roman" w:hAnsi="Times New Roman" w:eastAsia="宋体"/>
          <w:b w:val="0"/>
          <w:sz w:val="16"/>
        </w:rPr>
        <w:t>[3] HARUTYUNYAN H, KHACHATRIAN H, KALE D C, et al. Multitask learning and benchmarking with clinical time series data[J]. Scientific Data, 2019, 6: 96.</w:t>
      </w:r>
    </w:p>
    <w:p w14:paraId="1EA40444">
      <w:pPr>
        <w:ind w:left="360" w:hanging="360"/>
      </w:pPr>
      <w:r>
        <w:rPr>
          <w:rFonts w:ascii="Times New Roman" w:hAnsi="Times New Roman" w:eastAsia="宋体"/>
          <w:b w:val="0"/>
          <w:sz w:val="16"/>
        </w:rPr>
        <w:t>[4] KNAUS W A, DRAPER E A, WAGNER D P, et al. APACHE II: a severity of disease classification system[J]. Critical Care Medicine, 1985, 13(10): 818-829.</w:t>
      </w:r>
    </w:p>
    <w:p w14:paraId="6E1E45F8">
      <w:pPr>
        <w:ind w:left="360" w:hanging="360"/>
      </w:pPr>
      <w:r>
        <w:rPr>
          <w:rFonts w:ascii="Times New Roman" w:hAnsi="Times New Roman" w:eastAsia="宋体"/>
          <w:b w:val="0"/>
          <w:sz w:val="16"/>
        </w:rPr>
        <w:t>[5] LE GALL J R, LEMESHOW S, SAULNIER F. A new Simplified Acute Physiology Score (SAPS II) based on a European/North American multicenter study[J]. JAMA, 1993, 270(24): 2957-2963.</w:t>
      </w:r>
    </w:p>
    <w:p w14:paraId="616DD65B">
      <w:pPr>
        <w:ind w:left="360" w:hanging="360"/>
      </w:pPr>
      <w:r>
        <w:rPr>
          <w:rFonts w:ascii="Times New Roman" w:hAnsi="Times New Roman" w:eastAsia="宋体"/>
          <w:b w:val="0"/>
          <w:sz w:val="16"/>
        </w:rPr>
        <w:t>[6] VINCENT J L, MORENO R, TAKALA J, et al. The SOFA score to describe organ dysfunction/failure[J]. Intensive Care Medicine, 1996, 22(7): 707-710.</w:t>
      </w:r>
    </w:p>
    <w:p w14:paraId="7BCD0579">
      <w:pPr>
        <w:ind w:left="360" w:hanging="360"/>
      </w:pPr>
      <w:r>
        <w:rPr>
          <w:rFonts w:ascii="Times New Roman" w:hAnsi="Times New Roman" w:eastAsia="宋体"/>
          <w:b w:val="0"/>
          <w:sz w:val="16"/>
        </w:rPr>
        <w:t>[7] COLLINS G S, REITSMA J B, ALTMAN D G, et al. Transparent Reporting of a multivariable prediction model for Individual Prognosis Or Diagnosis (TRIPOD)[J]. Annals of Internal Medicine, 2015, 162(1): 55-63.</w:t>
      </w:r>
    </w:p>
    <w:p w14:paraId="69176471">
      <w:pPr>
        <w:ind w:left="360" w:hanging="360"/>
      </w:pPr>
      <w:r>
        <w:rPr>
          <w:rFonts w:ascii="Times New Roman" w:hAnsi="Times New Roman" w:eastAsia="宋体"/>
          <w:b w:val="0"/>
          <w:sz w:val="16"/>
        </w:rPr>
        <w:t>[8] COLLINS G S, DHIMAN P, NAVARRO C L A, et al. TRIPOD+AI statement: updated guidance for reporting clinical prediction models that use regression or machine learning methods[J]. BMJ, 2024, 385: e078378.</w:t>
      </w:r>
    </w:p>
    <w:p w14:paraId="404A7F9C">
      <w:pPr>
        <w:ind w:left="360" w:hanging="360"/>
      </w:pPr>
      <w:r>
        <w:rPr>
          <w:rFonts w:ascii="Times New Roman" w:hAnsi="Times New Roman" w:eastAsia="宋体"/>
          <w:b w:val="0"/>
          <w:sz w:val="16"/>
        </w:rPr>
        <w:t>[9] CHEN T, GUESTRIN C. XGBoost: a scalable tree boosting system[C]//Proceedings of the 22nd ACM SIGKDD International Conference on Knowledge Discovery and Data Mining. 2016: 785-794.</w:t>
      </w:r>
    </w:p>
    <w:p w14:paraId="0C801524">
      <w:pPr>
        <w:ind w:left="360" w:hanging="360"/>
      </w:pPr>
      <w:r>
        <w:rPr>
          <w:rFonts w:ascii="Times New Roman" w:hAnsi="Times New Roman" w:eastAsia="宋体"/>
          <w:b w:val="0"/>
          <w:sz w:val="16"/>
        </w:rPr>
        <w:t>[10] KE G, MENG Q, FINLEY T, et al. LightGBM: a highly efficient gradient boosting decision tree[C]//Advances in Neural Information Processing Systems. 2017: 3146-3154.</w:t>
      </w:r>
    </w:p>
    <w:p w14:paraId="2B5C704F">
      <w:pPr>
        <w:ind w:left="360" w:hanging="360"/>
      </w:pPr>
      <w:r>
        <w:rPr>
          <w:rFonts w:ascii="Times New Roman" w:hAnsi="Times New Roman" w:eastAsia="宋体"/>
          <w:b w:val="0"/>
          <w:sz w:val="16"/>
        </w:rPr>
        <w:t>[11] PROKHORENKOVA L, GUSEV G, VOROBEV A, et al. CatBoost: unbiased boosting with categorical features[C]//Advances in Neural Information Processing Systems. 2018: 6638-6648.</w:t>
      </w:r>
    </w:p>
    <w:p w14:paraId="7CD836B3">
      <w:pPr>
        <w:ind w:left="360" w:hanging="360"/>
      </w:pPr>
      <w:r>
        <w:rPr>
          <w:rFonts w:ascii="Times New Roman" w:hAnsi="Times New Roman" w:eastAsia="宋体"/>
          <w:b w:val="0"/>
          <w:sz w:val="16"/>
        </w:rPr>
        <w:t>[12] LUNDBERG S M, LEE S I. A unified approach to interpreting model predictions[C]//Advances in Neural Information Processing Systems. 2017: 4765-4774.</w:t>
      </w:r>
    </w:p>
    <w:sectPr>
      <w:type w:val="continuous"/>
      <w:pgSz w:w="11906" w:h="16838"/>
      <w:pgMar w:top="1020" w:right="964" w:bottom="1020" w:left="964" w:header="720" w:footer="720" w:gutter="0"/>
      <w:cols w:space="48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仿宋">
    <w:altName w:val="仿宋-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BF9653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18"/>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方明正</cp:lastModifiedBy>
  <dcterms:modified xsi:type="dcterms:W3CDTF">2026-06-04T20:37:06Z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D3928C5F043457AD7271216AB7FAAD9E_42</vt:lpwstr>
  </property>
</Properties>
</file>